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Professionalität von Deutschlehrpersonen am Beispiel der Sprachdidaktik</w:t>
      </w:r>
    </w:p>
    <w:p>
      <w:pPr>
        <w:pStyle w:val="Author"/>
      </w:pPr>
      <w:r>
        <w:t xml:space="preserve"> </w:t>
      </w:r>
    </w:p>
    <w:p>
      <w:pPr>
        <w:pStyle w:val="Author"/>
      </w:pPr>
      <w:r>
        <w:t xml:space="preserve">Anonymisert</w:t>
      </w:r>
      <w:r>
        <w:rPr>
          <w:vertAlign w:val="superscript"/>
        </w:rPr>
        <w:t xml:space="preserve">1</w:t>
      </w:r>
      <w:r>
        <w:t xml:space="preserve"> and Anonymisert</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2, 3</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7" w:name="firstheader"/>
    <w:p>
      <w:pPr>
        <w:pStyle w:val="Heading1"/>
      </w:pPr>
      <w:r>
        <w:t xml:space="preserve">Professionalität von Deutschlehrpersonen am Beispiel der Sprachdidaktik</w:t>
      </w:r>
    </w:p>
    <w:bookmarkStart w:id="23" w:name="einleitung"/>
    <w:p>
      <w:pPr>
        <w:pStyle w:val="Heading2"/>
      </w:pPr>
      <w:r>
        <w:t xml:space="preserve">Einleitung</w:t>
      </w:r>
    </w:p>
    <w:p>
      <w:pPr>
        <w:pStyle w:val="FirstParagraph"/>
      </w:pPr>
      <w:r>
        <w:t xml:space="preserve">Die bildungswissenschaftliche Forschung hat sich intensiv mit der Frage nach der Professionalität von Lehrpersonen auseinandergesetzt und dabei diverse, oft komplementäre Theorien und Konzepte generiert</w:t>
      </w:r>
      <w:r>
        <w:t xml:space="preserve"> </w:t>
      </w:r>
      <w:r>
        <w:t xml:space="preserve">(</w:t>
      </w:r>
      <w:hyperlink w:anchor="ref-cramer2023">
        <w:r>
          <w:rPr>
            <w:rStyle w:val="Hyperlink"/>
          </w:rPr>
          <w:t xml:space="preserve">Cramer, Groß Ophoff, et al., 2023</w:t>
        </w:r>
      </w:hyperlink>
      <w:r>
        <w:t xml:space="preserve">)</w:t>
      </w:r>
      <w:r>
        <w:t xml:space="preserve">. Während z.B. soziologisch inspirierte Arbeiten für die Profession charakteristische Antinomien im Lehrpersonenhandeln identifizierten, topologisierten Arbeiten aus der pädagogischen Psychologie bestimmte Wissensbestände, Überzeugungen und motivationale sowie selbstregulative Variablen und Werte, die sich in der Literatur als prädiktiv für Outcomes auf Ebene der Schülerinnen und Schüler zeigten</w:t>
      </w:r>
      <w:r>
        <w:t xml:space="preserve"> </w:t>
      </w:r>
      <w:r>
        <w:t xml:space="preserve">(</w:t>
      </w:r>
      <w:hyperlink w:anchor="ref-baumert2006">
        <w:r>
          <w:rPr>
            <w:rStyle w:val="Hyperlink"/>
          </w:rPr>
          <w:t xml:space="preserve">Baumert &amp;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w:t>
      </w:r>
      <w:r>
        <w:t xml:space="preserve"> </w:t>
      </w:r>
      <w:r>
        <w:t xml:space="preserve">(</w:t>
      </w:r>
      <w:hyperlink w:anchor="ref-bauer2000">
        <w:r>
          <w:rPr>
            <w:rStyle w:val="Hyperlink"/>
          </w:rPr>
          <w:t xml:space="preserve">Bauer, 2000</w:t>
        </w:r>
      </w:hyperlink>
      <w:r>
        <w:t xml:space="preserve">;</w:t>
      </w:r>
      <w:r>
        <w:t xml:space="preserve"> </w:t>
      </w:r>
      <w:hyperlink w:anchor="ref-terhart1992">
        <w:r>
          <w:rPr>
            <w:rStyle w:val="Hyperlink"/>
          </w:rPr>
          <w:t xml:space="preserve">Terhart, 1992</w:t>
        </w:r>
      </w:hyperlink>
      <w:r>
        <w:t xml:space="preserve">)</w:t>
      </w:r>
      <w:r>
        <w:t xml:space="preserve"> </w:t>
      </w:r>
      <w:r>
        <w:t xml:space="preserve">die besondere Bedeutung lebensbiografischer Schulerfahrungen von Lehrpersonen und hoben die besondere Relevanz von berufsbiografischen Übergängen hervor, was unter anderem in die Forderung einer kontinuierlichen Bearbeitung berufsbezogener Entwicklungsaufgaben mündete. Die Frage nach Professionalität im Lehrberuf hat auch Eingang in die Bildungsstandards der Ständigen Konferenz der Kultusminister der Länder in der Bundesrepublik Deutschland gefunden. Dementsprechend werden an Universitäten und Pädagogischen Hochschulen die zuvor genannten bildungswissenschaftlichen Professionalitätsansätze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Lehrpersonen in diesen Lernsituationen umfangreiche, bereits bestehende implizite wie explizite Überzeugungen</w:t>
      </w:r>
      <w:r>
        <w:t xml:space="preserve"> </w:t>
      </w:r>
      <w:r>
        <w:t xml:space="preserve">(</w:t>
      </w:r>
      <w:hyperlink w:anchor="ref-fives2012">
        <w:r>
          <w:rPr>
            <w:rStyle w:val="Hyperlink"/>
          </w:rPr>
          <w:t xml:space="preserve">Fives &amp; Buehl, 2012</w:t>
        </w:r>
      </w:hyperlink>
      <w:r>
        <w:t xml:space="preserve">;</w:t>
      </w:r>
      <w:r>
        <w:t xml:space="preserve"> </w:t>
      </w:r>
      <w:hyperlink w:anchor="ref-merk2020">
        <w:r>
          <w:rPr>
            <w:rStyle w:val="Hyperlink"/>
          </w:rPr>
          <w:t xml:space="preserve">Merk, 2020</w:t>
        </w:r>
      </w:hyperlink>
      <w:r>
        <w:t xml:space="preserve">)</w:t>
      </w:r>
      <w:r>
        <w:t xml:space="preserve"> </w:t>
      </w:r>
      <w:r>
        <w:t xml:space="preserve">bezüglich der Frage einbringen, was Professionalität ausmacht. Dies hätte Konsequenzen für die Professionalisierungspraxis</w:t>
      </w:r>
      <w:r>
        <w:t xml:space="preserve"> </w:t>
      </w:r>
      <w:r>
        <w:t xml:space="preserve">(</w:t>
      </w:r>
      <w:hyperlink w:anchor="ref-cramer2023">
        <w:r>
          <w:rPr>
            <w:rStyle w:val="Hyperlink"/>
          </w:rPr>
          <w:t xml:space="preserve">Cramer, Groß Ophoff, et al., 2023</w:t>
        </w:r>
      </w:hyperlink>
      <w:r>
        <w:t xml:space="preserve">)</w:t>
      </w:r>
      <w:r>
        <w:t xml:space="preserve">, da jene Überzeugungen etwa über die ihnen zugeschriebene Filter-, Rahmungs- und Handlungsleitungsfunktionen</w:t>
      </w:r>
      <w:r>
        <w:t xml:space="preserve"> </w:t>
      </w:r>
      <w:r>
        <w:t xml:space="preserve">(</w:t>
      </w:r>
      <w:hyperlink w:anchor="ref-fives2012">
        <w:r>
          <w:rPr>
            <w:rStyle w:val="Hyperlink"/>
          </w:rPr>
          <w:t xml:space="preserve">Fives &amp; Buehl, 2012</w:t>
        </w:r>
      </w:hyperlink>
      <w:r>
        <w:t xml:space="preserve">)</w:t>
      </w:r>
      <w:r>
        <w:t xml:space="preserve"> </w:t>
      </w:r>
      <w:r>
        <w:t xml:space="preserve">dazu führen können, dass (angehende) Lehrpersonen bestimmte Lerngelegenheiten unterschiedlich wählen und nutzen. Erste Forschung liegt dazu vor, inwiefern Überzeugungen zur Professionalität von Lehrpersonen in ihrer Struktur den bildungswissenschaftlichen Theorien entspricht, wobei die Ergebnisse sowohl auf Ähnlichkeiten und Abweichungen zwischen Überzeugungsstruktur und Theorien hinweisen</w:t>
      </w:r>
      <w:r>
        <w:t xml:space="preserve"> </w:t>
      </w:r>
      <w:r>
        <w:t xml:space="preserve">(</w:t>
      </w:r>
      <w:hyperlink w:anchor="ref-cramer2023">
        <w:r>
          <w:rPr>
            <w:rStyle w:val="Hyperlink"/>
          </w:rPr>
          <w:t xml:space="preserve">Cramer, Groß Ophoff, et al., 2023</w:t>
        </w:r>
      </w:hyperlink>
      <w:r>
        <w:t xml:space="preserve">)</w:t>
      </w:r>
      <w:r>
        <w:t xml:space="preserve">. Die Ambiguität dieser Ergebnisse, deren unklare Generalisierbarkeit etwa angesichts potentieller Domänenspezifität von Professionalitätsüberzeugungen sowie die grundsätzliche Diskussion um die Erfassbarkeit von Überzeugungen zu Professionalität mit geschlossenen Fragebogenitems</w:t>
      </w:r>
      <w:r>
        <w:t xml:space="preserve"> </w:t>
      </w:r>
      <w:r>
        <w:t xml:space="preserve">(</w:t>
      </w:r>
      <w:hyperlink w:anchor="ref-merk2023">
        <w:r>
          <w:rPr>
            <w:rStyle w:val="Hyperlink"/>
          </w:rPr>
          <w:t xml:space="preserve">Merk &amp;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und domänenspezifischen Professionalitätsüberzeugungen in der Fachdidaktik zu vergleichen und c) die Ähnlichkeit des Inhalts von offen erfassten Überzeugungen und bildungswissenschaftlichen Theorien zur Professionalität von Lehrpersonen mit Natural Language Processing Methoden</w:t>
      </w:r>
      <w:r>
        <w:t xml:space="preserve"> </w:t>
      </w:r>
      <w:r>
        <w:t xml:space="preserve">(</w:t>
      </w:r>
      <w:hyperlink w:anchor="ref-bittermann2024">
        <w:r>
          <w:rPr>
            <w:rStyle w:val="Hyperlink"/>
          </w:rPr>
          <w:t xml:space="preserve">Bittermann &amp; Fischer, 2024</w:t>
        </w:r>
      </w:hyperlink>
      <w:r>
        <w:t xml:space="preserve">)</w:t>
      </w:r>
      <w:r>
        <w:t xml:space="preserve"> </w:t>
      </w:r>
      <w:r>
        <w:t xml:space="preserve">zu untersuchen.</w:t>
      </w:r>
    </w:p>
    <w:bookmarkEnd w:id="23"/>
    <w:bookmarkStart w:id="25" w:name="theoretischer-hintergrund"/>
    <w:p>
      <w:pPr>
        <w:pStyle w:val="Heading2"/>
      </w:pPr>
      <w:r>
        <w:t xml:space="preserve">Theoretischer Hintergrund</w:t>
      </w:r>
    </w:p>
    <w:bookmarkStart w:id="24" w:name="sec-professionalitat-von-lehrkraften"/>
    <w:p>
      <w:pPr>
        <w:pStyle w:val="Heading3"/>
      </w:pPr>
      <w:r>
        <w:t xml:space="preserve">Professionalität von Lehrpersonen</w:t>
      </w:r>
    </w:p>
    <w:p>
      <w:pPr>
        <w:pStyle w:val="FirstParagraph"/>
      </w:pPr>
      <w:r>
        <w:t xml:space="preserve">In den Bildungswissenschaften ist spätestens seit der Jahrtausendwende eine lebendige, teils auch kontroverse Diskussion um die Charakteristika professionellen Handelns im Lehrberuf zu verzeichnen, die verschiedene Ansätze der Professionalität hervorgebracht hat, welche im Folgenden beschrieben werden.</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Lehrpersonen ein besonderes Augenmerk auf die beruflichen Rahmenbedingungen von Lehrpersonen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w:t>
      </w:r>
      <w:r>
        <w:t xml:space="preserve"> </w:t>
      </w:r>
      <w:r>
        <w:t xml:space="preserve">“Antinomien”</w:t>
      </w:r>
      <w:r>
        <w:t xml:space="preserve"> </w:t>
      </w:r>
      <w:r>
        <w:t xml:space="preserve">oder</w:t>
      </w:r>
      <w:r>
        <w:t xml:space="preserve"> </w:t>
      </w:r>
      <w:r>
        <w:t xml:space="preserve">“professionelle Paradoxien”</w:t>
      </w:r>
      <w:r>
        <w:t xml:space="preserve"> </w:t>
      </w:r>
      <w:r>
        <w:t xml:space="preserve">des Lehrberufes besondere Aufmerksamkeit erfahren</w:t>
      </w:r>
      <w:r>
        <w:t xml:space="preserve"> </w:t>
      </w:r>
      <w:r>
        <w:t xml:space="preserve">(</w:t>
      </w:r>
      <w:hyperlink w:anchor="ref-baumert2006">
        <w:r>
          <w:rPr>
            <w:rStyle w:val="Hyperlink"/>
          </w:rPr>
          <w:t xml:space="preserve">Baumert &amp; Kunter, 2006</w:t>
        </w:r>
      </w:hyperlink>
      <w:r>
        <w:t xml:space="preserve">)</w:t>
      </w:r>
      <w:r>
        <w:t xml:space="preserve">. Sie beschreiben nicht auflösbare, aber charakteristische Widersprüche in den professionellen Anforderungen wie etwa die simultane Erfordernis von Nähe und Distanz zwischen Lehrpersonen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Professionswissen, Überzeugungen und Werthaltungen, motivationale Orientierungen und selbstregulative Fähigkeiten von Lehrpersonen zu systematisieren, die ein erfolgreicheres Lehrpersonenhandeln wahrscheinlicher machen. Dabei wird Erfolg letzlich meist als gesteigerte (operationaliserbare) Outcomes auf Ebene der Schülerinnen und Schüler definiert, wie z.B. deren akademische Leistung oder Motivation. Diese Ansatz steht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Lehrpersonenprofessionalität</w:t>
      </w:r>
      <w:r>
        <w:t xml:space="preserve"> </w:t>
      </w:r>
      <w:r>
        <w:t xml:space="preserve">(</w:t>
      </w:r>
      <w:hyperlink w:anchor="ref-bromme1992">
        <w:r>
          <w:rPr>
            <w:rStyle w:val="Hyperlink"/>
          </w:rPr>
          <w:t xml:space="preserve">Bromme, 1992</w:t>
        </w:r>
      </w:hyperlink>
      <w:r>
        <w:t xml:space="preserve">)</w:t>
      </w:r>
      <w:r>
        <w:t xml:space="preserve">.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&amp;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Dieser Ansatz verbinden zwei prozessbezogene Perspektiven auf den Lehrberuf</w:t>
      </w:r>
      <w:r>
        <w:t xml:space="preserve"> </w:t>
      </w:r>
      <w:r>
        <w:t xml:space="preserve">(</w:t>
      </w:r>
      <w:hyperlink w:anchor="ref-fabel-lamla2018">
        <w:r>
          <w:rPr>
            <w:rStyle w:val="Hyperlink"/>
          </w:rPr>
          <w:t xml:space="preserve">Fabel-Lamla, 2018</w:t>
        </w:r>
      </w:hyperlink>
      <w:r>
        <w:t xml:space="preserve">)</w:t>
      </w:r>
      <w:r>
        <w:t xml:space="preserve">. In der Tradition erziehungswissenschaftlicher Biografieforschung („biografische Perspektive“) fokussieren Arbeiten in einem lebensbiografischen Zugang auf eine stark intraindividuelle Perspektive. Derzufolge ist Biografie eine Sinnzuschreibung an den eigenen Lebenslauf und damit die Lehrpersonenbiografie immer auch mit den eigenen Erfahrung und dem Erleben als ehemals selbst Schülerin oder Schüler sowie über die Zeit der Berufsausübung hinweg verknüpft</w:t>
      </w:r>
      <w:r>
        <w:t xml:space="preserve"> </w:t>
      </w:r>
      <w:r>
        <w:t xml:space="preserve">(</w:t>
      </w:r>
      <w:hyperlink w:anchor="ref-kunze2008">
        <w:r>
          <w:rPr>
            <w:rStyle w:val="Hyperlink"/>
          </w:rPr>
          <w:t xml:space="preserve">Kunze &amp; Stelmaszyk, 2008</w:t>
        </w:r>
      </w:hyperlink>
      <w:r>
        <w:t xml:space="preserve">)</w:t>
      </w:r>
      <w:r>
        <w:t xml:space="preserve">. Daher geraten Brüche und Übergänge im Berufsverlauf in den Blick. Mit Blick auf die Berufsverlaufsforschung hingegen („berufsbiografische Perspektive“) erweist sich Professionalität von Lehrpersonen als „berufsbiographisches Entwicklungsproblem“</w:t>
      </w:r>
      <w:r>
        <w:t xml:space="preserve"> </w:t>
      </w:r>
      <w:r>
        <w:t xml:space="preserve">(</w:t>
      </w:r>
      <w:hyperlink w:anchor="ref-terhart1995c">
        <w:r>
          <w:rPr>
            <w:rStyle w:val="Hyperlink"/>
          </w:rPr>
          <w:t xml:space="preserve">Terhart, 1995, S. 238</w:t>
        </w:r>
      </w:hyperlink>
      <w:r>
        <w:t xml:space="preserve">)</w:t>
      </w:r>
      <w:r>
        <w:t xml:space="preserve"> </w:t>
      </w:r>
      <w:r>
        <w:t xml:space="preserve">derart, dass eine berufslebenslange Professionalisierung samt der Bewältigung von beruflichen Entwicklungsaufgaben eine professionelle Lehrperson kennzeichnet.</w:t>
      </w:r>
    </w:p>
    <w:p>
      <w:pPr>
        <w:pStyle w:val="Heading4"/>
        <w:rPr>
          <w:vanish/>
          <w:specVanish/>
        </w:rPr>
      </w:pPr>
      <w:r>
        <w:t>Metareflexiver Ansatz.</w:t>
      </w:r>
      <w:r>
        <w:t xml:space="preserve"> </w:t>
      </w:r>
    </w:p>
    <w:p>
      <w:pPr>
        <w:pStyle w:val="BodyText"/>
      </w:pPr>
      <w:r>
        <w:t xml:space="preserve">Die bisher genannten Ansätze haben</w:t>
      </w:r>
      <w:r>
        <w:t xml:space="preserve"> </w:t>
      </w:r>
      <w:r>
        <w:t xml:space="preserve">(neben weiteren, vgl. z.B.</w:t>
      </w:r>
      <w:r>
        <w:t xml:space="preserve"> </w:t>
      </w:r>
      <w:hyperlink w:anchor="ref-helsper2021">
        <w:r>
          <w:rPr>
            <w:rStyle w:val="Hyperlink"/>
          </w:rPr>
          <w:t xml:space="preserve">Helsper, 2021</w:t>
        </w:r>
      </w:hyperlink>
      <w:r>
        <w:t xml:space="preserve">)</w:t>
      </w:r>
      <w:r>
        <w:t xml:space="preserve"> </w:t>
      </w:r>
      <w:r>
        <w:t xml:space="preserve">Eingang in die institutionalisierte Lehrpersonenbildung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der verschiedenen Professionalitätsansätze sowie deren Unterschiede und Gemeinsamkeiten als eine sekundäre Perspektive auf Professionalität zu definieren. Danach können professionelle Lehrpersonen beim Treffen von Entscheidungen auf Handlungsoptionen rekurrieren, die sich mit wissenschaftlichen Deutungsmustern verbinden. Dabei reflektieren sie idealtypisch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a">
        <w:r>
          <w:rPr>
            <w:rStyle w:val="Hyperlink"/>
          </w:rPr>
          <w:t xml:space="preserve">Cramer, Brown, et al., 2023</w:t>
        </w:r>
      </w:hyperlink>
      <w:r>
        <w:t xml:space="preserve">)</w:t>
      </w:r>
      <w:r>
        <w:t xml:space="preserve">. Verschiedene meta-reflexive (sekundäre) Prinzipien, darunter neben der Mehrperspektivität etwa Kontextgebundenheit oder Alternativität, sind Ausgangspunkt einer möglichen Relationierung, also Verhältnisbestimmung der unterschiedlichen Ansätze von Professionalität in Forschung und Lehrpersonenbildung</w:t>
      </w:r>
      <w:r>
        <w:t xml:space="preserve"> </w:t>
      </w:r>
      <w:r>
        <w:t xml:space="preserve">(</w:t>
      </w:r>
      <w:hyperlink w:anchor="ref-cramer2023c">
        <w:r>
          <w:rPr>
            <w:rStyle w:val="Hyperlink"/>
          </w:rPr>
          <w:t xml:space="preserve">Cramer, 2023</w:t>
        </w:r>
      </w:hyperlink>
      <w:r>
        <w:t xml:space="preserve">)</w:t>
      </w:r>
      <w:r>
        <w:t xml:space="preserve">.</w:t>
      </w:r>
    </w:p>
    <w:bookmarkEnd w:id="24"/>
    <w:bookmarkEnd w:id="25"/>
    <w:bookmarkStart w:id="27" w:name="überzeugungen-von-lehrpersonen"/>
    <w:p>
      <w:pPr>
        <w:pStyle w:val="Heading2"/>
      </w:pPr>
      <w:r>
        <w:t xml:space="preserve">Überzeugungen von Lehrpersonen</w:t>
      </w:r>
    </w:p>
    <w:p>
      <w:pPr>
        <w:pStyle w:val="FirstParagraph"/>
      </w:pPr>
      <w:r>
        <w:t xml:space="preserve">Überzeugungen von Lehrpersonen sind ein viel bearbeiteter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Lehrpersonenbildungsforschung. Sie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mittels Fragebogen erfassbar</w:t>
      </w:r>
      <w:r>
        <w:t xml:space="preserve"> </w:t>
      </w:r>
      <w:r>
        <w:t xml:space="preserve">(</w:t>
      </w:r>
      <w:hyperlink w:anchor="ref-merk2020">
        <w:r>
          <w:rPr>
            <w:rStyle w:val="Hyperlink"/>
          </w:rPr>
          <w:t xml:space="preserve">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Lehrpersonen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&amp;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ömeke2008">
        <w:r>
          <w:rPr>
            <w:rStyle w:val="Hyperlink"/>
          </w:rPr>
          <w:t xml:space="preserve">Blömeke et al., 2008</w:t>
        </w:r>
      </w:hyperlink>
      <w:r>
        <w:t xml:space="preserve">;</w:t>
      </w:r>
      <w:r>
        <w:t xml:space="preserve"> </w:t>
      </w:r>
      <w:hyperlink w:anchor="ref-fives2008">
        <w:r>
          <w:rPr>
            <w:rStyle w:val="Hyperlink"/>
          </w:rPr>
          <w:t xml:space="preserve">Fives &amp; Buehl, 2008</w:t>
        </w:r>
      </w:hyperlink>
      <w:r>
        <w:t xml:space="preserve">;</w:t>
      </w:r>
      <w:r>
        <w:t xml:space="preserve"> </w:t>
      </w:r>
      <w:hyperlink w:anchor="ref-hofer2012">
        <w:r>
          <w:rPr>
            <w:rStyle w:val="Hyperlink"/>
          </w:rPr>
          <w:t xml:space="preserve">Hofer &amp;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Lehrpersonen</w:t>
      </w:r>
      <w:r>
        <w:t xml:space="preserve"> </w:t>
      </w:r>
      <w:r>
        <w:t xml:space="preserve">(</w:t>
      </w:r>
      <w:hyperlink w:anchor="ref-cramer2023">
        <w:r>
          <w:rPr>
            <w:rStyle w:val="Hyperlink"/>
          </w:rPr>
          <w:t xml:space="preserve">Cramer, Groß Ophoff, et al., 2023</w:t>
        </w:r>
      </w:hyperlink>
      <w:r>
        <w:t xml:space="preserve">)</w:t>
      </w:r>
      <w:r>
        <w:t xml:space="preserve">. Überzeugungen zu verschiedenen Gegenstandsbereichen gelten jedoch als teilweise abhängig voneinander, wenngleich nicht notwendigerweise konsistent: So weisen Lehrpersonen die hochgradig transmissive lerntheoretische Überzeugungen für das Fach Mathematik aufweisen auch eher transmissive Lerntheoretische Überzeugungen für das Fach Physik auf (Abhängigkeit), gleichzeitig gibt es Evidenz dafür, dass Lehrpersonen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5a3b4daaed0df4ce95a2990c9a4a4d7e60613f9"/>
    <w:p>
      <w:pPr>
        <w:pStyle w:val="Heading3"/>
      </w:pPr>
      <w:r>
        <w:t xml:space="preserve">Professionalitätsbezogene Überzeugungen von Lehrpersonen</w:t>
      </w:r>
    </w:p>
    <w:p>
      <w:pPr>
        <w:pStyle w:val="FirstParagraph"/>
      </w:pPr>
      <w:r>
        <w:t xml:space="preserve">Empirische Forschung zu Überzeugungen von Lehrpersonen bezüglich Professionalität in ihrem Beruf ist im Vergleich zu Forschung zu Überzeugungen bezüglich den anderen zuvor genannten Gegenstandsbereichen eher selten. Es existiert zwar internationale Forschung zu Überzeugungen bezüglich</w:t>
      </w:r>
      <w:r>
        <w:t xml:space="preserve"> </w:t>
      </w:r>
      <w:r>
        <w:t xml:space="preserve">“teachers’ knowledge and ability”</w:t>
      </w:r>
      <w:r>
        <w:t xml:space="preserve"> </w:t>
      </w:r>
      <w:r>
        <w:t xml:space="preserve">(</w:t>
      </w:r>
      <w:hyperlink w:anchor="ref-fives2008">
        <w:r>
          <w:rPr>
            <w:rStyle w:val="Hyperlink"/>
          </w:rPr>
          <w:t xml:space="preserve">Fives &amp; Buehl, 2008</w:t>
        </w:r>
      </w:hyperlink>
      <w:r>
        <w:t xml:space="preserve">)</w:t>
      </w:r>
      <w:r>
        <w:t xml:space="preserve">,</w:t>
      </w:r>
      <w:r>
        <w:t xml:space="preserve"> </w:t>
      </w:r>
      <w:r>
        <w:t xml:space="preserve">“teacher identity”</w:t>
      </w:r>
      <w:r>
        <w:t xml:space="preserve"> </w:t>
      </w:r>
      <w:r>
        <w:t xml:space="preserve">(</w:t>
      </w:r>
      <w:hyperlink w:anchor="ref-zembylas2015">
        <w:r>
          <w:rPr>
            <w:rStyle w:val="Hyperlink"/>
          </w:rPr>
          <w:t xml:space="preserve">Zembylas &amp; Chubbuck, 2015</w:t>
        </w:r>
      </w:hyperlink>
      <w:r>
        <w:t xml:space="preserve">)</w:t>
      </w:r>
      <w:r>
        <w:t xml:space="preserve">,</w:t>
      </w:r>
      <w:r>
        <w:t xml:space="preserve"> </w:t>
      </w:r>
      <w:r>
        <w:t xml:space="preserve">“collective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Lehrpersonenprofessionalität hauptsächlich im deutschsprachigen Kontext prominent, so dass die Seltenheit empirischer Forschung bezüglich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repräsentativen Stichprobe von Lehrpersonen eine Batterie von 16 Likertitems vorgelegt, die die Zustimmung zu jeweils einem zentralen Aspekt eines der vier zuvor vorgestellten Ansätze erfasst (z.B.</w:t>
      </w:r>
      <w:r>
        <w:t xml:space="preserve"> </w:t>
      </w:r>
      <w:r>
        <w:rPr>
          <w:i/>
          <w:iCs/>
        </w:rPr>
        <w:t xml:space="preserve">Eine professionelle Lehrperson identifiziert über das gesamte Berufsleben hinweg individuelle Entwicklungsbedarfe</w:t>
      </w:r>
      <w:r>
        <w:t xml:space="preserve">/</w:t>
      </w:r>
      <w:r>
        <w:rPr>
          <w:i/>
          <w:iCs/>
        </w:rPr>
        <w:t xml:space="preserve">Eine professionelle Lehrperson ist sensibel für die Notwendigkeit, im Beruf fortwährend selbst hinzuzulernen</w:t>
      </w:r>
      <w:r>
        <w:t xml:space="preserve"> </w:t>
      </w:r>
      <w:r>
        <w:t xml:space="preserve">[berufsbiografischer Ansatz];</w:t>
      </w:r>
      <w:r>
        <w:t xml:space="preserve"> </w:t>
      </w:r>
      <w:r>
        <w:rPr>
          <w:i/>
          <w:iCs/>
        </w:rPr>
        <w:t xml:space="preserve">Eine professionelle Lehrperson verfügt über fachliches Wissen als Voraussetzung für den Wissenserwerb ihrer Schülerinnen und Schüler</w:t>
      </w:r>
      <w:r>
        <w:t xml:space="preserve">/</w:t>
      </w:r>
      <w:r>
        <w:rPr>
          <w:i/>
          <w:iCs/>
        </w:rPr>
        <w:t xml:space="preserve">Eine professionelle Lehrperson ist von lernförderlichen Konzepten des Lehrens und Lernens überzeugt, die wissenschaftlich belegt sind</w:t>
      </w:r>
      <w:r>
        <w:t xml:space="preserve"> </w:t>
      </w:r>
      <w:r>
        <w:t xml:space="preserve">[kompetenzorientierter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1) Professionalität als schulisches Handeln, 2) Professionalität als Anwendbarkeit von Wissen und Können sowie 3)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Merk &amp; Schmidt, 2023</w:t>
        </w:r>
      </w:hyperlink>
      <w:r>
        <w:t xml:space="preserve">)</w:t>
      </w:r>
      <w:r>
        <w:t xml:space="preserve">: So sind die Ergebnisse auch mit der Annahme vereinbar, dass Lehrpersonen intuitiv Professionalität völlig unähnlich zu den Bildungswissenschaften fassen, den bildungswissenschaftlichen Überlegungen das erste Mal beim Beantworten des Fragebogen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Überzeugungen. Die vorliegende Studie möchte zur Aufklärung dieser Unklarheiten beitragen, indem sie Professionalitätsüberzeugungen von Lehrpersonen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(Fachdidaktik Deutsch)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Sprachdidaktik (Deutsch) von Überzeugungen zur Professionalität im Lehrberuf im allgemeinen (Domänenspezifität)? Basierend auf einschlägigen Rahmenmodellen und empirischen Befunden gehen wir von kleinen Unterschieden in Struktur- und Ausprägung der Überzeugungen aus.</w:t>
      </w:r>
    </w:p>
    <w:bookmarkEnd w:id="30"/>
    <w:bookmarkEnd w:id="31"/>
    <w:bookmarkStart w:id="36" w:name="methode"/>
    <w:p>
      <w:pPr>
        <w:pStyle w:val="Heading2"/>
      </w:pPr>
      <w:r>
        <w:t xml:space="preserve">Methode</w:t>
      </w:r>
    </w:p>
    <w:bookmarkStart w:id="34" w:name="stichprobe"/>
    <w:p>
      <w:pPr>
        <w:pStyle w:val="Heading3"/>
      </w:pPr>
      <w:r>
        <w:t xml:space="preserve">Stichprobe</w:t>
      </w:r>
    </w:p>
    <w:p>
      <w:pPr>
        <w:pStyle w:val="FirstParagraph"/>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Forschungsfragen 1 und 2 wurden mit Daten von</w:t>
      </w:r>
      <w:r>
        <w:t xml:space="preserve"> </w:t>
      </w:r>
      <m:oMath>
        <m:sSub>
          <m:e>
            <m:r>
              <m:t>N</m:t>
            </m:r>
          </m:e>
          <m:sub>
            <m:r>
              <m:t>1</m:t>
            </m:r>
          </m:sub>
        </m:sSub>
        <m:r>
          <m:rPr>
            <m:sty m:val="p"/>
          </m:rPr>
          <m:t>=</m:t>
        </m:r>
      </m:oMath>
      <w:r>
        <w:t xml:space="preserve"> </w:t>
      </w:r>
      <w:r>
        <w:t xml:space="preserve">206 Deutschlehrpersonen (Stichprobe 1: 73.3% weiblich, 17.5% weniger als 11 Dienstjahre, 44.7% mehr als 20 Dienstjahre, 38.8% mindestens ein MINT-Fach als weiteres Fach) aus Deutschland beantwortet. Diese wurden aus einem Panel eines Felddienstleisters rekrutiert. Für die Bearbeitung von Forschungsfrage 3 wurden weitere</w:t>
      </w:r>
      <w:r>
        <w:t xml:space="preserve"> </w:t>
      </w:r>
      <m:oMath>
        <m:sSub>
          <m:e>
            <m:r>
              <m:t>N</m:t>
            </m:r>
          </m:e>
          <m:sub>
            <m:r>
              <m:t>2</m:t>
            </m:r>
          </m:sub>
        </m:sSub>
        <m:r>
          <m:rPr>
            <m:sty m:val="p"/>
          </m:rPr>
          <m:t>=</m:t>
        </m:r>
      </m:oMath>
      <w:r>
        <w:t xml:space="preserve"> </w:t>
      </w:r>
      <w:r>
        <w:t xml:space="preserve">105 Deutschlehrpersonen (Stichprobe 2: 74.3% weiblich, 13.3% weniger als 11 Dienstjahre, 52.4% mehr als 20 Dienstjahre, 44.8% mindestens ein MINT-Fach als weiteres Fach) aus demselben Panel rekrutiert. Die Größe von Stichprobe 1 wurde a priori anhand einer Simulationsstudie (</w:t>
      </w:r>
      <w:hyperlink r:id="rId33">
        <w:r>
          <w:rPr>
            <w:rStyle w:val="Hyperlink"/>
          </w:rPr>
          <w:t xml:space="preserve">siehe reproduzierbarer Code</w:t>
        </w:r>
      </w:hyperlink>
      <w:r>
        <w:t xml:space="preserve"> </w:t>
      </w:r>
      <w:r>
        <w:t xml:space="preserve">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4"/>
    <w:bookmarkStart w:id="35" w:name="instrument"/>
    <w:p>
      <w:pPr>
        <w:pStyle w:val="Heading3"/>
      </w:pPr>
      <w:r>
        <w:t xml:space="preserve">Instrument</w:t>
      </w:r>
    </w:p>
    <w:p>
      <w:pPr>
        <w:pStyle w:val="FirstParagraph"/>
      </w:pPr>
      <w:r>
        <w:t xml:space="preserve">In beiden Stichproben wurden zunächst die Professionalitätsüberzeugungen der befragten Deutschlehrpersonen mit einem offenen Item erfasst (Wortlaut Stichprobe 1:</w:t>
      </w:r>
      <w:r>
        <w:t xml:space="preserve"> </w:t>
      </w:r>
      <w:r>
        <w:t xml:space="preserve">“</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Lehrpersonen das Instrument von Cramer et al</w:t>
      </w:r>
      <w:r>
        <w:t xml:space="preserve"> </w:t>
      </w:r>
      <w:r>
        <w:t xml:space="preserve">(</w:t>
      </w:r>
      <w:hyperlink w:anchor="ref-cramer2023">
        <w:r>
          <w:rPr>
            <w:rStyle w:val="Hyperlink"/>
          </w:rPr>
          <w:t xml:space="preserve">2023</w:t>
        </w:r>
      </w:hyperlink>
      <w:r>
        <w:t xml:space="preserve">)</w:t>
      </w:r>
      <w:r>
        <w:t xml:space="preserve">vorgelegt. In Stichprobe 1 (domänenspezifische Überzeugungen) lautete der Itemstamm</w:t>
      </w:r>
      <w:r>
        <w:t xml:space="preserve"> </w:t>
      </w:r>
      <w:r>
        <w:t xml:space="preserve">“</w:t>
      </w:r>
      <w:r>
        <w:rPr>
          <w:i/>
          <w:iCs/>
        </w:rPr>
        <w:t xml:space="preserve">Eine professionelle Lehrperson in der Deutsch-Fachdidaktik (Sprache) …</w:t>
      </w:r>
      <w:r>
        <w:t xml:space="preserve">”</w:t>
      </w:r>
      <w:r>
        <w:t xml:space="preserve">, während in Stichprobe zwei der originale Itemstamm (</w:t>
      </w:r>
      <w:r>
        <w:t xml:space="preserve">“</w:t>
      </w:r>
      <w:r>
        <w:rPr>
          <w:i/>
          <w:iCs/>
        </w:rPr>
        <w:t xml:space="preserve">Eine professionelle Lehrperson …</w:t>
      </w:r>
      <w:r>
        <w:t xml:space="preserve">”</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Lehrpersonen (siehe</w:t>
      </w:r>
      <w:r>
        <w:t xml:space="preserve"> </w:t>
      </w:r>
      <w:hyperlink w:anchor="sec-wortlaut-der-items">
        <w:r>
          <w:rPr>
            <w:rStyle w:val="Hyperlink"/>
          </w:rPr>
          <w:t xml:space="preserve">Kapitel 1.0.1</w:t>
        </w:r>
      </w:hyperlink>
      <w:r>
        <w:t xml:space="preserve">).</w:t>
      </w:r>
    </w:p>
    <w:bookmarkEnd w:id="35"/>
    <w:bookmarkEnd w:id="36"/>
    <w:bookmarkStart w:id="40" w:name="statistische-modellierung"/>
    <w:p>
      <w:pPr>
        <w:pStyle w:val="Heading2"/>
      </w:pPr>
      <w:r>
        <w:t xml:space="preserve">Statistische Modellierung</w:t>
      </w:r>
    </w:p>
    <w:bookmarkStart w:id="37" w:name="sec-word-embeddings"/>
    <w:p>
      <w:pPr>
        <w:pStyle w:val="Heading3"/>
      </w:pPr>
      <w:r>
        <w:t xml:space="preserve">Word Embeddings und Ähnlichkeitsanalyse</w:t>
      </w:r>
    </w:p>
    <w:p>
      <w:pPr>
        <w:pStyle w:val="FirstParagraph"/>
      </w:pPr>
      <w:r>
        <w:t xml:space="preserve">Da sich Forschungsfrage 1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a">
        <w:r>
          <w:rPr>
            <w:rStyle w:val="Hyperlink"/>
          </w:rPr>
          <w:t xml:space="preserve">Reimers &amp; Gurevych, 2019</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a">
        <w:r>
          <w:rPr>
            <w:rStyle w:val="Hyperlink"/>
          </w:rPr>
          <w:t xml:space="preserve">Reimers &amp; Gurevych, 2019</w:t>
        </w:r>
      </w:hyperlink>
      <w:r>
        <w:t xml:space="preserve">; OpenAI text-embedding-ada-002</w:t>
      </w:r>
      <w:r>
        <w:t xml:space="preserve"> </w:t>
      </w:r>
      <w:hyperlink w:anchor="ref-greene2024">
        <w:r>
          <w:rPr>
            <w:rStyle w:val="Hyperlink"/>
          </w:rPr>
          <w:t xml:space="preserve">Greene et al., 2024</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
        <w:r>
          <w:rPr>
            <w:rStyle w:val="Hyperlink"/>
          </w:rPr>
          <w:t xml:space="preserve">Reimers &amp; Gurevych, o. J.</w:t>
        </w:r>
      </w:hyperlink>
      <w:r>
        <w:t xml:space="preserve">)</w:t>
      </w:r>
      <w:r>
        <w:t xml:space="preserve">. Die semantische Ähnlichkeit zweier Sätze - also zum Beispiel der Freitextantwort</w:t>
      </w:r>
      <w:r>
        <w:t xml:space="preserve"> </w:t>
      </w:r>
      <w:r>
        <w:t xml:space="preserve">“</w:t>
      </w:r>
      <w:r>
        <w:rPr>
          <w:i/>
          <w:iCs/>
        </w:rPr>
        <w:t xml:space="preserve">Eine Lehrkraft ist in der Fachdidaktik Deutsch dann professionell, wenn sie fundierte, sicher anwendungsbereite Kenntnisse in Grammatik, Rechtschreibung, Ausdruck, Textsorten, Epochen und Werkkenntnissen hat</w:t>
      </w:r>
      <w:r>
        <w:t xml:space="preserve">”</w:t>
      </w:r>
      <w:r>
        <w:t xml:space="preserve"> </w:t>
      </w:r>
      <w:r>
        <w:t xml:space="preserve">und des Items</w:t>
      </w:r>
      <w:r>
        <w:t xml:space="preserve"> </w:t>
      </w:r>
      <w:r>
        <w:t xml:space="preserve">“</w:t>
      </w:r>
      <w:r>
        <w:rPr>
          <w:i/>
          <w:iCs/>
        </w:rPr>
        <w:t xml:space="preserve">Eine professionelle Lehrperson verfügt über fachliches Wissen als Voraussetzung für den Wissenserwerb ihrer Schülerinnen und Schüler</w:t>
      </w:r>
      <w:r>
        <w:t xml:space="preserve">”</w:t>
      </w:r>
      <w:r>
        <w:t xml:space="preserve"> </w:t>
      </w:r>
      <w:r>
        <w:t xml:space="preserve">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dann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bookmarkEnd w:id="37"/>
    <w:bookmarkStart w:id="39"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weiterhin ein vierdimensionales Modell das die a priori Struktur (strukturtheoretischer, kompetenzorientierter, berufsbiografischer und metareflektiver Ansatz)-beinhaltet und schließlich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a posteriori Struktur abbildet spezifiziert (jeweils mit</w:t>
      </w:r>
      <w:r>
        <w:t xml:space="preserve"> </w:t>
      </w:r>
      <m:oMath>
        <m:r>
          <m:t>τ</m:t>
        </m:r>
      </m:oMath>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w:t>
      </w:r>
      <w:r>
        <w:t xml:space="preserve"> </w:t>
      </w:r>
      <w:hyperlink r:id="rId38">
        <w:r>
          <w:rPr>
            <w:rStyle w:val="Hyperlink"/>
          </w:rPr>
          <w:t xml:space="preserve">Präregistrierung</w:t>
        </w:r>
      </w:hyperlink>
      <w:r>
        <w:t xml:space="preserve">).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1">
        <w:r>
          <w:rPr>
            <w:rStyle w:val="Hyperlink"/>
          </w:rPr>
          <w:t xml:space="preserve">Luong &amp; Flake, 2021</w:t>
        </w:r>
      </w:hyperlink>
      <w:r>
        <w:t xml:space="preserve">;</w:t>
      </w:r>
      <w:r>
        <w:t xml:space="preserve"> </w:t>
      </w:r>
      <w:hyperlink w:anchor="ref-robitzsch2022">
        <w:r>
          <w:rPr>
            <w:rStyle w:val="Hyperlink"/>
          </w:rPr>
          <w:t xml:space="preserve">Robitzsch &amp; Lüdtke, 2022</w:t>
        </w:r>
      </w:hyperlink>
      <w:r>
        <w:t xml:space="preserve">)</w:t>
      </w:r>
      <w:r>
        <w:t xml:space="preserve"> </w:t>
      </w:r>
      <w:r>
        <w:t xml:space="preserve">des in beiden Stichproben überlegenen a posteriori Modells mittels konfirmatorischer Mehrgruppen-Faktorenmodelle durchgeführt.</w:t>
      </w:r>
    </w:p>
    <w:bookmarkEnd w:id="39"/>
    <w:bookmarkEnd w:id="40"/>
    <w:bookmarkStart w:id="45" w:name="ergebnisse"/>
    <w:p>
      <w:pPr>
        <w:pStyle w:val="Heading2"/>
      </w:pPr>
      <w:r>
        <w:t xml:space="preserve">Ergebnisse</w:t>
      </w:r>
    </w:p>
    <w:bookmarkStart w:id="42" w:name="forschungsfrage-1"/>
    <w:p>
      <w:pPr>
        <w:pStyle w:val="Heading3"/>
      </w:pPr>
      <w:r>
        <w:t xml:space="preserve">Forschungsfrage 1</w:t>
      </w:r>
    </w:p>
    <w:p>
      <w:pPr>
        <w:pStyle w:val="FirstParagraph"/>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Die</w:t>
      </w:r>
      <w:r>
        <w:t xml:space="preserve"> </w:t>
      </w:r>
      <m:oMath>
        <m:sSub>
          <m:e>
            <m:r>
              <m:t>N</m:t>
            </m:r>
          </m:e>
          <m:sub>
            <m:r>
              <m:t>1</m:t>
            </m:r>
          </m:sub>
        </m:sSub>
        <m:r>
          <m:rPr>
            <m:sty m:val="p"/>
          </m:rPr>
          <m:t>=</m:t>
        </m:r>
      </m:oMath>
      <w:r>
        <w:t xml:space="preserve"> </w:t>
      </w:r>
      <w:r>
        <w:t xml:space="preserve">206 Deutschlehrpersonen aus Stichprobe 1 gaben im Durschnitt 2.97 frei formulierte Antworten auf die Frage was ihrer Meinung nach Professionalität in der Sprachdidaktik Deutsch ausmacht. Alle Antworten sind im</w:t>
      </w:r>
      <w:r>
        <w:t xml:space="preserve"> </w:t>
      </w:r>
      <w:hyperlink r:id="rId41">
        <w:r>
          <w:rPr>
            <w:rStyle w:val="Hyperlink"/>
          </w:rPr>
          <w:t xml:space="preserve">Online-Supplement</w:t>
        </w:r>
      </w:hyperlink>
      <w:r>
        <w:t xml:space="preserve"> </w:t>
      </w:r>
      <w:r>
        <w:t xml:space="preserve">vollständig abgebildet</w:t>
      </w:r>
    </w:p>
    <w:p>
      <w:pPr>
        <w:pStyle w:val="BodyText"/>
      </w:pPr>
      <w:r>
        <w:t xml:space="preserve">Um zu eruieren, inwiefern diese offenen Antworten Ideen der vier unter</w:t>
      </w:r>
      <w:r>
        <w:t xml:space="preserve"> </w:t>
      </w:r>
      <w:hyperlink w:anchor="sec-professionalitat-von-lehrkraften">
        <w:r>
          <w:rPr>
            <w:rStyle w:val="Hyperlink"/>
          </w:rPr>
          <w:t xml:space="preserve">Kapitel 0.2.1</w:t>
        </w:r>
      </w:hyperlink>
      <w:r>
        <w:t xml:space="preserve"> </w:t>
      </w:r>
      <w:r>
        <w:t xml:space="preserve">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Lehrperson)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r:id="rId33">
        <w:r>
          <w:rPr>
            <w:rStyle w:val="Hyperlink"/>
          </w:rPr>
          <w:t xml:space="preserve">Reproduzierbarer Code</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Priorverteiltungen spezifiziert, wodurch die Punktschätzung vollständig durch die Likelihood der Daten getrieben ist</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&amp;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2"/>
    <w:bookmarkStart w:id="43"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 (siehe</w:t>
      </w:r>
      <w:r>
        <w:t xml:space="preserve"> </w:t>
      </w:r>
      <w:hyperlink w:anchor="sec-faktorenanalysen">
        <w:r>
          <w:rPr>
            <w:rStyle w:val="Hyperlink"/>
          </w:rPr>
          <w:t xml:space="preserve">Kapitel 0.6.2</w:t>
        </w:r>
      </w:hyperlink>
      <w:r>
        <w:t xml:space="preserve">).</w:t>
      </w:r>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3"/>
    <w:bookmarkStart w:id="44"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wie in</w:t>
      </w:r>
      <w:r>
        <w:t xml:space="preserve"> </w:t>
      </w:r>
      <w:hyperlink w:anchor="sec-word-embeddings">
        <w:r>
          <w:rPr>
            <w:rStyle w:val="Hyperlink"/>
          </w:rPr>
          <w:t xml:space="preserve">Kapitel 0.6.1</w:t>
        </w:r>
      </w:hyperlink>
      <w:r>
        <w:t xml:space="preserve"> </w:t>
      </w:r>
      <w:r>
        <w:t xml:space="preserve">spezifiziert, jedoch die Daten von Stichprobe 1 und 2 verwendent und um Interaktionseffekte für die Domänenspezifität ergänzt.</w:t>
      </w:r>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rPr>
          <w:vertAlign w:val="subscript"/>
        </w:rPr>
        <w:t xml:space="preserve">Quelle:</w:t>
      </w:r>
      <w:r>
        <w:rPr>
          <w:vertAlign w:val="subscript"/>
        </w:rPr>
        <w:t xml:space="preserve"> </w:t>
      </w:r>
      <w:hyperlink r:id="rId32">
        <w:r>
          <w:rPr>
            <w:rStyle w:val="Hyperlink"/>
            <w:vertAlign w:val="subscript"/>
          </w:rPr>
          <w:t xml:space="preserve">Artikel-Notizbuch</w:t>
        </w:r>
      </w:hyperlink>
    </w:p>
    <w:p>
      <w:pPr>
        <w:pStyle w:val="BodyText"/>
      </w:pPr>
      <w:r>
        <w:t xml:space="preserve">Die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Lehrpersonen dazu aufgefordert wurden zu beschreiben was Professionalität im Lehrberuf ausmacht (globale Professionalitätsüberzeugung) oder was Professionalität in der Fachdidaktik Deutsch (Sprache) ausmacht. Gleichzeitig fällt auf, dass die Ähnlichkeiten (mit einer Ausnahme von</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 (siehe</w:t>
      </w:r>
      <w:r>
        <w:t xml:space="preserve"> </w:t>
      </w:r>
      <w:hyperlink w:anchor="sec-faktorenanalysen">
        <w:r>
          <w:rPr>
            <w:rStyle w:val="Hyperlink"/>
          </w:rPr>
          <w:t xml:space="preserve">Kapitel 0.6.2</w:t>
        </w:r>
      </w:hyperlink>
      <w:r>
        <w:t xml:space="preserve">).</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Residualvarianen.</w:t>
      </w:r>
    </w:p>
    <w:bookmarkEnd w:id="44"/>
    <w:bookmarkEnd w:id="45"/>
    <w:bookmarkStart w:id="46" w:name="diskussion"/>
    <w:p>
      <w:pPr>
        <w:pStyle w:val="Heading2"/>
      </w:pPr>
      <w:r>
        <w:t xml:space="preserve">Diskussion</w:t>
      </w:r>
    </w:p>
    <w:p>
      <w:pPr>
        <w:pStyle w:val="FirstParagraph"/>
      </w:pPr>
      <w:r>
        <w:t xml:space="preserve">Die vorliegende Arbeit hat drei zentrale Ergebnisse: Erstens enthalten offene Antworten von Lehrpersonen auf die Frage, was</w:t>
      </w:r>
      <w:r>
        <w:t xml:space="preserve"> </w:t>
      </w:r>
      <w:r>
        <w:t xml:space="preserve">“Professionalität”</w:t>
      </w:r>
      <w:r>
        <w:t xml:space="preserve"> </w:t>
      </w:r>
      <w:r>
        <w:t xml:space="preserve">in der Deutsch-Fachdidaktik (Sprache) bzw. im Allgemeinen ausmacht, auch die Ideen bildungswissenschaftlicher Professionalitätsansätze (strukturtheoretischer, metareflektiver,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metareflektiven,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hu1999">
        <w:r>
          <w:rPr>
            <w:rStyle w:val="Hyperlink"/>
          </w:rPr>
          <w:t xml:space="preserve">Hu &amp; Bentler, 1999</w:t>
        </w:r>
      </w:hyperlink>
      <w:r>
        <w:t xml:space="preserve">;</w:t>
      </w:r>
      <w:r>
        <w:t xml:space="preserve"> </w:t>
      </w:r>
      <w:hyperlink w:anchor="ref-marsh2004">
        <w:r>
          <w:rPr>
            <w:rStyle w:val="Hyperlink"/>
          </w:rPr>
          <w:t xml:space="preserve">Marsh et al., 2004</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w:t>
      </w:r>
      <w:r>
        <w:rPr>
          <w:i/>
          <w:iCs/>
        </w:rPr>
        <w:t xml:space="preserve"> </w:t>
      </w:r>
      <w:r>
        <w:rPr>
          <w:i/>
          <w:iCs/>
        </w:rPr>
        <w:t xml:space="preserve">“Professionalität”</w:t>
      </w:r>
      <w:r>
        <w:rPr>
          <w:i/>
          <w:iCs/>
        </w:rPr>
        <w:t xml:space="preserve"> </w:t>
      </w:r>
      <w:r>
        <w:rPr>
          <w:i/>
          <w:iCs/>
        </w:rPr>
        <w:t xml:space="preserve">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und 2 wurden mit einer Stichprobe von aktiven Deutschlehrpersonen bearbeitet, deren Größe a priori mit einer Poweranalyse determiniert wurde. Für Forschungsfrage 3 wurde zudem eine repräsentative Stichprobe von Lehrpersonen reanalysiert. Dem stehen Schwächen der Studie - insbesondere die Konstruktvalidität betreffend - entgehen, sowohl bezüglich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von überhaupt als latente Faktoren existieren existieren die die Antworten auf die Items beeinflussen oder nicht eher als formative Indexvariablen</w:t>
      </w:r>
      <w:r>
        <w:t xml:space="preserve"> </w:t>
      </w:r>
      <w:r>
        <w:t xml:space="preserve">(</w:t>
      </w:r>
      <w:hyperlink w:anchor="ref-bollen2017">
        <w:r>
          <w:rPr>
            <w:rStyle w:val="Hyperlink"/>
          </w:rPr>
          <w:t xml:space="preserve">Bollen &amp; Diamantopoulos, 2017</w:t>
        </w:r>
      </w:hyperlink>
      <w:r>
        <w:t xml:space="preserve">)</w:t>
      </w:r>
      <w:r>
        <w:t xml:space="preserve"> </w:t>
      </w:r>
      <w:r>
        <w:t xml:space="preserve">konzipiert werden sollten die durch die Antworten der latenten Variable beeinflusst werden. Die Konstruktvalidität der für das Sentence Embedding verwendeten Transformermodellen ist vielfach sehr positiv beschrieben worden</w:t>
      </w:r>
      <w:r>
        <w:t xml:space="preserve"> </w:t>
      </w:r>
      <w:r>
        <w:t xml:space="preserve">(</w:t>
      </w:r>
      <w:hyperlink w:anchor="ref-reimers2019">
        <w:r>
          <w:rPr>
            <w:rStyle w:val="Hyperlink"/>
          </w:rPr>
          <w:t xml:space="preserve">Reimers &amp; Gurevych, o. J.</w:t>
        </w:r>
      </w:hyperlink>
      <w:r>
        <w:t xml:space="preserve">)</w:t>
      </w:r>
      <w:r>
        <w:t xml:space="preserve">.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&amp; Buehl, 2012</w:t>
        </w:r>
      </w:hyperlink>
      <w:r>
        <w:t xml:space="preserve">)</w:t>
      </w:r>
      <w:r>
        <w:t xml:space="preserve"> </w:t>
      </w:r>
      <w:r>
        <w:t xml:space="preserve">auch anwendungsbezogenere Folgeforschung: So stellt sich etwa die Frage ob solche Professionalitätsüberzeugungen die aus bildungswissenschaftlicher Sicht eher als überholt</w:t>
      </w:r>
      <w:r>
        <w:t xml:space="preserve"> </w:t>
      </w:r>
      <w:r>
        <w:t xml:space="preserve">(</w:t>
      </w:r>
      <w:hyperlink w:anchor="ref-rothland2021">
        <w:r>
          <w:rPr>
            <w:rStyle w:val="Hyperlink"/>
          </w:rPr>
          <w:t xml:space="preserve">Rothland, 2021</w:t>
        </w:r>
      </w:hyperlink>
      <w:r>
        <w:t xml:space="preserve">)</w:t>
      </w:r>
      <w:r>
        <w:t xml:space="preserve"> </w:t>
      </w:r>
      <w:r>
        <w:t xml:space="preserve">zu bewerten sind (z.B. eine bestimmte</w:t>
      </w:r>
      <w:r>
        <w:t xml:space="preserve"> </w:t>
      </w:r>
      <w:r>
        <w:t xml:space="preserve">“Lehrerinnen- und Lehrerpersönlichkeit”</w:t>
      </w:r>
      <w:r>
        <w:t xml:space="preserve"> </w:t>
      </w:r>
      <w:r>
        <w:t xml:space="preserve">als zentrales Merkmal von Professionalität), im Sinne eines Bestätigungsfehlers</w:t>
      </w:r>
      <w:r>
        <w:t xml:space="preserve"> </w:t>
      </w:r>
      <w:r>
        <w:t xml:space="preserve">(</w:t>
      </w:r>
      <w:r>
        <w:t xml:space="preserve">“Confirmation Bias”</w:t>
      </w:r>
      <w:r>
        <w:t xml:space="preserve">,</w:t>
      </w:r>
      <w:r>
        <w:t xml:space="preserve"> </w:t>
      </w:r>
      <w:hyperlink w:anchor="ref-bohrer2025">
        <w:r>
          <w:rPr>
            <w:rStyle w:val="Hyperlink"/>
          </w:rPr>
          <w:t xml:space="preserve">Bohrer et al., 2025</w:t>
        </w:r>
      </w:hyperlink>
      <w:r>
        <w:t xml:space="preserve">;</w:t>
      </w:r>
      <w:r>
        <w:t xml:space="preserve"> </w:t>
      </w:r>
      <w:hyperlink w:anchor="ref-masnick2009">
        <w:r>
          <w:rPr>
            <w:rStyle w:val="Hyperlink"/>
          </w:rPr>
          <w:t xml:space="preserve">Masnick &amp; Zimmerman, 2009</w:t>
        </w:r>
      </w:hyperlink>
      <w:r>
        <w:t xml:space="preserve">;</w:t>
      </w:r>
      <w:r>
        <w:t xml:space="preserve"> </w:t>
      </w:r>
      <w:hyperlink w:anchor="ref-nickerson1998">
        <w:r>
          <w:rPr>
            <w:rStyle w:val="Hyperlink"/>
          </w:rPr>
          <w:t xml:space="preserve">Nickerson, 1998</w:t>
        </w:r>
      </w:hyperlink>
      <w:r>
        <w:t xml:space="preserve">)</w:t>
      </w:r>
      <w:r>
        <w:t xml:space="preserve"> </w:t>
      </w:r>
      <w:r>
        <w:t xml:space="preserve">zur abwertenden Evaluation von empirischen Ergebnissen derjenigen Studien führen, die einen anderen Professionalitätsansatz verfolgen. Auch die Wahl von Veranstaltungen in der ersten Phase der Lehrpersonenbildung oder Entscheidungen für oder gegen bestimmte Fort- und Weiterbildungen im beruflichen Lernen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w:t>
      </w:r>
      <w:r>
        <w:t xml:space="preserve"> </w:t>
      </w:r>
      <w:r>
        <w:t xml:space="preserve">“Consider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6"/>
    <w:bookmarkEnd w:id="47"/>
    <w:bookmarkStart w:id="161" w:name="anhang"/>
    <w:p>
      <w:pPr>
        <w:pStyle w:val="Heading1"/>
      </w:pPr>
      <w:r>
        <w:t xml:space="preserve">Anhang</w:t>
      </w:r>
    </w:p>
    <w:bookmarkStart w:id="160"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w:t>
      </w:r>
      <w:r>
        <w:t xml:space="preserve"> </w:t>
      </w:r>
      <w:hyperlink r:id="rId48">
        <w:r>
          <w:rPr>
            <w:rStyle w:val="Hyperlink"/>
          </w:rPr>
          <w:t xml:space="preserve">Online-Supplement</w:t>
        </w:r>
      </w:hyperlink>
    </w:p>
    <w:bookmarkStart w:id="49" w:name="tbl-embeddings"/>
    <w:p>
      <w:pPr>
        <w:pStyle w:val="FigureTitle"/>
      </w:pPr>
      <w:r>
        <w:t xml:space="preserve">Tabelle 1</w:t>
      </w:r>
    </w:p>
    <w:p>
      <w:pPr>
        <w:pStyle w:val="Caption"/>
      </w:pPr>
      <w:r>
        <w:t xml:space="preserve">Deskriptive Verteilungsbeschreibung der Ähnlichkeiten der offenen Antworten zu allen Items (ST = strukturtheoretischer Ansatz, MR = Metareflektiver Ansatz, KO = kompetenzorientierter Ansatz, BB = berufsbiographischer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9"/>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p>
      <w:r>
        <w:br w:type="page"/>
      </w:r>
    </w:p>
    <w:bookmarkStart w:id="50" w:name="tbl-conditional-effects-embeddings"/>
    <w:p>
      <w:pPr>
        <w:pStyle w:val="FigureTitle"/>
      </w:pPr>
      <w:r>
        <w:t xml:space="preserve">Tabelle 2</w:t>
      </w:r>
    </w:p>
    <w:p>
      <w:pPr>
        <w:pStyle w:val="Caption"/>
      </w:pPr>
      <w:r>
        <w:t xml:space="preserve">Bedingte Effekte der Mehrebenen-Beta-Regressionsmodelle (ST = strukturtheoretischer Ansatz, MR = Metareflektiver Ansatz, KO = kompetenzorientierter Ansatz, BB = berufsbiographischer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50"/>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p>
      <w:r>
        <w:br w:type="page"/>
      </w:r>
    </w:p>
    <w:bookmarkStart w:id="51"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51"/>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p>
      <w:r>
        <w:br w:type="page"/>
      </w:r>
    </w:p>
    <w:bookmarkStart w:id="56" w:name="cell-fig-embeddings"/>
    <w:bookmarkStart w:id="55" w:name="fig-embeddings"/>
    <w:p>
      <w:pPr>
        <w:pStyle w:val="FigureTitle"/>
      </w:pPr>
      <w:r>
        <w:t xml:space="preserve">Abbildung 1</w:t>
      </w:r>
    </w:p>
    <w:p>
      <w:pPr>
        <w:pStyle w:val="Caption"/>
      </w:pPr>
      <w:r>
        <w:t xml:space="preserve">Ähnlichkeiten der offenen Antworten zu allen Items, gegliedert nach deren a priori Dimensionen (ST = strukturtheoretischer Ansatz, MR = Metareflektiver Ansatz, KO = kompetenzorientierter Ansatz, BB = berufsbiographischer Ansatz).</w:t>
      </w:r>
    </w:p>
    <w:p>
      <w:pPr>
        <w:pStyle w:val="FigureWithoutNote"/>
      </w:pPr>
      <w:r>
        <w:drawing>
          <wp:inline>
            <wp:extent cx="5943600" cy="4245428"/>
            <wp:effectExtent b="0" l="0" r="0" t="0"/>
            <wp:docPr descr="" title="" id="53" name="Picture"/>
            <a:graphic>
              <a:graphicData uri="http://schemas.openxmlformats.org/drawingml/2006/picture">
                <pic:pic>
                  <pic:nvPicPr>
                    <pic:cNvPr descr="index_files/figure-docx/fig-embeddings-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bookmarkEnd w:id="55"/>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bookmarkEnd w:id="56"/>
    <w:p>
      <w:r>
        <w:br w:type="page"/>
      </w:r>
    </w:p>
    <w:bookmarkStart w:id="61" w:name="cell-fig-cond-eff-reg-ff3"/>
    <w:bookmarkStart w:id="60"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ST = strukturtheoretischer Ansatz, MR = Metareflektiver Ansatz, KO = kompetenzorientierter Ansatz, BB = berufsbiographischer Ansatz).</w:t>
      </w:r>
    </w:p>
    <w:p>
      <w:pPr>
        <w:pStyle w:val="FigureWithoutNote"/>
      </w:pPr>
      <w:r>
        <w:drawing>
          <wp:inline>
            <wp:extent cx="5943600" cy="4245428"/>
            <wp:effectExtent b="0" l="0" r="0" t="0"/>
            <wp:docPr descr="" title="" id="58" name="Picture"/>
            <a:graphic>
              <a:graphicData uri="http://schemas.openxmlformats.org/drawingml/2006/picture">
                <pic:pic>
                  <pic:nvPicPr>
                    <pic:cNvPr descr="index_files/figure-docx/fig-cond-eff-reg-ff3-1.png" id="59"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p>
    <w:bookmarkEnd w:id="60"/>
    <w:p>
      <w:pPr>
        <w:pStyle w:val="FigureWithoutNote"/>
      </w:pPr>
      <w:r>
        <w:rPr>
          <w:vertAlign w:val="subscript"/>
        </w:rPr>
        <w:t xml:space="preserve">Quelle:</w:t>
      </w:r>
      <w:r>
        <w:rPr>
          <w:vertAlign w:val="subscript"/>
        </w:rPr>
        <w:t xml:space="preserve"> </w:t>
      </w:r>
      <w:hyperlink r:id="rId32">
        <w:r>
          <w:rPr>
            <w:rStyle w:val="Hyperlink"/>
            <w:vertAlign w:val="subscript"/>
          </w:rPr>
          <w:t xml:space="preserve">Artikel-Notizbuch</w:t>
        </w:r>
      </w:hyperlink>
    </w:p>
    <w:bookmarkEnd w:id="61"/>
    <w:p>
      <w:r>
        <w:br w:type="page"/>
      </w:r>
    </w:p>
    <w:bookmarkStart w:id="159" w:name="refs"/>
    <w:bookmarkStart w:id="62" w:name="ref-bauer2000"/>
    <w:p>
      <w:pPr>
        <w:pStyle w:val="Bibliography"/>
      </w:pPr>
      <w:r>
        <w:t xml:space="preserve">Bauer, K.-O. (2000).</w:t>
      </w:r>
      <w:r>
        <w:t xml:space="preserve"> </w:t>
      </w:r>
      <w:r>
        <w:rPr>
          <w:i/>
          <w:iCs/>
        </w:rPr>
        <w:t xml:space="preserve">Pädagoge - Profession und Nebenbeschäftigung?</w:t>
      </w:r>
      <w:r>
        <w:t xml:space="preserve"> </w:t>
      </w:r>
      <w:r>
        <w:t xml:space="preserve">(O. Jaumann-Graumann &amp; W. Köhnlein, Hrsg.; S. 25–44).</w:t>
      </w:r>
    </w:p>
    <w:bookmarkEnd w:id="62"/>
    <w:bookmarkStart w:id="64"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3">
        <w:r>
          <w:rPr>
            <w:rStyle w:val="Hyperlink"/>
          </w:rPr>
          <w:t xml:space="preserve">https://doi.org/10.1007/s11618-006-0165-2</w:t>
        </w:r>
      </w:hyperlink>
    </w:p>
    <w:bookmarkEnd w:id="64"/>
    <w:bookmarkStart w:id="66" w:name="ref-Bell2011"/>
    <w:p>
      <w:pPr>
        <w:pStyle w:val="Bibliography"/>
      </w:pPr>
      <w:r>
        <w:t xml:space="preserve">Bell, S. (2011).</w:t>
      </w:r>
      <w:r>
        <w:t xml:space="preserve"> </w:t>
      </w:r>
      <w:r>
        <w:rPr>
          <w:i/>
          <w:iCs/>
        </w:rPr>
        <w:t xml:space="preserve">Professionalism through the eyes of female elementary teachers in Ontario</w:t>
      </w:r>
      <w:r>
        <w:t xml:space="preserve"> </w:t>
      </w:r>
      <w:r>
        <w:t xml:space="preserve">[Phdthesis].</w:t>
      </w:r>
      <w:r>
        <w:t xml:space="preserve"> </w:t>
      </w:r>
      <w:hyperlink r:id="rId65">
        <w:r>
          <w:rPr>
            <w:rStyle w:val="Hyperlink"/>
          </w:rPr>
          <w:t xml:space="preserve">http:// hdl.handle.net/1974/6468</w:t>
        </w:r>
      </w:hyperlink>
    </w:p>
    <w:bookmarkEnd w:id="66"/>
    <w:bookmarkStart w:id="68"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7">
        <w:r>
          <w:rPr>
            <w:rStyle w:val="Hyperlink"/>
          </w:rPr>
          <w:t xml:space="preserve">https://doi.org/10.1027/2151-2604/a000568</w:t>
        </w:r>
      </w:hyperlink>
    </w:p>
    <w:bookmarkEnd w:id="68"/>
    <w:bookmarkStart w:id="69" w:name="ref-blömeke2008"/>
    <w:p>
      <w:pPr>
        <w:pStyle w:val="Bibliography"/>
      </w:pPr>
      <w:r>
        <w:t xml:space="preserve">Blömeke, S., Müller, C., Felbrich, A., &amp; Kaiser, G. (2008).</w:t>
      </w:r>
      <w:r>
        <w:t xml:space="preserve"> </w:t>
      </w:r>
      <w:r>
        <w:rPr>
          <w:i/>
          <w:iCs/>
        </w:rPr>
        <w:t xml:space="preserve">Epistemologische Überzeugungen zur Mathematik</w:t>
      </w:r>
      <w:r>
        <w:t xml:space="preserve"> </w:t>
      </w:r>
      <w:r>
        <w:t xml:space="preserve">(S. Blömeke, G. Kaiser, &amp; R. Lehmann, Hrsg.; S. 219–246). Waxmann.</w:t>
      </w:r>
    </w:p>
    <w:bookmarkEnd w:id="69"/>
    <w:bookmarkStart w:id="70" w:name="ref-bohrer2025"/>
    <w:p>
      <w:pPr>
        <w:pStyle w:val="Bibliography"/>
      </w:pPr>
      <w:r>
        <w:t xml:space="preserve">Bohrer, K., Schmidt, K., &amp; Merk, S. (2025).</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70"/>
    <w:bookmarkStart w:id="72" w:name="ref-bollen2017"/>
    <w:p>
      <w:pPr>
        <w:pStyle w:val="Bibliography"/>
      </w:pPr>
      <w:r>
        <w:t xml:space="preserve">Bollen, K. A., &amp; Diamantopoulos, A. (2017). In Defense of Causal-Formative Indicators: A Minority Report.</w:t>
      </w:r>
      <w:r>
        <w:t xml:space="preserve"> </w:t>
      </w:r>
      <w:r>
        <w:rPr>
          <w:i/>
          <w:iCs/>
        </w:rPr>
        <w:t xml:space="preserve">Psychological methods</w:t>
      </w:r>
      <w:r>
        <w:t xml:space="preserve">,</w:t>
      </w:r>
      <w:r>
        <w:t xml:space="preserve"> </w:t>
      </w:r>
      <w:r>
        <w:rPr>
          <w:i/>
          <w:iCs/>
        </w:rPr>
        <w:t xml:space="preserve">22</w:t>
      </w:r>
      <w:r>
        <w:t xml:space="preserve">(3), 581–596.</w:t>
      </w:r>
      <w:r>
        <w:t xml:space="preserve"> </w:t>
      </w:r>
      <w:hyperlink r:id="rId71">
        <w:r>
          <w:rPr>
            <w:rStyle w:val="Hyperlink"/>
          </w:rPr>
          <w:t xml:space="preserve">https://doi.org/10.1037/met0000056</w:t>
        </w:r>
      </w:hyperlink>
    </w:p>
    <w:bookmarkEnd w:id="72"/>
    <w:bookmarkStart w:id="73"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73"/>
    <w:bookmarkStart w:id="75"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w:t>
      </w:r>
      <w:r>
        <w:t xml:space="preserve">Effects of elaborative feedback and correct answer feedback on reducing confirmation bias</w:t>
      </w:r>
      <w:r>
        <w:t xml:space="preserve"> </w:t>
      </w:r>
      <w:r>
        <w:t xml:space="preserve"> </w:t>
      </w:r>
      <w:r>
        <w:t xml:space="preserve">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4">
        <w:r>
          <w:rPr>
            <w:rStyle w:val="Hyperlink"/>
          </w:rPr>
          <w:t xml:space="preserve">https://doi.org/10.1016/j.cedpsych.2020.101844</w:t>
        </w:r>
      </w:hyperlink>
    </w:p>
    <w:bookmarkEnd w:id="75"/>
    <w:bookmarkStart w:id="77"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6">
        <w:r>
          <w:rPr>
            <w:rStyle w:val="Hyperlink"/>
          </w:rPr>
          <w:t xml:space="preserve">https://doi.org/10.18637/jss.v080.i01</w:t>
        </w:r>
      </w:hyperlink>
    </w:p>
    <w:bookmarkEnd w:id="77"/>
    <w:bookmarkStart w:id="79" w:name="ref-cramer2023c"/>
    <w:p>
      <w:pPr>
        <w:pStyle w:val="Bibliography"/>
      </w:pPr>
      <w:r>
        <w:t xml:space="preserve">Cramer, C. (2023).</w:t>
      </w:r>
      <w:r>
        <w:t xml:space="preserve"> </w:t>
      </w:r>
      <w:r>
        <w:rPr>
          <w:i/>
          <w:iCs/>
        </w:rPr>
        <w:t xml:space="preserve">Meta-Reflexivität in der Diskussion. Erweiterung der Theorie und empirische Perspektiven</w:t>
      </w:r>
      <w:r>
        <w:t xml:space="preserve"> </w:t>
      </w:r>
      <w:r>
        <w:t xml:space="preserve">(C. Cramer, Hrsg.; S. 9–48). Waxmann Verlag GmbH.</w:t>
      </w:r>
      <w:r>
        <w:t xml:space="preserve"> </w:t>
      </w:r>
      <w:hyperlink r:id="rId78">
        <w:r>
          <w:rPr>
            <w:rStyle w:val="Hyperlink"/>
          </w:rPr>
          <w:t xml:space="preserve">https://doi.org/10.31244/9783830998068.01</w:t>
        </w:r>
      </w:hyperlink>
    </w:p>
    <w:bookmarkEnd w:id="79"/>
    <w:bookmarkStart w:id="81" w:name="ref-cramer2023a"/>
    <w:p>
      <w:pPr>
        <w:pStyle w:val="Bibliography"/>
      </w:pPr>
      <w:r>
        <w:t xml:space="preserve">Cramer, C., Brown, C., &amp; Aldridge, D. (2023). Meta-Reflexivity and Teacher Professionalism: Facilitating Multiparadigmatic Teacher Education to Achieve a Future-Proof Profession.</w:t>
      </w:r>
      <w:r>
        <w:t xml:space="preserve"> </w:t>
      </w:r>
      <w:r>
        <w:rPr>
          <w:i/>
          <w:iCs/>
        </w:rPr>
        <w:t xml:space="preserve">Journal of Teacher Education</w:t>
      </w:r>
      <w:r>
        <w:t xml:space="preserve">, 00224871231162295.</w:t>
      </w:r>
      <w:r>
        <w:t xml:space="preserve"> </w:t>
      </w:r>
      <w:hyperlink r:id="rId80">
        <w:r>
          <w:rPr>
            <w:rStyle w:val="Hyperlink"/>
          </w:rPr>
          <w:t xml:space="preserve">https://doi.org/10.1177/00224871231162295</w:t>
        </w:r>
      </w:hyperlink>
    </w:p>
    <w:bookmarkEnd w:id="81"/>
    <w:bookmarkStart w:id="82" w:name="ref-cramer2023"/>
    <w:p>
      <w:pPr>
        <w:pStyle w:val="Bibliography"/>
      </w:pPr>
      <w:r>
        <w:t xml:space="preserve">Cramer, C., Groß Ophoff, J., &amp; Schreiber, F. (2023).</w:t>
      </w:r>
      <w:r>
        <w:t xml:space="preserve"> </w:t>
      </w:r>
      <w:r>
        <w:rPr>
          <w:i/>
          <w:iCs/>
        </w:rPr>
        <w:t xml:space="preserve">Professionalität im Lehrerinnen- und Lehrerberuf</w:t>
      </w:r>
      <w:r>
        <w:t xml:space="preserve">.</w:t>
      </w:r>
    </w:p>
    <w:bookmarkEnd w:id="82"/>
    <w:bookmarkStart w:id="83" w:name="ref-cramer2019"/>
    <w:p>
      <w:pPr>
        <w:pStyle w:val="Bibliography"/>
      </w:pPr>
      <w:r>
        <w:t xml:space="preserve">Cramer, C., Harant, M., Merk, S., Drahmann, M., &amp; Emmerich, M. (2019). Meta-Reflexivität und Professionalität im Lehrerinnen- und Lehrerberuf.</w:t>
      </w:r>
      <w:r>
        <w:t xml:space="preserve"> </w:t>
      </w:r>
      <w:r>
        <w:rPr>
          <w:i/>
          <w:iCs/>
        </w:rPr>
        <w:t xml:space="preserve">Zeitschrift für Pädagogik</w:t>
      </w:r>
      <w:r>
        <w:t xml:space="preserve">,</w:t>
      </w:r>
      <w:r>
        <w:t xml:space="preserve"> </w:t>
      </w:r>
      <w:r>
        <w:rPr>
          <w:i/>
          <w:iCs/>
        </w:rPr>
        <w:t xml:space="preserve">65</w:t>
      </w:r>
      <w:r>
        <w:t xml:space="preserve">(3), 401–423.</w:t>
      </w:r>
    </w:p>
    <w:bookmarkEnd w:id="83"/>
    <w:bookmarkStart w:id="85"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84">
        <w:r>
          <w:rPr>
            <w:rStyle w:val="Hyperlink"/>
          </w:rPr>
          <w:t xml:space="preserve">https://doi.org/10.1024/1010-0652.22.34.193</w:t>
        </w:r>
      </w:hyperlink>
    </w:p>
    <w:bookmarkEnd w:id="85"/>
    <w:bookmarkStart w:id="86" w:name="ref-fabel-lamla2018"/>
    <w:p>
      <w:pPr>
        <w:pStyle w:val="Bibliography"/>
      </w:pPr>
      <w:r>
        <w:t xml:space="preserve">Fabel-Lamla, M. (2018).</w:t>
      </w:r>
      <w:r>
        <w:t xml:space="preserve"> </w:t>
      </w:r>
      <w:r>
        <w:rPr>
          <w:i/>
          <w:iCs/>
        </w:rPr>
        <w:t xml:space="preserve">Der (berufs-)biographische professionsansatz zum lehrerberuf</w:t>
      </w:r>
      <w:r>
        <w:t xml:space="preserve"> </w:t>
      </w:r>
      <w:r>
        <w:t xml:space="preserve">(J. Böhme, C. Cramer, &amp; C. Bressler, Hrsg.; S. 82100). Klinkhardt.</w:t>
      </w:r>
    </w:p>
    <w:bookmarkEnd w:id="86"/>
    <w:bookmarkStart w:id="88" w:name="ref-fives2019"/>
    <w:p>
      <w:pPr>
        <w:pStyle w:val="Bibliography"/>
      </w:pPr>
      <w:r>
        <w:t xml:space="preserve">Fives, H., Barnes, N., Chiavola, C., SaizdeLaMora, K., Oliveros, E., &amp; Mabrouk-Hattab, S. (2019).</w:t>
      </w:r>
      <w:r>
        <w:t xml:space="preserve"> </w:t>
      </w:r>
      <w:r>
        <w:rPr>
          <w:i/>
          <w:iCs/>
        </w:rPr>
        <w:t xml:space="preserve">Reviews of teachers</w:t>
      </w:r>
      <w:r>
        <w:rPr>
          <w:i/>
          <w:iCs/>
        </w:rPr>
        <w:t xml:space="preserve">’</w:t>
      </w:r>
      <w:r>
        <w:rPr>
          <w:i/>
          <w:iCs/>
        </w:rPr>
        <w:t xml:space="preserve"> </w:t>
      </w:r>
      <w:r>
        <w:rPr>
          <w:i/>
          <w:iCs/>
        </w:rPr>
        <w:t xml:space="preserve">beliefs</w:t>
      </w:r>
      <w:r>
        <w:t xml:space="preserve">. Oxford University Press.</w:t>
      </w:r>
      <w:r>
        <w:t xml:space="preserve"> </w:t>
      </w:r>
      <w:hyperlink r:id="rId87">
        <w:r>
          <w:rPr>
            <w:rStyle w:val="Hyperlink"/>
          </w:rPr>
          <w:t xml:space="preserve">https://doi.org/10.1093/acrefore/9780190264093.013.781</w:t>
        </w:r>
      </w:hyperlink>
    </w:p>
    <w:bookmarkEnd w:id="88"/>
    <w:bookmarkStart w:id="90"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89">
        <w:r>
          <w:rPr>
            <w:rStyle w:val="Hyperlink"/>
          </w:rPr>
          <w:t xml:space="preserve">https://doi.org/10.1016/j.cedpsych.2008.01.001</w:t>
        </w:r>
      </w:hyperlink>
    </w:p>
    <w:bookmarkEnd w:id="90"/>
    <w:bookmarkStart w:id="92" w:name="ref-fives2012"/>
    <w:p>
      <w:pPr>
        <w:pStyle w:val="Bibliography"/>
      </w:pPr>
      <w:r>
        <w:t xml:space="preserve">Fives, H., &amp; Buehl, M. M. (2012).</w:t>
      </w:r>
      <w:r>
        <w:t xml:space="preserve"> </w:t>
      </w:r>
      <w:r>
        <w:rPr>
          <w:i/>
          <w:iCs/>
        </w:rPr>
        <w:t xml:space="preserve">Spring cleaning for the</w:t>
      </w:r>
      <w:r>
        <w:rPr>
          <w:i/>
          <w:iCs/>
        </w:rPr>
        <w:t xml:space="preserve"> </w:t>
      </w:r>
      <w:r>
        <w:rPr>
          <w:i/>
          <w:iCs/>
        </w:rPr>
        <w:t xml:space="preserve">“</w:t>
      </w:r>
      <w:r>
        <w:rPr>
          <w:i/>
          <w:iCs/>
        </w:rPr>
        <w:t xml:space="preserve">messy</w:t>
      </w:r>
      <w:r>
        <w:rPr>
          <w:i/>
          <w:iCs/>
        </w:rPr>
        <w:t xml:space="preserve">”</w:t>
      </w:r>
      <w:r>
        <w:rPr>
          <w:i/>
          <w:iCs/>
        </w:rPr>
        <w:t xml:space="preserve"> </w:t>
      </w:r>
      <w:r>
        <w:rPr>
          <w:i/>
          <w:iCs/>
        </w:rPr>
        <w:t xml:space="preserve">construct of teachers</w:t>
      </w:r>
      <w:r>
        <w:rPr>
          <w:i/>
          <w:iCs/>
        </w:rPr>
        <w:t xml:space="preserve">’</w:t>
      </w:r>
      <w:r>
        <w:rPr>
          <w:i/>
          <w:iCs/>
        </w:rPr>
        <w:t xml:space="preserve"> </w:t>
      </w:r>
      <w:r>
        <w:rPr>
          <w:i/>
          <w:iCs/>
        </w:rPr>
        <w:t xml:space="preserve">beliefs: What are they? Which have been examined? What can they tell us?</w:t>
      </w:r>
      <w:r>
        <w:t xml:space="preserve"> </w:t>
      </w:r>
      <w:r>
        <w:t xml:space="preserve">(K. R. Harris, S. Graham, T. Urdan, S. Graham, J. M. Royer, &amp; M. Zeidner, Hrsg.; S. 471–499). American Psychological Association.</w:t>
      </w:r>
      <w:r>
        <w:t xml:space="preserve"> </w:t>
      </w:r>
      <w:hyperlink r:id="rId91">
        <w:r>
          <w:rPr>
            <w:rStyle w:val="Hyperlink"/>
          </w:rPr>
          <w:t xml:space="preserve">https://doi.org/10.1037/13274-019</w:t>
        </w:r>
      </w:hyperlink>
    </w:p>
    <w:bookmarkEnd w:id="92"/>
    <w:bookmarkStart w:id="93" w:name="ref-gebauer2013"/>
    <w:p>
      <w:pPr>
        <w:pStyle w:val="Bibliography"/>
      </w:pPr>
      <w:r>
        <w:t xml:space="preserve">Gebauer, M. M., McElvany, N., &amp; Klukas, S. (2013). Einstellungen von Lehramtsanwärterinnen und Lehramtsanwärtern zum Umgang mit heterogenen Schülergruppen in Schule und Unterricht.</w:t>
      </w:r>
      <w:r>
        <w:t xml:space="preserve"> </w:t>
      </w:r>
      <w:r>
        <w:rPr>
          <w:i/>
          <w:iCs/>
        </w:rPr>
        <w:t xml:space="preserve">Jahrbuch der Schulentwicklung</w:t>
      </w:r>
      <w:r>
        <w:t xml:space="preserve">,</w:t>
      </w:r>
      <w:r>
        <w:t xml:space="preserve"> </w:t>
      </w:r>
      <w:r>
        <w:rPr>
          <w:i/>
          <w:iCs/>
        </w:rPr>
        <w:t xml:space="preserve">17</w:t>
      </w:r>
      <w:r>
        <w:t xml:space="preserve">, 191–216.</w:t>
      </w:r>
    </w:p>
    <w:bookmarkEnd w:id="93"/>
    <w:bookmarkStart w:id="95"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94">
        <w:r>
          <w:rPr>
            <w:rStyle w:val="Hyperlink"/>
          </w:rPr>
          <w:t xml:space="preserve">https://doi.org/10.1111/bjep.12643</w:t>
        </w:r>
      </w:hyperlink>
    </w:p>
    <w:bookmarkEnd w:id="95"/>
    <w:bookmarkStart w:id="97" w:name="ref-greene2024"/>
    <w:p>
      <w:pPr>
        <w:pStyle w:val="Bibliography"/>
      </w:pPr>
      <w:r>
        <w:t xml:space="preserve">Greene, R., Sanders, T., Weng, L., &amp; Neelakatan, A. (2024).</w:t>
      </w:r>
      <w:r>
        <w:t xml:space="preserve"> </w:t>
      </w:r>
      <w:r>
        <w:rPr>
          <w:i/>
          <w:iCs/>
        </w:rPr>
        <w:t xml:space="preserve">New and improved embedding model Ryan Greene, Ted Sanders, Lilian Weng, Arvind Neelakantan</w:t>
      </w:r>
      <w:r>
        <w:t xml:space="preserve">.</w:t>
      </w:r>
      <w:r>
        <w:t xml:space="preserve"> </w:t>
      </w:r>
      <w:hyperlink r:id="rId96">
        <w:r>
          <w:rPr>
            <w:rStyle w:val="Hyperlink"/>
          </w:rPr>
          <w:t xml:space="preserve">https://openai.com/index/new-and-improved-embedding-model/</w:t>
        </w:r>
      </w:hyperlink>
    </w:p>
    <w:bookmarkEnd w:id="97"/>
    <w:bookmarkStart w:id="98" w:name="ref-helsper2014"/>
    <w:p>
      <w:pPr>
        <w:pStyle w:val="Bibliography"/>
      </w:pPr>
      <w:r>
        <w:t xml:space="preserve">Helsper, W. (2014).</w:t>
      </w:r>
      <w:r>
        <w:t xml:space="preserve"> </w:t>
      </w:r>
      <w:r>
        <w:rPr>
          <w:i/>
          <w:iCs/>
        </w:rPr>
        <w:t xml:space="preserve">Lehrerprofessionalität - der strukturtheoretische Professionsansatz zum Lehrerberuf</w:t>
      </w:r>
      <w:r>
        <w:t xml:space="preserve"> </w:t>
      </w:r>
      <w:r>
        <w:t xml:space="preserve">(E. Terhart, H. Bennewitz, &amp; M. Rothland, Hrsg.; S. 216240). Waxmann.</w:t>
      </w:r>
    </w:p>
    <w:bookmarkEnd w:id="98"/>
    <w:bookmarkStart w:id="99" w:name="ref-helsper2021"/>
    <w:p>
      <w:pPr>
        <w:pStyle w:val="Bibliography"/>
      </w:pPr>
      <w:r>
        <w:t xml:space="preserve">Helsper, W. (2021).</w:t>
      </w:r>
      <w:r>
        <w:t xml:space="preserve"> </w:t>
      </w:r>
      <w:r>
        <w:rPr>
          <w:i/>
          <w:iCs/>
        </w:rPr>
        <w:t xml:space="preserve">Professionalität und Professionalisierung pädagogischen Handelns: Eine Einführung</w:t>
      </w:r>
      <w:r>
        <w:t xml:space="preserve">. UTB.</w:t>
      </w:r>
    </w:p>
    <w:bookmarkEnd w:id="99"/>
    <w:bookmarkStart w:id="101" w:name="ref-hofer2012"/>
    <w:p>
      <w:pPr>
        <w:pStyle w:val="Bibliography"/>
      </w:pPr>
      <w:r>
        <w:t xml:space="preserve">Hofer, B. K., &amp; Bendixen, L. D. (2012).</w:t>
      </w:r>
      <w:r>
        <w:t xml:space="preserve"> </w:t>
      </w:r>
      <w:r>
        <w:rPr>
          <w:i/>
          <w:iCs/>
        </w:rPr>
        <w:t xml:space="preserve">Personal epistemology: Theory, research, and future directions</w:t>
      </w:r>
      <w:r>
        <w:t xml:space="preserve"> </w:t>
      </w:r>
      <w:r>
        <w:t xml:space="preserve">(K. R. Harris, S. Graham, T. Urdan, C. B. McCormick, G. M. Sinatra, &amp; J. Sweller, Hrsg.; S. 227–256). American Psychological Association.</w:t>
      </w:r>
      <w:r>
        <w:t xml:space="preserve"> </w:t>
      </w:r>
      <w:hyperlink r:id="rId100">
        <w:r>
          <w:rPr>
            <w:rStyle w:val="Hyperlink"/>
          </w:rPr>
          <w:t xml:space="preserve">https://doi.org/10.1037/13273-009</w:t>
        </w:r>
      </w:hyperlink>
    </w:p>
    <w:bookmarkEnd w:id="101"/>
    <w:bookmarkStart w:id="103"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102">
        <w:r>
          <w:rPr>
            <w:rStyle w:val="Hyperlink"/>
          </w:rPr>
          <w:t xml:space="preserve">https://doi.org/10.1007/s11618-014-0563-9</w:t>
        </w:r>
      </w:hyperlink>
    </w:p>
    <w:bookmarkEnd w:id="103"/>
    <w:bookmarkStart w:id="105" w:name="ref-hu1999"/>
    <w:p>
      <w:pPr>
        <w:pStyle w:val="Bibliography"/>
      </w:pPr>
      <w:r>
        <w:t xml:space="preserve">Hu, L., &amp; Bentler, P. M. (1999). Cutoff criteria for fit indexes in covariance structure analysis: Conventional criteria versus new alternatives.</w:t>
      </w:r>
      <w:r>
        <w:t xml:space="preserve"> </w:t>
      </w:r>
      <w:r>
        <w:rPr>
          <w:i/>
          <w:iCs/>
        </w:rPr>
        <w:t xml:space="preserve">Structural Equation Modeling: A Multidisciplinary Journal</w:t>
      </w:r>
      <w:r>
        <w:t xml:space="preserve">,</w:t>
      </w:r>
      <w:r>
        <w:t xml:space="preserve"> </w:t>
      </w:r>
      <w:r>
        <w:rPr>
          <w:i/>
          <w:iCs/>
        </w:rPr>
        <w:t xml:space="preserve">6</w:t>
      </w:r>
      <w:r>
        <w:t xml:space="preserve">(1), 1–55.</w:t>
      </w:r>
      <w:r>
        <w:t xml:space="preserve"> </w:t>
      </w:r>
      <w:hyperlink r:id="rId104">
        <w:r>
          <w:rPr>
            <w:rStyle w:val="Hyperlink"/>
          </w:rPr>
          <w:t xml:space="preserve">https://doi.org/10.1080/10705519909540118</w:t>
        </w:r>
      </w:hyperlink>
    </w:p>
    <w:bookmarkEnd w:id="105"/>
    <w:bookmarkStart w:id="107"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106">
        <w:r>
          <w:rPr>
            <w:rStyle w:val="Hyperlink"/>
          </w:rPr>
          <w:t xml:space="preserve">https://doi.org/10.1037/met0000542</w:t>
        </w:r>
      </w:hyperlink>
    </w:p>
    <w:bookmarkEnd w:id="107"/>
    <w:bookmarkStart w:id="109" w:name="ref-konig2020"/>
    <w:p>
      <w:pPr>
        <w:pStyle w:val="Bibliography"/>
      </w:pPr>
      <w:r>
        <w:t xml:space="preserve">König, J. (2020).</w:t>
      </w:r>
      <w:r>
        <w:t xml:space="preserve"> </w:t>
      </w:r>
      <w:r>
        <w:rPr>
          <w:i/>
          <w:iCs/>
        </w:rPr>
        <w:t xml:space="preserve">Kompetenzorientierter Ansatz in der Lehrerinnen- und Lehrerbildung</w:t>
      </w:r>
      <w:r>
        <w:t xml:space="preserve"> </w:t>
      </w:r>
      <w:r>
        <w:t xml:space="preserve">(C. Cramer, J. König, M. Rothland, &amp; S. Blömeke, Hrsg.). Verlag Julius Klinkhardt.</w:t>
      </w:r>
      <w:r>
        <w:t xml:space="preserve"> </w:t>
      </w:r>
      <w:hyperlink r:id="rId108">
        <w:r>
          <w:rPr>
            <w:rStyle w:val="Hyperlink"/>
          </w:rPr>
          <w:t xml:space="preserve">https://doi.org/10.35468/hblb2020-019</w:t>
        </w:r>
      </w:hyperlink>
    </w:p>
    <w:bookmarkEnd w:id="109"/>
    <w:bookmarkStart w:id="111" w:name="ref-krauss2004"/>
    <w:p>
      <w:pPr>
        <w:pStyle w:val="Bibliography"/>
      </w:pPr>
      <w:r>
        <w:t xml:space="preserve">Krauss, S., Kunter, M., Brunner, M., Baumert, J., Blum, W., Neubrand, M., Jordan, A., &amp; Löwen, K. (2004).</w:t>
      </w:r>
      <w:r>
        <w:t xml:space="preserve"> </w:t>
      </w:r>
      <w:r>
        <w:rPr>
          <w:i/>
          <w:iCs/>
        </w:rPr>
        <w:t xml:space="preserve">COACTIV. Professionswissen von Lehrkräften, kognitiv aktivierender Mathematikunterricht und die Entwicklung von mathematischer Kompetenz</w:t>
      </w:r>
      <w:r>
        <w:t xml:space="preserve"> </w:t>
      </w:r>
      <w:r>
        <w:t xml:space="preserve">(M. Doll &amp; M. Prenzel, Hrsg.; S. 31–53). Waxmann.</w:t>
      </w:r>
      <w:r>
        <w:t xml:space="preserve"> </w:t>
      </w:r>
      <w:hyperlink r:id="rId110">
        <w:r>
          <w:rPr>
            <w:rStyle w:val="Hyperlink"/>
          </w:rPr>
          <w:t xml:space="preserve">https://books.google.de/books?id=EojWGyRAzAkC&amp;lpg=PP1&amp;hl=de&amp;pg=PA21&amp;redir_esc=y#v=onepage&amp;q&amp;f=false</w:t>
        </w:r>
      </w:hyperlink>
    </w:p>
    <w:bookmarkEnd w:id="111"/>
    <w:bookmarkStart w:id="112" w:name="ref-kunze2008"/>
    <w:p>
      <w:pPr>
        <w:pStyle w:val="Bibliography"/>
      </w:pPr>
      <w:r>
        <w:t xml:space="preserve">Kunze, K., &amp; Stelmaszyk, B. (2008).</w:t>
      </w:r>
      <w:r>
        <w:t xml:space="preserve"> </w:t>
      </w:r>
      <w:r>
        <w:rPr>
          <w:i/>
          <w:iCs/>
        </w:rPr>
        <w:t xml:space="preserve">Biographien und Berufskarrieren von Lehrerinnen und Lehrern</w:t>
      </w:r>
      <w:r>
        <w:t xml:space="preserve"> </w:t>
      </w:r>
      <w:r>
        <w:t xml:space="preserve">(W. Helsper &amp; J. Böhme, Hrsg.; 2. Aufl., S. 821838). Springer SV.</w:t>
      </w:r>
    </w:p>
    <w:bookmarkEnd w:id="112"/>
    <w:bookmarkStart w:id="114"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13">
        <w:r>
          <w:rPr>
            <w:rStyle w:val="Hyperlink"/>
          </w:rPr>
          <w:t xml:space="preserve">https://doi.org/10.1525/collabra.33267</w:t>
        </w:r>
      </w:hyperlink>
    </w:p>
    <w:bookmarkEnd w:id="114"/>
    <w:bookmarkStart w:id="116"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15">
        <w:r>
          <w:rPr>
            <w:rStyle w:val="Hyperlink"/>
          </w:rPr>
          <w:t xml:space="preserve">https://doi.org/10.1111/oik.05985</w:t>
        </w:r>
      </w:hyperlink>
    </w:p>
    <w:bookmarkEnd w:id="116"/>
    <w:bookmarkStart w:id="118" w:name="ref-luong2021"/>
    <w:p>
      <w:pPr>
        <w:pStyle w:val="Bibliography"/>
      </w:pPr>
      <w:r>
        <w:t xml:space="preserve">Luong, R., &amp; Flake, J. K. (2021).</w:t>
      </w:r>
      <w:r>
        <w:t xml:space="preserve"> </w:t>
      </w:r>
      <w:r>
        <w:rPr>
          <w:i/>
          <w:iCs/>
        </w:rPr>
        <w:t xml:space="preserve">Measurement Invariance Testing Using Confirmatory Factor Analysis and Alignment Optimization: A Tutorial for Transparent Analysis Planning and Reporting</w:t>
      </w:r>
      <w:r>
        <w:t xml:space="preserve">.</w:t>
      </w:r>
      <w:r>
        <w:t xml:space="preserve"> </w:t>
      </w:r>
      <w:hyperlink r:id="rId117">
        <w:r>
          <w:rPr>
            <w:rStyle w:val="Hyperlink"/>
          </w:rPr>
          <w:t xml:space="preserve">https://doi.org/10.31234/osf.io/qr32u</w:t>
        </w:r>
      </w:hyperlink>
    </w:p>
    <w:bookmarkEnd w:id="118"/>
    <w:bookmarkStart w:id="120" w:name="ref-marsh2004"/>
    <w:p>
      <w:pPr>
        <w:pStyle w:val="Bibliography"/>
      </w:pPr>
      <w:r>
        <w:t xml:space="preserve">Marsh, H. W., Hau, K.-T., &amp; Wen, Z. (2004). In search of golden rules: Comment on hypothesis-testing approaches to setting cutoff values for fit indexes and dangers in overgeneralizing Hu and Bentler</w:t>
      </w:r>
      <w:r>
        <w:t xml:space="preserve">’</w:t>
      </w:r>
      <w:r>
        <w:t xml:space="preserve">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119">
        <w:r>
          <w:rPr>
            <w:rStyle w:val="Hyperlink"/>
          </w:rPr>
          <w:t xml:space="preserve">https://doi.org/10.1207/s15328007sem1103_2</w:t>
        </w:r>
      </w:hyperlink>
    </w:p>
    <w:bookmarkEnd w:id="120"/>
    <w:bookmarkStart w:id="122"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21">
        <w:r>
          <w:rPr>
            <w:rStyle w:val="Hyperlink"/>
          </w:rPr>
          <w:t xml:space="preserve">https://doi.org/10.1891/1939-7054.2.1.29</w:t>
        </w:r>
      </w:hyperlink>
    </w:p>
    <w:bookmarkEnd w:id="122"/>
    <w:bookmarkStart w:id="124" w:name="ref-merk2020"/>
    <w:p>
      <w:pPr>
        <w:pStyle w:val="Bibliography"/>
      </w:pPr>
      <w:r>
        <w:t xml:space="preserve">Merk, S. (2020).</w:t>
      </w:r>
      <w:r>
        <w:t xml:space="preserve"> </w:t>
      </w:r>
      <w:r>
        <w:rPr>
          <w:i/>
          <w:iCs/>
        </w:rPr>
        <w:t xml:space="preserve">Überzeugungen</w:t>
      </w:r>
      <w:r>
        <w:t xml:space="preserve"> </w:t>
      </w:r>
      <w:r>
        <w:t xml:space="preserve">(C. Cramer, J. König, M. Rothland, &amp; S. Blömeke, Hrsg.). Verlag Julius Klinkhardt.</w:t>
      </w:r>
      <w:r>
        <w:t xml:space="preserve"> </w:t>
      </w:r>
      <w:hyperlink r:id="rId123">
        <w:r>
          <w:rPr>
            <w:rStyle w:val="Hyperlink"/>
          </w:rPr>
          <w:t xml:space="preserve">https://doi.org/10.35468/hblb2020-102</w:t>
        </w:r>
      </w:hyperlink>
    </w:p>
    <w:bookmarkEnd w:id="124"/>
    <w:bookmarkStart w:id="125"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25"/>
    <w:bookmarkStart w:id="127" w:name="ref-merk2023"/>
    <w:p>
      <w:pPr>
        <w:pStyle w:val="Bibliography"/>
      </w:pPr>
      <w:r>
        <w:t xml:space="preserve">Merk, S., &amp; Schmidt, K. (2023).</w:t>
      </w:r>
      <w:r>
        <w:t xml:space="preserve"> </w:t>
      </w:r>
      <w:r>
        <w:rPr>
          <w:i/>
          <w:iCs/>
        </w:rPr>
        <w:t xml:space="preserve">Grundlegende Fragen an eine quantitativ-empirische Erfassung von Meta-Reflexivität</w:t>
      </w:r>
      <w:r>
        <w:t xml:space="preserve"> </w:t>
      </w:r>
      <w:r>
        <w:t xml:space="preserve">(C. Cramer, Hrsg.; S. 143–154). Waxmann Verlag GmbH.</w:t>
      </w:r>
      <w:r>
        <w:t xml:space="preserve"> </w:t>
      </w:r>
      <w:hyperlink r:id="rId126">
        <w:r>
          <w:rPr>
            <w:rStyle w:val="Hyperlink"/>
          </w:rPr>
          <w:t xml:space="preserve">https://doi.org/10.31244/9783830998068</w:t>
        </w:r>
      </w:hyperlink>
    </w:p>
    <w:bookmarkEnd w:id="127"/>
    <w:bookmarkStart w:id="129"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28">
        <w:r>
          <w:rPr>
            <w:rStyle w:val="Hyperlink"/>
          </w:rPr>
          <w:t xml:space="preserve">https://doi.org/10.1007/s10648-006-9003-6</w:t>
        </w:r>
      </w:hyperlink>
    </w:p>
    <w:bookmarkEnd w:id="129"/>
    <w:bookmarkStart w:id="131" w:name="ref-nickerson1998"/>
    <w:p>
      <w:pPr>
        <w:pStyle w:val="Bibliography"/>
      </w:pPr>
      <w:r>
        <w:t xml:space="preserve">Nickerson, R. S. (1998). Confirmation Bias:</w:t>
      </w:r>
      <w:r>
        <w:t xml:space="preserve"> </w:t>
      </w:r>
      <w:r>
        <w:t xml:space="preserve">A</w:t>
      </w:r>
      <w:r>
        <w:t xml:space="preserve"> </w:t>
      </w:r>
      <w:r>
        <w:t xml:space="preserve">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130">
        <w:r>
          <w:rPr>
            <w:rStyle w:val="Hyperlink"/>
          </w:rPr>
          <w:t xml:space="preserve">https://doi.org/10.1037/1089-2680.2.2.175</w:t>
        </w:r>
      </w:hyperlink>
    </w:p>
    <w:bookmarkEnd w:id="131"/>
    <w:bookmarkStart w:id="132" w:name="ref-oevermann1996"/>
    <w:p>
      <w:pPr>
        <w:pStyle w:val="Bibliography"/>
      </w:pPr>
      <w:r>
        <w:t xml:space="preserve">Oevermann, U. (1996).</w:t>
      </w:r>
      <w:r>
        <w:t xml:space="preserve"> </w:t>
      </w:r>
      <w:r>
        <w:rPr>
          <w:i/>
          <w:iCs/>
        </w:rPr>
        <w:t xml:space="preserve">Theoretische Skizze einer revidierten Theorie professionalisierten Handelns</w:t>
      </w:r>
      <w:r>
        <w:t xml:space="preserve"> </w:t>
      </w:r>
      <w:r>
        <w:t xml:space="preserve">(A. Combe &amp; W. Helsper, Hrsg.; S. 70–82). Suhrkamp.</w:t>
      </w:r>
    </w:p>
    <w:bookmarkEnd w:id="132"/>
    <w:bookmarkStart w:id="134"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33">
        <w:r>
          <w:rPr>
            <w:rStyle w:val="Hyperlink"/>
          </w:rPr>
          <w:t xml:space="preserve">https://doi.org/10.3102/00346543062003307</w:t>
        </w:r>
      </w:hyperlink>
    </w:p>
    <w:bookmarkEnd w:id="134"/>
    <w:bookmarkStart w:id="136" w:name="ref-reimers2019"/>
    <w:p>
      <w:pPr>
        <w:pStyle w:val="Bibliography"/>
      </w:pPr>
      <w:r>
        <w:t xml:space="preserve">Reimers, N., &amp; Gurevych, I. (o. J.).</w:t>
      </w:r>
      <w:r>
        <w:t xml:space="preserve"> </w:t>
      </w:r>
      <w:r>
        <w:rPr>
          <w:i/>
          <w:iCs/>
        </w:rPr>
        <w:t xml:space="preserve">Sentence-BERT: Sentence Embeddings using Siamese BERT-Networks</w:t>
      </w:r>
      <w:r>
        <w:t xml:space="preserve">.</w:t>
      </w:r>
      <w:r>
        <w:t xml:space="preserve"> </w:t>
      </w:r>
      <w:hyperlink r:id="rId135">
        <w:r>
          <w:rPr>
            <w:rStyle w:val="Hyperlink"/>
          </w:rPr>
          <w:t xml:space="preserve">https://doi.org/10.48550/ARXIV.1908.10084</w:t>
        </w:r>
      </w:hyperlink>
    </w:p>
    <w:bookmarkEnd w:id="136"/>
    <w:bookmarkStart w:id="137" w:name="ref-reimers2019a"/>
    <w:p>
      <w:pPr>
        <w:pStyle w:val="Bibliography"/>
      </w:pPr>
      <w:r>
        <w:t xml:space="preserve">Reimers, N., &amp; Gurevych, I. (2019).</w:t>
      </w:r>
      <w:r>
        <w:t xml:space="preserve"> </w:t>
      </w:r>
      <w:r>
        <w:rPr>
          <w:i/>
          <w:iCs/>
        </w:rPr>
        <w:t xml:space="preserve">Sentence-</w:t>
      </w:r>
      <w:r>
        <w:rPr>
          <w:i/>
          <w:iCs/>
        </w:rPr>
        <w:t xml:space="preserve">BERT</w:t>
      </w:r>
      <w:r>
        <w:rPr>
          <w:i/>
          <w:iCs/>
        </w:rPr>
        <w:t xml:space="preserve">:</w:t>
      </w:r>
      <w:r>
        <w:rPr>
          <w:i/>
          <w:iCs/>
        </w:rPr>
        <w:t xml:space="preserve"> </w:t>
      </w:r>
      <w:r>
        <w:rPr>
          <w:i/>
          <w:iCs/>
        </w:rPr>
        <w:t xml:space="preserve">Sentence Embeddings</w:t>
      </w:r>
      <w:r>
        <w:rPr>
          <w:i/>
          <w:iCs/>
        </w:rPr>
        <w:t xml:space="preserve"> </w:t>
      </w:r>
      <w:r>
        <w:rPr>
          <w:i/>
          <w:iCs/>
        </w:rPr>
        <w:t xml:space="preserve">Using</w:t>
      </w:r>
      <w:r>
        <w:rPr>
          <w:i/>
          <w:iCs/>
        </w:rPr>
        <w:t xml:space="preserve"> </w:t>
      </w:r>
      <w:r>
        <w:rPr>
          <w:i/>
          <w:iCs/>
        </w:rPr>
        <w:t xml:space="preserve">Siamese BERT-Networks</w:t>
      </w:r>
      <w:r>
        <w:t xml:space="preserve">.</w:t>
      </w:r>
      <w:r>
        <w:t xml:space="preserve"> </w:t>
      </w:r>
      <w:hyperlink r:id="rId135">
        <w:r>
          <w:rPr>
            <w:rStyle w:val="Hyperlink"/>
          </w:rPr>
          <w:t xml:space="preserve">https://doi.org/10.48550/ARXIV.1908.10084</w:t>
        </w:r>
      </w:hyperlink>
    </w:p>
    <w:bookmarkEnd w:id="137"/>
    <w:bookmarkStart w:id="138" w:name="ref-reusser2014"/>
    <w:p>
      <w:pPr>
        <w:pStyle w:val="Bibliography"/>
      </w:pPr>
      <w:r>
        <w:t xml:space="preserve">Reusser, K., &amp; Pauli, C. (2014).</w:t>
      </w:r>
      <w:r>
        <w:t xml:space="preserve"> </w:t>
      </w:r>
      <w:r>
        <w:rPr>
          <w:i/>
          <w:iCs/>
        </w:rPr>
        <w:t xml:space="preserve">Berufsbezogene Überzeugungen von Lehrerinnen und Lehrern</w:t>
      </w:r>
      <w:r>
        <w:t xml:space="preserve"> </w:t>
      </w:r>
      <w:r>
        <w:t xml:space="preserve">(E. Terhart, M. Rothland, &amp; H. Bennewitz, Hrsg.; 2. Aufl., S. 642–661). Waxmann.</w:t>
      </w:r>
    </w:p>
    <w:bookmarkEnd w:id="138"/>
    <w:bookmarkStart w:id="140" w:name="ref-robitzsch2022"/>
    <w:p>
      <w:pPr>
        <w:pStyle w:val="Bibliography"/>
      </w:pPr>
      <w:r>
        <w:t xml:space="preserve">Robitzsch, A., &amp; Lüdtke, O. (2022).</w:t>
      </w:r>
      <w:r>
        <w:t xml:space="preserve"> </w:t>
      </w:r>
      <w:r>
        <w:rPr>
          <w:i/>
          <w:iCs/>
        </w:rPr>
        <w:t xml:space="preserve">Why Measurement Invariance is Not Necessary for Valid Group Comparisons</w:t>
      </w:r>
      <w:r>
        <w:t xml:space="preserve">.</w:t>
      </w:r>
      <w:r>
        <w:t xml:space="preserve"> </w:t>
      </w:r>
      <w:hyperlink r:id="rId139">
        <w:r>
          <w:rPr>
            <w:rStyle w:val="Hyperlink"/>
          </w:rPr>
          <w:t xml:space="preserve">https://doi.org/10.31234/osf.io/cjyqp</w:t>
        </w:r>
      </w:hyperlink>
    </w:p>
    <w:bookmarkEnd w:id="140"/>
    <w:bookmarkStart w:id="142" w:name="ref-rothland2021"/>
    <w:p>
      <w:pPr>
        <w:pStyle w:val="Bibliography"/>
      </w:pPr>
      <w:r>
        <w:t xml:space="preserve">Rothland, M. (2021). Die</w:t>
      </w:r>
      <w:r>
        <w:t xml:space="preserve"> </w:t>
      </w:r>
      <w:r>
        <w:t xml:space="preserve">,,</w:t>
      </w:r>
      <w:r>
        <w:t xml:space="preserve">Lehrerpersönlichkeit</w:t>
      </w:r>
      <w:r>
        <w:t xml:space="preserve">“</w:t>
      </w:r>
      <w:r>
        <w:t xml:space="preserve">: das Geheimnis des Lehrberufs?</w:t>
      </w:r>
      <w:r>
        <w:t xml:space="preserve"> </w:t>
      </w:r>
      <w:r>
        <w:rPr>
          <w:i/>
          <w:iCs/>
        </w:rPr>
        <w:t xml:space="preserve">DDS</w:t>
      </w:r>
      <w:r>
        <w:rPr>
          <w:i/>
          <w:iCs/>
        </w:rPr>
        <w:t xml:space="preserve"> </w:t>
      </w:r>
      <w:r>
        <w:rPr>
          <w:i/>
          <w:iCs/>
        </w:rPr>
        <w:t xml:space="preserve"> </w:t>
      </w:r>
      <w:r>
        <w:rPr>
          <w:i/>
          <w:iCs/>
        </w:rPr>
        <w:t xml:space="preserve">Die Deutsche Schule</w:t>
      </w:r>
      <w:r>
        <w:t xml:space="preserve">,</w:t>
      </w:r>
      <w:r>
        <w:t xml:space="preserve"> </w:t>
      </w:r>
      <w:r>
        <w:rPr>
          <w:i/>
          <w:iCs/>
        </w:rPr>
        <w:t xml:space="preserve">2021</w:t>
      </w:r>
      <w:r>
        <w:t xml:space="preserve">(2), 188–198.</w:t>
      </w:r>
      <w:r>
        <w:t xml:space="preserve"> </w:t>
      </w:r>
      <w:hyperlink r:id="rId141">
        <w:r>
          <w:rPr>
            <w:rStyle w:val="Hyperlink"/>
          </w:rPr>
          <w:t xml:space="preserve">https://doi.org/10.31244/dds.2021.02.06</w:t>
        </w:r>
      </w:hyperlink>
    </w:p>
    <w:bookmarkEnd w:id="142"/>
    <w:bookmarkStart w:id="144"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43">
        <w:r>
          <w:rPr>
            <w:rStyle w:val="Hyperlink"/>
          </w:rPr>
          <w:t xml:space="preserve">https://doi.org/10.3102/0013189X015002004</w:t>
        </w:r>
      </w:hyperlink>
    </w:p>
    <w:bookmarkEnd w:id="144"/>
    <w:bookmarkStart w:id="145" w:name="ref-skott2015"/>
    <w:p>
      <w:pPr>
        <w:pStyle w:val="Bibliography"/>
      </w:pPr>
      <w:r>
        <w:t xml:space="preserve">Skott, J. (2015).</w:t>
      </w:r>
      <w:r>
        <w:t xml:space="preserve"> </w:t>
      </w:r>
      <w:r>
        <w:rPr>
          <w:i/>
          <w:iCs/>
        </w:rPr>
        <w:t xml:space="preserve">The promises, problems, and prospects of research on teachers</w:t>
      </w:r>
      <w:r>
        <w:rPr>
          <w:i/>
          <w:iCs/>
        </w:rPr>
        <w:t xml:space="preserve">’</w:t>
      </w:r>
      <w:r>
        <w:rPr>
          <w:i/>
          <w:iCs/>
        </w:rPr>
        <w:t xml:space="preserve"> </w:t>
      </w:r>
      <w:r>
        <w:rPr>
          <w:i/>
          <w:iCs/>
        </w:rPr>
        <w:t xml:space="preserve">beliefs</w:t>
      </w:r>
      <w:r>
        <w:t xml:space="preserve"> </w:t>
      </w:r>
      <w:r>
        <w:t xml:space="preserve">(H. Fives &amp; M. G. Gill, Hrsg.; Bd. 1, S. 13–30). Routledge.</w:t>
      </w:r>
    </w:p>
    <w:bookmarkEnd w:id="145"/>
    <w:bookmarkStart w:id="147"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46">
        <w:r>
          <w:rPr>
            <w:rStyle w:val="Hyperlink"/>
          </w:rPr>
          <w:t xml:space="preserve">https://mc-stan.org</w:t>
        </w:r>
      </w:hyperlink>
    </w:p>
    <w:bookmarkEnd w:id="147"/>
    <w:bookmarkStart w:id="148" w:name="ref-terhart1992"/>
    <w:p>
      <w:pPr>
        <w:pStyle w:val="Bibliography"/>
      </w:pPr>
      <w:r>
        <w:t xml:space="preserve">Terhart, E. (1992).</w:t>
      </w:r>
      <w:r>
        <w:t xml:space="preserve"> </w:t>
      </w:r>
      <w:r>
        <w:rPr>
          <w:i/>
          <w:iCs/>
        </w:rPr>
        <w:t xml:space="preserve">Lehrerberuf und Professionalität</w:t>
      </w:r>
      <w:r>
        <w:t xml:space="preserve"> </w:t>
      </w:r>
      <w:r>
        <w:t xml:space="preserve">(B. Dewe, W. Ferchhoff, &amp; E. O. Radtke, Hrsg.; S. 103–131). Leske u. Budrich.</w:t>
      </w:r>
    </w:p>
    <w:bookmarkEnd w:id="148"/>
    <w:bookmarkStart w:id="149" w:name="ref-terhart1995c"/>
    <w:p>
      <w:pPr>
        <w:pStyle w:val="Bibliography"/>
      </w:pPr>
      <w:r>
        <w:t xml:space="preserve">Terhart, E. (1995).</w:t>
      </w:r>
      <w:r>
        <w:t xml:space="preserve"> </w:t>
      </w:r>
      <w:r>
        <w:rPr>
          <w:i/>
          <w:iCs/>
        </w:rPr>
        <w:t xml:space="preserve">Lehrerprofessionalität</w:t>
      </w:r>
      <w:r>
        <w:t xml:space="preserve"> </w:t>
      </w:r>
      <w:r>
        <w:t xml:space="preserve">(H.-G. Rolff, Hrsg.; S. 225266). Deutscher Studien Verlag.</w:t>
      </w:r>
    </w:p>
    <w:bookmarkEnd w:id="149"/>
    <w:bookmarkStart w:id="151" w:name="ref-tschannen-moran2015"/>
    <w:p>
      <w:pPr>
        <w:pStyle w:val="Bibliography"/>
      </w:pPr>
      <w:r>
        <w:t xml:space="preserve">Tschannen-Moran, M., Salloum, S. J., &amp; Goddard, R. D. (2015).</w:t>
      </w:r>
      <w:r>
        <w:t xml:space="preserve"> </w:t>
      </w:r>
      <w:r>
        <w:rPr>
          <w:i/>
          <w:iCs/>
        </w:rPr>
        <w:t xml:space="preserve">Context Matters: The Influence of Collective Beliefs and Shared Norms</w:t>
      </w:r>
      <w:r>
        <w:t xml:space="preserve"> </w:t>
      </w:r>
      <w:r>
        <w:t xml:space="preserve">(H. Fives &amp; M. G. Gill, Hrsg.; 1. Aufl., S. 301–316). Routledge.</w:t>
      </w:r>
      <w:r>
        <w:t xml:space="preserve"> </w:t>
      </w:r>
      <w:hyperlink r:id="rId150">
        <w:r>
          <w:rPr>
            <w:rStyle w:val="Hyperlink"/>
          </w:rPr>
          <w:t xml:space="preserve">http://gen.lib.rus.ec/book/index.php?md5=a59e2e3d2972bbc4b2610ee90c58fa33</w:t>
        </w:r>
      </w:hyperlink>
    </w:p>
    <w:bookmarkEnd w:id="151"/>
    <w:bookmarkStart w:id="153"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on</w:t>
      </w:r>
      <w:r>
        <w:rPr>
          <w:i/>
          <w:iCs/>
        </w:rPr>
        <w:t xml:space="preserve"> </w:t>
      </w:r>
      <w:r>
        <w:rPr>
          <w:i/>
          <w:iCs/>
        </w:rPr>
        <w:t xml:space="preserve">Teachers</w:t>
      </w:r>
      <w:r>
        <w:rPr>
          <w:i/>
          <w:iCs/>
        </w:rPr>
        <w:t xml:space="preserve"> </w:t>
      </w:r>
      <w:r>
        <w:rPr>
          <w:i/>
          <w:iCs/>
        </w:rPr>
        <w:t xml:space="preserve">and</w:t>
      </w:r>
      <w:r>
        <w:rPr>
          <w:i/>
          <w:iCs/>
        </w:rPr>
        <w:t xml:space="preserve"> </w:t>
      </w:r>
      <w:r>
        <w:rPr>
          <w:i/>
          <w:iCs/>
        </w:rPr>
        <w:t xml:space="preserve">Teaching</w:t>
      </w:r>
      <w:r>
        <w:t xml:space="preserve"> </w:t>
      </w:r>
      <w:r>
        <w:t xml:space="preserve">(S. 361–371). Springer US.</w:t>
      </w:r>
      <w:r>
        <w:t xml:space="preserve"> </w:t>
      </w:r>
      <w:hyperlink r:id="rId152">
        <w:r>
          <w:rPr>
            <w:rStyle w:val="Hyperlink"/>
          </w:rPr>
          <w:t xml:space="preserve">https://doi.org/10.1007/978-0-387-73317-3_23</w:t>
        </w:r>
      </w:hyperlink>
    </w:p>
    <w:bookmarkEnd w:id="153"/>
    <w:bookmarkStart w:id="155"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54">
        <w:r>
          <w:rPr>
            <w:rStyle w:val="Hyperlink"/>
          </w:rPr>
          <w:t xml:space="preserve">https://files.eric.ed.gov/fulltext/ED620325.pdf</w:t>
        </w:r>
      </w:hyperlink>
    </w:p>
    <w:bookmarkEnd w:id="155"/>
    <w:bookmarkStart w:id="157"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56">
        <w:r>
          <w:rPr>
            <w:rStyle w:val="Hyperlink"/>
          </w:rPr>
          <w:t xml:space="preserve">https://doi.org/10.1111/lnc3.12439</w:t>
        </w:r>
      </w:hyperlink>
    </w:p>
    <w:bookmarkEnd w:id="157"/>
    <w:bookmarkStart w:id="158" w:name="ref-zembylas2015"/>
    <w:p>
      <w:pPr>
        <w:pStyle w:val="Bibliography"/>
      </w:pPr>
      <w:r>
        <w:t xml:space="preserve">Zembylas, M., &amp; Chubbuck, S. M. (2015). The</w:t>
      </w:r>
      <w:r>
        <w:t xml:space="preserve"> </w:t>
      </w:r>
      <w:r>
        <w:t xml:space="preserve">Intersection</w:t>
      </w:r>
      <w:r>
        <w:t xml:space="preserve"> </w:t>
      </w:r>
      <w:r>
        <w:t xml:space="preserve">of</w:t>
      </w:r>
      <w:r>
        <w:t xml:space="preserve"> </w:t>
      </w:r>
      <w:r>
        <w:t xml:space="preserve">Identity</w:t>
      </w:r>
      <w:r>
        <w:t xml:space="preserve">,</w:t>
      </w:r>
      <w:r>
        <w:t xml:space="preserve"> </w:t>
      </w:r>
      <w:r>
        <w:t xml:space="preserve">Beliefs</w:t>
      </w:r>
      <w:r>
        <w:t xml:space="preserve">, and</w:t>
      </w:r>
      <w:r>
        <w:t xml:space="preserve"> </w:t>
      </w:r>
      <w:r>
        <w:t xml:space="preserve">Politics</w:t>
      </w:r>
      <w:r>
        <w:t xml:space="preserve"> </w:t>
      </w:r>
      <w:r>
        <w:t xml:space="preserve">in</w:t>
      </w:r>
      <w:r>
        <w:t xml:space="preserve"> </w:t>
      </w:r>
      <w:r>
        <w:t xml:space="preserve">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(1. Aufl., S. 173–190). Routledge.</w:t>
      </w:r>
      <w:r>
        <w:t xml:space="preserve"> </w:t>
      </w:r>
      <w:hyperlink r:id="rId150">
        <w:r>
          <w:rPr>
            <w:rStyle w:val="Hyperlink"/>
          </w:rPr>
          <w:t xml:space="preserve">http://gen.lib.rus.ec/book/index.php?md5=a59e2e3d2972bbc4b2610ee90c58fa33</w:t>
        </w:r>
      </w:hyperlink>
    </w:p>
    <w:bookmarkEnd w:id="158"/>
    <w:bookmarkEnd w:id="159"/>
    <w:bookmarkEnd w:id="160"/>
    <w:bookmarkEnd w:id="16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38" Target="PreReg_geschwaerzt.pdf" TargetMode="External" /><Relationship Type="http://schemas.openxmlformats.org/officeDocument/2006/relationships/hyperlink" Id="rId65" Target="http:// hdl.handle.net/1974/6468" TargetMode="External" /><Relationship Type="http://schemas.openxmlformats.org/officeDocument/2006/relationships/hyperlink" Id="rId150" Target="http://gen.lib.rus.ec/book/index.php?md5=a59e2e3d2972bbc4b2610ee90c58fa33" TargetMode="External" /><Relationship Type="http://schemas.openxmlformats.org/officeDocument/2006/relationships/hyperlink" Id="rId110" Target="https://books.google.de/books?id=EojWGyRAzAkC&amp;lpg=PP1&amp;hl=de&amp;pg=PA21&amp;redir_esc=y#v=onepage&amp;q&amp;f=false" TargetMode="External" /><Relationship Type="http://schemas.openxmlformats.org/officeDocument/2006/relationships/hyperlink" Id="rId152" Target="https://doi.org/10.1007/978-0-387-73317-3_23" TargetMode="External" /><Relationship Type="http://schemas.openxmlformats.org/officeDocument/2006/relationships/hyperlink" Id="rId128"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102" Target="https://doi.org/10.1007/s11618-014-0563-9" TargetMode="External" /><Relationship Type="http://schemas.openxmlformats.org/officeDocument/2006/relationships/hyperlink" Id="rId89" Target="https://doi.org/10.1016/j.cedpsych.2008.01.001" TargetMode="External" /><Relationship Type="http://schemas.openxmlformats.org/officeDocument/2006/relationships/hyperlink" Id="rId74" Target="https://doi.org/10.1016/j.cedpsych.2020.101844" TargetMode="External" /><Relationship Type="http://schemas.openxmlformats.org/officeDocument/2006/relationships/hyperlink" Id="rId84" Target="https://doi.org/10.1024/1010-0652.22.34.193" TargetMode="External" /><Relationship Type="http://schemas.openxmlformats.org/officeDocument/2006/relationships/hyperlink" Id="rId67" Target="https://doi.org/10.1027/2151-2604/a000568" TargetMode="External" /><Relationship Type="http://schemas.openxmlformats.org/officeDocument/2006/relationships/hyperlink" Id="rId130" Target="https://doi.org/10.1037/1089-2680.2.2.175" TargetMode="External" /><Relationship Type="http://schemas.openxmlformats.org/officeDocument/2006/relationships/hyperlink" Id="rId100" Target="https://doi.org/10.1037/13273-009" TargetMode="External" /><Relationship Type="http://schemas.openxmlformats.org/officeDocument/2006/relationships/hyperlink" Id="rId91" Target="https://doi.org/10.1037/13274-019" TargetMode="External" /><Relationship Type="http://schemas.openxmlformats.org/officeDocument/2006/relationships/hyperlink" Id="rId71" Target="https://doi.org/10.1037/met0000056" TargetMode="External" /><Relationship Type="http://schemas.openxmlformats.org/officeDocument/2006/relationships/hyperlink" Id="rId106" Target="https://doi.org/10.1037/met0000542" TargetMode="External" /><Relationship Type="http://schemas.openxmlformats.org/officeDocument/2006/relationships/hyperlink" Id="rId104" Target="https://doi.org/10.1080/10705519909540118" TargetMode="External" /><Relationship Type="http://schemas.openxmlformats.org/officeDocument/2006/relationships/hyperlink" Id="rId87" Target="https://doi.org/10.1093/acrefore/9780190264093.013.781" TargetMode="External" /><Relationship Type="http://schemas.openxmlformats.org/officeDocument/2006/relationships/hyperlink" Id="rId94" Target="https://doi.org/10.1111/bjep.12643" TargetMode="External" /><Relationship Type="http://schemas.openxmlformats.org/officeDocument/2006/relationships/hyperlink" Id="rId156" Target="https://doi.org/10.1111/lnc3.12439" TargetMode="External" /><Relationship Type="http://schemas.openxmlformats.org/officeDocument/2006/relationships/hyperlink" Id="rId115" Target="https://doi.org/10.1111/oik.05985" TargetMode="External" /><Relationship Type="http://schemas.openxmlformats.org/officeDocument/2006/relationships/hyperlink" Id="rId80" Target="https://doi.org/10.1177/00224871231162295" TargetMode="External" /><Relationship Type="http://schemas.openxmlformats.org/officeDocument/2006/relationships/hyperlink" Id="rId119" Target="https://doi.org/10.1207/s15328007sem1103_2" TargetMode="External" /><Relationship Type="http://schemas.openxmlformats.org/officeDocument/2006/relationships/hyperlink" Id="rId113" Target="https://doi.org/10.1525/collabra.33267" TargetMode="External" /><Relationship Type="http://schemas.openxmlformats.org/officeDocument/2006/relationships/hyperlink" Id="rId76" Target="https://doi.org/10.18637/jss.v080.i01" TargetMode="External" /><Relationship Type="http://schemas.openxmlformats.org/officeDocument/2006/relationships/hyperlink" Id="rId121" Target="https://doi.org/10.1891/1939-7054.2.1.29" TargetMode="External" /><Relationship Type="http://schemas.openxmlformats.org/officeDocument/2006/relationships/hyperlink" Id="rId143" Target="https://doi.org/10.3102/0013189X015002004" TargetMode="External" /><Relationship Type="http://schemas.openxmlformats.org/officeDocument/2006/relationships/hyperlink" Id="rId133" Target="https://doi.org/10.3102/00346543062003307" TargetMode="External" /><Relationship Type="http://schemas.openxmlformats.org/officeDocument/2006/relationships/hyperlink" Id="rId139" Target="https://doi.org/10.31234/osf.io/cjyqp" TargetMode="External" /><Relationship Type="http://schemas.openxmlformats.org/officeDocument/2006/relationships/hyperlink" Id="rId117" Target="https://doi.org/10.31234/osf.io/qr32u" TargetMode="External" /><Relationship Type="http://schemas.openxmlformats.org/officeDocument/2006/relationships/hyperlink" Id="rId126" Target="https://doi.org/10.31244/9783830998068" TargetMode="External" /><Relationship Type="http://schemas.openxmlformats.org/officeDocument/2006/relationships/hyperlink" Id="rId78" Target="https://doi.org/10.31244/9783830998068.01" TargetMode="External" /><Relationship Type="http://schemas.openxmlformats.org/officeDocument/2006/relationships/hyperlink" Id="rId141" Target="https://doi.org/10.31244/dds.2021.02.06" TargetMode="External" /><Relationship Type="http://schemas.openxmlformats.org/officeDocument/2006/relationships/hyperlink" Id="rId108" Target="https://doi.org/10.35468/hblb2020-019" TargetMode="External" /><Relationship Type="http://schemas.openxmlformats.org/officeDocument/2006/relationships/hyperlink" Id="rId123" Target="https://doi.org/10.35468/hblb2020-102" TargetMode="External" /><Relationship Type="http://schemas.openxmlformats.org/officeDocument/2006/relationships/hyperlink" Id="rId135" Target="https://doi.org/10.48550/ARXIV.1908.10084" TargetMode="External" /><Relationship Type="http://schemas.openxmlformats.org/officeDocument/2006/relationships/hyperlink" Id="rId154" Target="https://files.eric.ed.gov/fulltext/ED620325.pdf" TargetMode="External" /><Relationship Type="http://schemas.openxmlformats.org/officeDocument/2006/relationships/hyperlink" Id="rId146" Target="https://mc-stan.org" TargetMode="External" /><Relationship Type="http://schemas.openxmlformats.org/officeDocument/2006/relationships/hyperlink" Id="rId96" Target="https://openai.com/index/new-and-improved-embedding-model/" TargetMode="External" /><Relationship Type="http://schemas.openxmlformats.org/officeDocument/2006/relationships/hyperlink" Id="rId48" Target="https://openmanuscript008.netlify.app/_manuscript/Tabelle_Item_Antwort_Aehnlichkeiten.html" TargetMode="External" /><Relationship Type="http://schemas.openxmlformats.org/officeDocument/2006/relationships/hyperlink" Id="rId41" Target="https://openmanuscript008.netlify.app/_manuscript/_notebooks/word_embeddings-preview.html#tbl-Antwort-Item-&#196;hnlichkeit" TargetMode="External" /><Relationship Type="http://schemas.openxmlformats.org/officeDocument/2006/relationships/hyperlink" Id="rId33" Target="https://openmanuscript008.netlify.app/_manuscript/index-preview" TargetMode="External" /><Relationship Type="http://schemas.openxmlformats.org/officeDocument/2006/relationships/hyperlink" Id="rId32" Target="https://sammerk.github.io/Professionalitaetsueberzeugungen-von-Deutschlehrkraeften/index.qmd.html" TargetMode="External" /></Relationships>
</file>

<file path=word/_rels/footnotes.xml.rels><?xml version="1.0" encoding="UTF-8"?><Relationships xmlns="http://schemas.openxmlformats.org/package/2006/relationships"><Relationship Type="http://schemas.openxmlformats.org/officeDocument/2006/relationships/hyperlink" Id="rId38" Target="PreReg_geschwaerzt.pdf" TargetMode="External" /><Relationship Type="http://schemas.openxmlformats.org/officeDocument/2006/relationships/hyperlink" Id="rId65" Target="http:// hdl.handle.net/1974/6468" TargetMode="External" /><Relationship Type="http://schemas.openxmlformats.org/officeDocument/2006/relationships/hyperlink" Id="rId150" Target="http://gen.lib.rus.ec/book/index.php?md5=a59e2e3d2972bbc4b2610ee90c58fa33" TargetMode="External" /><Relationship Type="http://schemas.openxmlformats.org/officeDocument/2006/relationships/hyperlink" Id="rId110" Target="https://books.google.de/books?id=EojWGyRAzAkC&amp;lpg=PP1&amp;hl=de&amp;pg=PA21&amp;redir_esc=y#v=onepage&amp;q&amp;f=false" TargetMode="External" /><Relationship Type="http://schemas.openxmlformats.org/officeDocument/2006/relationships/hyperlink" Id="rId152" Target="https://doi.org/10.1007/978-0-387-73317-3_23" TargetMode="External" /><Relationship Type="http://schemas.openxmlformats.org/officeDocument/2006/relationships/hyperlink" Id="rId128"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102" Target="https://doi.org/10.1007/s11618-014-0563-9" TargetMode="External" /><Relationship Type="http://schemas.openxmlformats.org/officeDocument/2006/relationships/hyperlink" Id="rId89" Target="https://doi.org/10.1016/j.cedpsych.2008.01.001" TargetMode="External" /><Relationship Type="http://schemas.openxmlformats.org/officeDocument/2006/relationships/hyperlink" Id="rId74" Target="https://doi.org/10.1016/j.cedpsych.2020.101844" TargetMode="External" /><Relationship Type="http://schemas.openxmlformats.org/officeDocument/2006/relationships/hyperlink" Id="rId84" Target="https://doi.org/10.1024/1010-0652.22.34.193" TargetMode="External" /><Relationship Type="http://schemas.openxmlformats.org/officeDocument/2006/relationships/hyperlink" Id="rId67" Target="https://doi.org/10.1027/2151-2604/a000568" TargetMode="External" /><Relationship Type="http://schemas.openxmlformats.org/officeDocument/2006/relationships/hyperlink" Id="rId130" Target="https://doi.org/10.1037/1089-2680.2.2.175" TargetMode="External" /><Relationship Type="http://schemas.openxmlformats.org/officeDocument/2006/relationships/hyperlink" Id="rId100" Target="https://doi.org/10.1037/13273-009" TargetMode="External" /><Relationship Type="http://schemas.openxmlformats.org/officeDocument/2006/relationships/hyperlink" Id="rId91" Target="https://doi.org/10.1037/13274-019" TargetMode="External" /><Relationship Type="http://schemas.openxmlformats.org/officeDocument/2006/relationships/hyperlink" Id="rId71" Target="https://doi.org/10.1037/met0000056" TargetMode="External" /><Relationship Type="http://schemas.openxmlformats.org/officeDocument/2006/relationships/hyperlink" Id="rId106" Target="https://doi.org/10.1037/met0000542" TargetMode="External" /><Relationship Type="http://schemas.openxmlformats.org/officeDocument/2006/relationships/hyperlink" Id="rId104" Target="https://doi.org/10.1080/10705519909540118" TargetMode="External" /><Relationship Type="http://schemas.openxmlformats.org/officeDocument/2006/relationships/hyperlink" Id="rId87" Target="https://doi.org/10.1093/acrefore/9780190264093.013.781" TargetMode="External" /><Relationship Type="http://schemas.openxmlformats.org/officeDocument/2006/relationships/hyperlink" Id="rId94" Target="https://doi.org/10.1111/bjep.12643" TargetMode="External" /><Relationship Type="http://schemas.openxmlformats.org/officeDocument/2006/relationships/hyperlink" Id="rId156" Target="https://doi.org/10.1111/lnc3.12439" TargetMode="External" /><Relationship Type="http://schemas.openxmlformats.org/officeDocument/2006/relationships/hyperlink" Id="rId115" Target="https://doi.org/10.1111/oik.05985" TargetMode="External" /><Relationship Type="http://schemas.openxmlformats.org/officeDocument/2006/relationships/hyperlink" Id="rId80" Target="https://doi.org/10.1177/00224871231162295" TargetMode="External" /><Relationship Type="http://schemas.openxmlformats.org/officeDocument/2006/relationships/hyperlink" Id="rId119" Target="https://doi.org/10.1207/s15328007sem1103_2" TargetMode="External" /><Relationship Type="http://schemas.openxmlformats.org/officeDocument/2006/relationships/hyperlink" Id="rId113" Target="https://doi.org/10.1525/collabra.33267" TargetMode="External" /><Relationship Type="http://schemas.openxmlformats.org/officeDocument/2006/relationships/hyperlink" Id="rId76" Target="https://doi.org/10.18637/jss.v080.i01" TargetMode="External" /><Relationship Type="http://schemas.openxmlformats.org/officeDocument/2006/relationships/hyperlink" Id="rId121" Target="https://doi.org/10.1891/1939-7054.2.1.29" TargetMode="External" /><Relationship Type="http://schemas.openxmlformats.org/officeDocument/2006/relationships/hyperlink" Id="rId143" Target="https://doi.org/10.3102/0013189X015002004" TargetMode="External" /><Relationship Type="http://schemas.openxmlformats.org/officeDocument/2006/relationships/hyperlink" Id="rId133" Target="https://doi.org/10.3102/00346543062003307" TargetMode="External" /><Relationship Type="http://schemas.openxmlformats.org/officeDocument/2006/relationships/hyperlink" Id="rId139" Target="https://doi.org/10.31234/osf.io/cjyqp" TargetMode="External" /><Relationship Type="http://schemas.openxmlformats.org/officeDocument/2006/relationships/hyperlink" Id="rId117" Target="https://doi.org/10.31234/osf.io/qr32u" TargetMode="External" /><Relationship Type="http://schemas.openxmlformats.org/officeDocument/2006/relationships/hyperlink" Id="rId126" Target="https://doi.org/10.31244/9783830998068" TargetMode="External" /><Relationship Type="http://schemas.openxmlformats.org/officeDocument/2006/relationships/hyperlink" Id="rId78" Target="https://doi.org/10.31244/9783830998068.01" TargetMode="External" /><Relationship Type="http://schemas.openxmlformats.org/officeDocument/2006/relationships/hyperlink" Id="rId141" Target="https://doi.org/10.31244/dds.2021.02.06" TargetMode="External" /><Relationship Type="http://schemas.openxmlformats.org/officeDocument/2006/relationships/hyperlink" Id="rId108" Target="https://doi.org/10.35468/hblb2020-019" TargetMode="External" /><Relationship Type="http://schemas.openxmlformats.org/officeDocument/2006/relationships/hyperlink" Id="rId123" Target="https://doi.org/10.35468/hblb2020-102" TargetMode="External" /><Relationship Type="http://schemas.openxmlformats.org/officeDocument/2006/relationships/hyperlink" Id="rId135" Target="https://doi.org/10.48550/ARXIV.1908.10084" TargetMode="External" /><Relationship Type="http://schemas.openxmlformats.org/officeDocument/2006/relationships/hyperlink" Id="rId154" Target="https://files.eric.ed.gov/fulltext/ED620325.pdf" TargetMode="External" /><Relationship Type="http://schemas.openxmlformats.org/officeDocument/2006/relationships/hyperlink" Id="rId146" Target="https://mc-stan.org" TargetMode="External" /><Relationship Type="http://schemas.openxmlformats.org/officeDocument/2006/relationships/hyperlink" Id="rId96" Target="https://openai.com/index/new-and-improved-embedding-model/" TargetMode="External" /><Relationship Type="http://schemas.openxmlformats.org/officeDocument/2006/relationships/hyperlink" Id="rId48" Target="https://openmanuscript008.netlify.app/_manuscript/Tabelle_Item_Antwort_Aehnlichkeiten.html" TargetMode="External" /><Relationship Type="http://schemas.openxmlformats.org/officeDocument/2006/relationships/hyperlink" Id="rId41" Target="https://openmanuscript008.netlify.app/_manuscript/_notebooks/word_embeddings-preview.html#tbl-Antwort-Item-&#196;hnlichkeit" TargetMode="External" /><Relationship Type="http://schemas.openxmlformats.org/officeDocument/2006/relationships/hyperlink" Id="rId33" Target="https://openmanuscript008.netlify.app/_manuscript/index-preview" TargetMode="External" /><Relationship Type="http://schemas.openxmlformats.org/officeDocument/2006/relationships/hyperlink" Id="rId32" Target="https://sammerk.github.io/Professionalitaetsueberzeugungen-von-Deutschlehrkraefte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PROFESSIONALITÄT VON DEUTSCHLEHRPERSONEN AM BEISPIEL DER SPRACHDIDAKTIK</dc:description>
  <dc:language>de</dc:language>
  <cp:keywords>Professionalität, Fachdidaktik, Lehrpersonenbildung, Natural Language Processing</cp:keywords>
  <dcterms:created xsi:type="dcterms:W3CDTF">2025-02-04T10:00:17Z</dcterms:created>
  <dcterms:modified xsi:type="dcterms:W3CDTF">2025-02-04T10:00:17Z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den bildungswissenschaftlichen Ansätzen ähnlich sind und ob sie spezifisch für einen fachdidaktischen Kontext sind. In einem faktorenanalytischen Ansatz zeigten sich Überzeugungen zu Professionalität in der Fachdidaktik Deutsch als metrisch invariant gegenüber allgemeiner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vt:lpwstr>
  </property>
  <property fmtid="{D5CDD505-2E9C-101B-9397-08002B2CF9AE}" pid="6" name="apadate">
    <vt:lpwstr>2025-02-04</vt:lpwstr>
  </property>
  <property fmtid="{D5CDD505-2E9C-101B-9397-08002B2CF9AE}" pid="7" name="apatitle">
    <vt:lpwstr>PROFESSIONALITÄT VON DEUTSCHLEHRPERSONEN AM BEISPIEL DER SPRACHDIDAKTIK</vt:lpwstr>
  </property>
  <property fmtid="{D5CDD505-2E9C-101B-9397-08002B2CF9AE}" pid="8" name="apatitledisplay">
    <vt:lpwstr>Professionalität von Deutschlehrpersonen am Beispiel der Sprachdidaktik</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ghtbox">
    <vt:lpwstr>auto</vt:lpwstr>
  </property>
  <property fmtid="{D5CDD505-2E9C-101B-9397-08002B2CF9AE}" pid="26" name="link-citations">
    <vt:lpwstr>True</vt:lpwstr>
  </property>
  <property fmtid="{D5CDD505-2E9C-101B-9397-08002B2CF9AE}" pid="27" name="manuscript">
    <vt:lpwstr/>
  </property>
  <property fmtid="{D5CDD505-2E9C-101B-9397-08002B2CF9AE}" pid="28" name="no-ampersand-parenthetical">
    <vt:lpwstr>False</vt:lpwstr>
  </property>
  <property fmtid="{D5CDD505-2E9C-101B-9397-08002B2CF9AE}" pid="29" name="notebook-preview-options">
    <vt:lpwstr/>
  </property>
  <property fmtid="{D5CDD505-2E9C-101B-9397-08002B2CF9AE}" pid="30" name="oneaffiliation">
    <vt:lpwstr>False</vt:lpwstr>
  </property>
  <property fmtid="{D5CDD505-2E9C-101B-9397-08002B2CF9AE}" pid="31" name="oneauthor">
    <vt:lpwstr>False</vt:lpwstr>
  </property>
  <property fmtid="{D5CDD505-2E9C-101B-9397-08002B2CF9AE}" pid="32" name="plain-language-summary">
    <vt:lpwstr>Was macht eine professionelle Lehrperson aus? Fachwissen? Oder Wissen über Didaktik? Oder dass Sie regelmäßig zu Fortbildungen geht? Wir alle haben individuelle Vorstellungen zu einer professionellen Lehrperson und die Erziehungswissenschaftlerinnen und Erziehungswissenschaftler haben dazu geforscht. Dieser Artikel untersucht, inwiefern die wissenschaftlichen Vorstellungen auch bei Lehrpersonen vorkommen und ob Lehrpersonen denken, dass eine professionelles Deutsch-Lehrperson durch andere Merkmale gekennzeichnet ist als eine professionelle Lehrperson im Allgemeinen. Beide Fragen beantwortet die vorliegende Studie mit “sowohl auch auch”: Die Vorstellungen der Lehrpersonen enthalten durchaus auch die wissenschaftlichen Überlegungen zu Professionalität von Lehrpersonen aber darüber hinaus noch einiges anderes. Außerdem sind die Antworten auf die Fragen “Was macht eine professionelle Lehrperson aus?” und “Was macht eine professionelle Lehrperson in der Deutschdidaktik aus?” recht ähnlich aber es kommen z.B. auf die erste Frage hin mehrere Antworten die sich mit den wissenschaftlichen Vorstellungen zu professionalität decken.</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emplate-partials">
    <vt:lpwstr/>
  </property>
  <property fmtid="{D5CDD505-2E9C-101B-9397-08002B2CF9AE}" pid="62" name="theme">
    <vt:lpwstr>cosmo</vt:lpwstr>
  </property>
  <property fmtid="{D5CDD505-2E9C-101B-9397-08002B2CF9AE}" pid="63" name="title-block-style">
    <vt:lpwstr>manuscript</vt:lpwstr>
  </property>
  <property fmtid="{D5CDD505-2E9C-101B-9397-08002B2CF9AE}" pid="64" name="toc-title">
    <vt:lpwstr>Inhaltsverzeichnis</vt:lpwstr>
  </property>
  <property fmtid="{D5CDD505-2E9C-101B-9397-08002B2CF9AE}" pid="65" name="unroll-markdown-cells">
    <vt:lpwstr>True</vt:lpwstr>
  </property>
  <property fmtid="{D5CDD505-2E9C-101B-9397-08002B2CF9AE}" pid="66" name="zerocitations">
    <vt:lpwstr>False</vt:lpwstr>
  </property>
</Properties>
</file>