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4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Vorlesung</w:t>
      </w:r>
    </w:p>
    <w:p>
      <w:pPr>
        <w:pStyle w:val="Subtitle"/>
      </w:pPr>
      <w:r>
        <w:t xml:space="preserve">Einführung</w:t>
      </w:r>
      <w:r>
        <w:t xml:space="preserve"> </w:t>
      </w:r>
      <w:r>
        <w:t xml:space="preserve">in</w:t>
      </w:r>
      <w:r>
        <w:t xml:space="preserve"> </w:t>
      </w:r>
      <w:r>
        <w:t xml:space="preserve">qualitative</w:t>
      </w:r>
      <w:r>
        <w:t xml:space="preserve"> </w:t>
      </w:r>
      <w:r>
        <w:t xml:space="preserve">und</w:t>
      </w:r>
      <w:r>
        <w:t xml:space="preserve"> </w:t>
      </w:r>
      <w:r>
        <w:t xml:space="preserve">quantitative</w:t>
      </w:r>
      <w:r>
        <w:t xml:space="preserve"> </w:t>
      </w:r>
      <w:r>
        <w:t xml:space="preserve">Forschungsmethoden</w:t>
      </w:r>
    </w:p>
    <w:p>
      <w:pPr>
        <w:pStyle w:val="Author"/>
      </w:pPr>
      <w:r>
        <w:t xml:space="preserve">Andre</w:t>
      </w:r>
      <w:r>
        <w:t xml:space="preserve"> </w:t>
      </w:r>
      <w:r>
        <w:t xml:space="preserve">Epp</w:t>
      </w:r>
      <w:r>
        <w:t xml:space="preserve"> </w:t>
      </w:r>
      <w:r>
        <w:t xml:space="preserve">&amp;</w:t>
      </w:r>
      <w:r>
        <w:t xml:space="preserve"> </w:t>
      </w:r>
      <w:r>
        <w:t xml:space="preserve">Samuel</w:t>
      </w:r>
      <w:r>
        <w:t xml:space="preserve"> </w:t>
      </w:r>
      <w:r>
        <w:t xml:space="preserve">Merk</w:t>
      </w:r>
    </w:p>
    <w:bookmarkStart w:id="20" w:name="herzlich-willkommen-fa-door-open"/>
    <w:p>
      <w:pPr>
        <w:pStyle w:val="Heading2"/>
      </w:pPr>
      <w:r>
        <w:t xml:space="preserve">Herzlich willkommen!</w:t>
      </w:r>
      <w:r>
        <w:t xml:space="preserve"> </w:t>
      </w:r>
    </w:p>
    <w:p>
      <w:pPr>
        <w:pStyle w:val="SourceCode"/>
      </w:pPr>
      <w:r>
        <w:rPr>
          <w:rStyle w:val="VerbatimChar"/>
        </w:rPr>
        <w:t xml:space="preserve">── Attaching packages ─────────────────────────────────────── tidyverse 1.3.2 ──</w:t>
      </w:r>
      <w:r>
        <w:br/>
      </w:r>
      <w:r>
        <w:rPr>
          <w:rStyle w:val="VerbatimChar"/>
        </w:rPr>
        <w:t xml:space="preserve">✔ ggplot2 3.3.6     ✔ purrr   0.3.4</w:t>
      </w:r>
      <w:r>
        <w:br/>
      </w:r>
      <w:r>
        <w:rPr>
          <w:rStyle w:val="VerbatimChar"/>
        </w:rPr>
        <w:t xml:space="preserve">✔ tibble  3.1.8     ✔ dplyr   1.0.9</w:t>
      </w:r>
      <w:r>
        <w:br/>
      </w:r>
      <w:r>
        <w:rPr>
          <w:rStyle w:val="VerbatimChar"/>
        </w:rPr>
        <w:t xml:space="preserve">✔ tidyr   1.2.0     ✔ stringr 1.4.0</w:t>
      </w:r>
      <w:r>
        <w:br/>
      </w:r>
      <w:r>
        <w:rPr>
          <w:rStyle w:val="VerbatimChar"/>
        </w:rPr>
        <w:t xml:space="preserve">✔ readr   2.1.2     ✔ forcats 0.5.1</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Saving 5 x 4 in image</w:t>
      </w:r>
    </w:p>
    <w:p>
      <w:pPr>
        <w:pStyle w:val="SourceCode"/>
      </w:pPr>
      <w:r>
        <w:rPr>
          <w:rStyle w:val="FunctionTok"/>
        </w:rPr>
        <w:t xml:space="preserve">.imp</w:t>
      </w:r>
      <w:r>
        <w:rPr>
          <w:rStyle w:val="NormalTok"/>
        </w:rPr>
        <w:t xml:space="preserve"> {</w:t>
      </w:r>
      <w:r>
        <w:br/>
      </w:r>
      <w:r>
        <w:rPr>
          <w:rStyle w:val="NormalTok"/>
        </w:rPr>
        <w:t xml:space="preserve">  </w:t>
      </w:r>
      <w:r>
        <w:rPr>
          <w:rStyle w:val="KeywordTok"/>
        </w:rPr>
        <w:t xml:space="preserve">color</w:t>
      </w:r>
      <w:r>
        <w:rPr>
          <w:rStyle w:val="NormalTok"/>
        </w:rPr>
        <w:t xml:space="preserve">: </w:t>
      </w:r>
      <w:r>
        <w:rPr>
          <w:rStyle w:val="ConstantTok"/>
        </w:rPr>
        <w:t xml:space="preserve">#8cd000</w:t>
      </w:r>
      <w:r>
        <w:rPr>
          <w:rStyle w:val="OperatorTok"/>
        </w:rPr>
        <w:t xml:space="preserve">;</w:t>
      </w:r>
      <w:r>
        <w:br/>
      </w:r>
      <w:r>
        <w:rPr>
          <w:rStyle w:val="NormalTok"/>
        </w:rPr>
        <w:t xml:space="preserve">}</w:t>
      </w:r>
      <w:r>
        <w:br/>
      </w:r>
      <w:r>
        <w:br/>
      </w:r>
      <w:r>
        <w:rPr>
          <w:rStyle w:val="FunctionTok"/>
        </w:rPr>
        <w:t xml:space="preserve">.em08</w:t>
      </w:r>
      <w:r>
        <w:rPr>
          <w:rStyle w:val="NormalTok"/>
        </w:rPr>
        <w:t xml:space="preserve">{</w:t>
      </w:r>
      <w:r>
        <w:br/>
      </w:r>
      <w:r>
        <w:rPr>
          <w:rStyle w:val="NormalTok"/>
        </w:rPr>
        <w:t xml:space="preserve">  </w:t>
      </w:r>
      <w:r>
        <w:rPr>
          <w:rStyle w:val="KeywordTok"/>
        </w:rPr>
        <w:t xml:space="preserve">font-size</w:t>
      </w:r>
      <w:r>
        <w:rPr>
          <w:rStyle w:val="NormalTok"/>
        </w:rPr>
        <w:t xml:space="preserve">: </w:t>
      </w:r>
      <w:r>
        <w:rPr>
          <w:rStyle w:val="DecValTok"/>
        </w:rPr>
        <w:t xml:space="preserve">.8</w:t>
      </w:r>
      <w:r>
        <w:rPr>
          <w:rStyle w:val="DataTypeTok"/>
        </w:rPr>
        <w:t xml:space="preserve">em</w:t>
      </w:r>
      <w:r>
        <w:rPr>
          <w:rStyle w:val="OperatorTok"/>
        </w:rPr>
        <w:t xml:space="preserve">;</w:t>
      </w:r>
      <w:r>
        <w:br/>
      </w:r>
      <w:r>
        <w:rPr>
          <w:rStyle w:val="NormalTok"/>
        </w:rPr>
        <w:t xml:space="preserve">}</w:t>
      </w:r>
      <w:r>
        <w:br/>
      </w:r>
      <w:r>
        <w:rPr>
          <w:rStyle w:val="FunctionTok"/>
        </w:rPr>
        <w:t xml:space="preserve">.em07</w:t>
      </w:r>
      <w:r>
        <w:rPr>
          <w:rStyle w:val="NormalTok"/>
        </w:rPr>
        <w:t xml:space="preserve">{</w:t>
      </w:r>
      <w:r>
        <w:br/>
      </w:r>
      <w:r>
        <w:rPr>
          <w:rStyle w:val="NormalTok"/>
        </w:rPr>
        <w:t xml:space="preserve">  </w:t>
      </w:r>
      <w:r>
        <w:rPr>
          <w:rStyle w:val="KeywordTok"/>
        </w:rPr>
        <w:t xml:space="preserve">font-size</w:t>
      </w:r>
      <w:r>
        <w:rPr>
          <w:rStyle w:val="NormalTok"/>
        </w:rPr>
        <w:t xml:space="preserve">: </w:t>
      </w:r>
      <w:r>
        <w:rPr>
          <w:rStyle w:val="DecValTok"/>
        </w:rPr>
        <w:t xml:space="preserve">.7</w:t>
      </w:r>
      <w:r>
        <w:rPr>
          <w:rStyle w:val="DataTypeTok"/>
        </w:rPr>
        <w:t xml:space="preserve">em</w:t>
      </w:r>
      <w:r>
        <w:rPr>
          <w:rStyle w:val="OperatorTok"/>
        </w:rPr>
        <w:t xml:space="preserve">;</w:t>
      </w:r>
      <w:r>
        <w:br/>
      </w:r>
      <w:r>
        <w:rPr>
          <w:rStyle w:val="NormalTok"/>
        </w:rPr>
        <w:t xml:space="preserve">}</w:t>
      </w:r>
      <w:r>
        <w:br/>
      </w:r>
      <w:r>
        <w:br/>
      </w:r>
      <w:r>
        <w:br/>
      </w:r>
      <w:r>
        <w:rPr>
          <w:rStyle w:val="NormalTok"/>
        </w:rPr>
        <w:t xml:space="preserve">figure</w:t>
      </w:r>
      <w:r>
        <w:rPr>
          <w:rStyle w:val="OperatorTok"/>
        </w:rPr>
        <w:t xml:space="preserve">&gt;</w:t>
      </w:r>
      <w:r>
        <w:rPr>
          <w:rStyle w:val="NormalTok"/>
        </w:rPr>
        <w:t xml:space="preserve">figcaption {</w:t>
      </w:r>
      <w:r>
        <w:br/>
      </w:r>
      <w:r>
        <w:rPr>
          <w:rStyle w:val="NormalTok"/>
        </w:rPr>
        <w:t xml:space="preserve">    </w:t>
      </w:r>
      <w:r>
        <w:rPr>
          <w:rStyle w:val="KeywordTok"/>
        </w:rPr>
        <w:t xml:space="preserve">margin-top</w:t>
      </w:r>
      <w:r>
        <w:rPr>
          <w:rStyle w:val="NormalTok"/>
        </w:rPr>
        <w:t xml:space="preserve">: </w:t>
      </w:r>
      <w:r>
        <w:rPr>
          <w:rStyle w:val="DecValTok"/>
        </w:rPr>
        <w:t xml:space="preserve">0.5</w:t>
      </w:r>
      <w:r>
        <w:rPr>
          <w:rStyle w:val="DataTypeTok"/>
        </w:rPr>
        <w:t xml:space="preserve">em</w:t>
      </w:r>
      <w:r>
        <w:rPr>
          <w:rStyle w:val="OperatorTok"/>
        </w:rPr>
        <w:t xml:space="preserve">;</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w:t>
      </w:r>
      <w:r>
        <w:br/>
      </w:r>
      <w:r>
        <w:br/>
      </w:r>
      <w:r>
        <w:rPr>
          <w:rStyle w:val="FunctionTok"/>
        </w:rPr>
        <w:t xml:space="preserve">.citation</w:t>
      </w:r>
      <w:r>
        <w:rPr>
          <w:rStyle w:val="NormalTok"/>
        </w:rPr>
        <w:t xml:space="preserve"> {</w:t>
      </w:r>
      <w:r>
        <w:br/>
      </w:r>
      <w:r>
        <w:rPr>
          <w:rStyle w:val="NormalTok"/>
        </w:rPr>
        <w:t xml:space="preserve">  </w:t>
      </w:r>
      <w:r>
        <w:rPr>
          <w:rStyle w:val="KeywordTok"/>
        </w:rPr>
        <w:t xml:space="preserve">font-size</w:t>
      </w:r>
      <w:r>
        <w:rPr>
          <w:rStyle w:val="NormalTok"/>
        </w:rPr>
        <w:t xml:space="preserve">: </w:t>
      </w:r>
      <w:r>
        <w:rPr>
          <w:rStyle w:val="DecValTok"/>
        </w:rPr>
        <w:t xml:space="preserve">.8</w:t>
      </w:r>
      <w:r>
        <w:rPr>
          <w:rStyle w:val="DataTypeTok"/>
        </w:rPr>
        <w:t xml:space="preserve">em</w:t>
      </w:r>
      <w:r>
        <w:rPr>
          <w:rStyle w:val="OperatorTok"/>
        </w:rPr>
        <w:t xml:space="preserve">;</w:t>
      </w:r>
      <w:r>
        <w:br/>
      </w:r>
      <w:r>
        <w:rPr>
          <w:rStyle w:val="NormalTok"/>
        </w:rPr>
        <w:t xml:space="preserve">  </w:t>
      </w:r>
      <w:r>
        <w:rPr>
          <w:rStyle w:val="KeywordTok"/>
        </w:rPr>
        <w:t xml:space="preserve">color</w:t>
      </w:r>
      <w:r>
        <w:rPr>
          <w:rStyle w:val="NormalTok"/>
        </w:rPr>
        <w:t xml:space="preserve">: </w:t>
      </w:r>
      <w:r>
        <w:rPr>
          <w:rStyle w:val="ConstantTok"/>
        </w:rPr>
        <w:t xml:space="preserve">#8cd000</w:t>
      </w:r>
      <w:r>
        <w:rPr>
          <w:rStyle w:val="OperatorTok"/>
        </w:rPr>
        <w:t xml:space="preserve">;</w:t>
      </w:r>
      <w:r>
        <w:br/>
      </w:r>
      <w:r>
        <w:rPr>
          <w:rStyle w:val="NormalTok"/>
        </w:rPr>
        <w:t xml:space="preserve">}</w:t>
      </w:r>
      <w:r>
        <w:br/>
      </w:r>
      <w:r>
        <w:br/>
      </w:r>
      <w:r>
        <w:br/>
      </w:r>
      <w:r>
        <w:rPr>
          <w:rStyle w:val="FunctionTok"/>
        </w:rPr>
        <w:t xml:space="preserve">.timevis.html-widget</w:t>
      </w:r>
      <w:r>
        <w:rPr>
          <w:rStyle w:val="NormalTok"/>
        </w:rPr>
        <w:t xml:space="preserve"> </w:t>
      </w:r>
      <w:r>
        <w:rPr>
          <w:rStyle w:val="FunctionTok"/>
        </w:rPr>
        <w:t xml:space="preserve">.vis-background</w:t>
      </w:r>
      <w:r>
        <w:rPr>
          <w:rStyle w:val="NormalTok"/>
        </w:rPr>
        <w:t xml:space="preserve"> </w:t>
      </w:r>
      <w:r>
        <w:rPr>
          <w:rStyle w:val="FunctionTok"/>
        </w:rPr>
        <w:t xml:space="preserve">.vis-minor.vis-odd</w:t>
      </w:r>
      <w:r>
        <w:rPr>
          <w:rStyle w:val="NormalTok"/>
        </w:rPr>
        <w:t xml:space="preserve"> {</w:t>
      </w:r>
      <w:r>
        <w:br/>
      </w:r>
      <w:r>
        <w:rPr>
          <w:rStyle w:val="NormalTok"/>
        </w:rPr>
        <w:t xml:space="preserve">  </w:t>
      </w:r>
      <w:r>
        <w:rPr>
          <w:rStyle w:val="KeywordTok"/>
        </w:rPr>
        <w:t xml:space="preserve">background</w:t>
      </w:r>
      <w:r>
        <w:rPr>
          <w:rStyle w:val="NormalTok"/>
        </w:rPr>
        <w:t xml:space="preserve">: </w:t>
      </w:r>
      <w:r>
        <w:rPr>
          <w:rStyle w:val="ConstantTok"/>
        </w:rPr>
        <w:t xml:space="preserve">#8CD00030</w:t>
      </w:r>
      <w:r>
        <w:rPr>
          <w:rStyle w:val="OperatorTok"/>
        </w:rPr>
        <w:t xml:space="preserve">;</w:t>
      </w:r>
      <w:r>
        <w:br/>
      </w:r>
      <w:r>
        <w:rPr>
          <w:rStyle w:val="NormalTok"/>
        </w:rPr>
        <w:t xml:space="preserve">  }</w:t>
      </w:r>
      <w:r>
        <w:br/>
      </w:r>
      <w:r>
        <w:rPr>
          <w:rStyle w:val="NormalTok"/>
        </w:rPr>
        <w:t xml:space="preserve">  </w:t>
      </w:r>
      <w:r>
        <w:br/>
      </w:r>
      <w:r>
        <w:rPr>
          <w:rStyle w:val="FunctionTok"/>
        </w:rPr>
        <w:t xml:space="preserve">.vis-text</w:t>
      </w:r>
      <w:r>
        <w:rPr>
          <w:rStyle w:val="NormalTok"/>
        </w:rPr>
        <w:t xml:space="preserve"> {</w:t>
      </w:r>
      <w:r>
        <w:br/>
      </w:r>
      <w:r>
        <w:rPr>
          <w:rStyle w:val="NormalTok"/>
        </w:rPr>
        <w:t xml:space="preserve">  </w:t>
      </w:r>
      <w:r>
        <w:rPr>
          <w:rStyle w:val="KeywordTok"/>
        </w:rPr>
        <w:t xml:space="preserve">color</w:t>
      </w:r>
      <w:r>
        <w:rPr>
          <w:rStyle w:val="NormalTok"/>
        </w:rPr>
        <w:t xml:space="preserve">: </w:t>
      </w:r>
      <w:r>
        <w:rPr>
          <w:rStyle w:val="ConstantTok"/>
        </w:rPr>
        <w:t xml:space="preserve">#ffffff</w:t>
      </w:r>
      <w:r>
        <w:rPr>
          <w:rStyle w:val="NormalTok"/>
        </w:rPr>
        <w:t xml:space="preserve"> </w:t>
      </w:r>
      <w:r>
        <w:rPr>
          <w:rStyle w:val="AttributeTok"/>
        </w:rPr>
        <w:t xml:space="preserve">!important</w:t>
      </w:r>
      <w:r>
        <w:rPr>
          <w:rStyle w:val="OperatorTok"/>
        </w:rPr>
        <w:t xml:space="preserve">;</w:t>
      </w:r>
      <w:r>
        <w:br/>
      </w:r>
      <w:r>
        <w:rPr>
          <w:rStyle w:val="NormalTok"/>
        </w:rPr>
        <w:t xml:space="preserve">  }</w:t>
      </w:r>
      <w:r>
        <w:br/>
      </w:r>
      <w:r>
        <w:rPr>
          <w:rStyle w:val="NormalTok"/>
        </w:rPr>
        <w:t xml:space="preserve">  </w:t>
      </w:r>
      <w:r>
        <w:br/>
      </w:r>
      <w:r>
        <w:rPr>
          <w:rStyle w:val="FunctionTok"/>
        </w:rPr>
        <w:t xml:space="preserve">.vis-timeline</w:t>
      </w:r>
      <w:r>
        <w:rPr>
          <w:rStyle w:val="NormalTok"/>
        </w:rPr>
        <w:t xml:space="preserve"> {</w:t>
      </w:r>
      <w:r>
        <w:br/>
      </w:r>
      <w:r>
        <w:rPr>
          <w:rStyle w:val="NormalTok"/>
        </w:rPr>
        <w:t xml:space="preserve">  </w:t>
      </w:r>
      <w:r>
        <w:rPr>
          <w:rStyle w:val="KeywordTok"/>
        </w:rPr>
        <w:t xml:space="preserve">border</w:t>
      </w:r>
      <w:r>
        <w:rPr>
          <w:rStyle w:val="NormalTok"/>
        </w:rPr>
        <w:t xml:space="preserve">: </w:t>
      </w:r>
      <w:r>
        <w:rPr>
          <w:rStyle w:val="DecValTok"/>
        </w:rPr>
        <w:t xml:space="preserve">transparent</w:t>
      </w:r>
      <w:r>
        <w:rPr>
          <w:rStyle w:val="OperatorTok"/>
        </w:rPr>
        <w:t xml:space="preserve">;</w:t>
      </w:r>
      <w:r>
        <w:br/>
      </w:r>
      <w:r>
        <w:rPr>
          <w:rStyle w:val="NormalTok"/>
        </w:rPr>
        <w:t xml:space="preserve">  }</w:t>
      </w:r>
      <w:r>
        <w:br/>
      </w:r>
      <w:r>
        <w:rPr>
          <w:rStyle w:val="NormalTok"/>
        </w:rPr>
        <w:t xml:space="preserve">  </w:t>
      </w:r>
      <w:r>
        <w:br/>
      </w:r>
      <w:r>
        <w:rPr>
          <w:rStyle w:val="FunctionTok"/>
        </w:rPr>
        <w:t xml:space="preserve">.vis-item</w:t>
      </w:r>
      <w:r>
        <w:rPr>
          <w:rStyle w:val="NormalTok"/>
        </w:rPr>
        <w:t xml:space="preserve"> {</w:t>
      </w:r>
      <w:r>
        <w:br/>
      </w:r>
      <w:r>
        <w:rPr>
          <w:rStyle w:val="NormalTok"/>
        </w:rPr>
        <w:t xml:space="preserve">  </w:t>
      </w:r>
      <w:r>
        <w:rPr>
          <w:rStyle w:val="KeywordTok"/>
        </w:rPr>
        <w:t xml:space="preserve">border-color</w:t>
      </w:r>
      <w:r>
        <w:rPr>
          <w:rStyle w:val="NormalTok"/>
        </w:rPr>
        <w:t xml:space="preserve">: </w:t>
      </w:r>
      <w:r>
        <w:rPr>
          <w:rStyle w:val="ConstantTok"/>
        </w:rPr>
        <w:t xml:space="preserve">#8CD000</w:t>
      </w:r>
      <w:r>
        <w:rPr>
          <w:rStyle w:val="OperatorTok"/>
        </w:rPr>
        <w:t xml:space="preserve">;</w:t>
      </w:r>
      <w:r>
        <w:rPr>
          <w:rStyle w:val="NormalTok"/>
        </w:rPr>
        <w:t xml:space="preserve"> </w:t>
      </w:r>
      <w:r>
        <w:br/>
      </w:r>
      <w:r>
        <w:rPr>
          <w:rStyle w:val="NormalTok"/>
        </w:rPr>
        <w:t xml:space="preserve">  </w:t>
      </w:r>
      <w:r>
        <w:rPr>
          <w:rStyle w:val="KeywordTok"/>
        </w:rPr>
        <w:t xml:space="preserve">background-color</w:t>
      </w:r>
      <w:r>
        <w:rPr>
          <w:rStyle w:val="NormalTok"/>
        </w:rPr>
        <w:t xml:space="preserve">: </w:t>
      </w:r>
      <w:r>
        <w:rPr>
          <w:rStyle w:val="ConstantTok"/>
        </w:rPr>
        <w:t xml:space="preserve">#8CD000</w:t>
      </w:r>
      <w:r>
        <w:rPr>
          <w:rStyle w:val="OperatorTok"/>
        </w:rPr>
        <w:t xml:space="preserve">;</w:t>
      </w:r>
      <w:r>
        <w:rPr>
          <w:rStyle w:val="NormalTok"/>
        </w:rPr>
        <w:t xml:space="preserve"> </w:t>
      </w:r>
      <w:r>
        <w:br/>
      </w:r>
      <w:r>
        <w:rPr>
          <w:rStyle w:val="NormalTok"/>
        </w:rPr>
        <w:t xml:space="preserve">  </w:t>
      </w:r>
      <w:r>
        <w:rPr>
          <w:rStyle w:val="KeywordTok"/>
        </w:rPr>
        <w:t xml:space="preserve">color</w:t>
      </w:r>
      <w:r>
        <w:rPr>
          <w:rStyle w:val="NormalTok"/>
        </w:rPr>
        <w:t xml:space="preserve">: </w:t>
      </w:r>
      <w:r>
        <w:rPr>
          <w:rStyle w:val="ConstantTok"/>
        </w:rPr>
        <w:t xml:space="preserve">#ffffff</w:t>
      </w:r>
      <w:r>
        <w:rPr>
          <w:rStyle w:val="NormalTok"/>
        </w:rPr>
        <w:t xml:space="preserve"> </w:t>
      </w:r>
      <w:r>
        <w:rPr>
          <w:rStyle w:val="AttributeTok"/>
        </w:rPr>
        <w:t xml:space="preserve">!important</w:t>
      </w:r>
      <w:r>
        <w:rPr>
          <w:rStyle w:val="OperatorTok"/>
        </w:rPr>
        <w:t xml:space="preserve">;</w:t>
      </w:r>
      <w:r>
        <w:br/>
      </w:r>
      <w:r>
        <w:rPr>
          <w:rStyle w:val="NormalTok"/>
        </w:rPr>
        <w:t xml:space="preserve">}</w:t>
      </w:r>
      <w:r>
        <w:br/>
      </w:r>
      <w:r>
        <w:br/>
      </w:r>
      <w:r>
        <w:br/>
      </w:r>
      <w:r>
        <w:br/>
      </w:r>
      <w:r>
        <w:rPr>
          <w:rStyle w:val="FunctionTok"/>
        </w:rPr>
        <w:t xml:space="preserve">.vis-current-time</w:t>
      </w:r>
      <w:r>
        <w:rPr>
          <w:rStyle w:val="NormalTok"/>
        </w:rPr>
        <w:t xml:space="preserve"> {</w:t>
      </w:r>
      <w:r>
        <w:br/>
      </w:r>
      <w:r>
        <w:rPr>
          <w:rStyle w:val="NormalTok"/>
        </w:rPr>
        <w:t xml:space="preserve">  </w:t>
      </w:r>
      <w:r>
        <w:rPr>
          <w:rStyle w:val="KeywordTok"/>
        </w:rPr>
        <w:t xml:space="preserve">background-color</w:t>
      </w:r>
      <w:r>
        <w:rPr>
          <w:rStyle w:val="NormalTok"/>
        </w:rPr>
        <w:t xml:space="preserve">: </w:t>
      </w:r>
      <w:r>
        <w:rPr>
          <w:rStyle w:val="ConstantTok"/>
        </w:rPr>
        <w:t xml:space="preserve">#8CD00000</w:t>
      </w:r>
      <w:r>
        <w:rPr>
          <w:rStyle w:val="OperatorTok"/>
        </w:rPr>
        <w:t xml:space="preserve">;</w:t>
      </w:r>
      <w:r>
        <w:br/>
      </w:r>
      <w:r>
        <w:rPr>
          <w:rStyle w:val="NormalTok"/>
        </w:rPr>
        <w:t xml:space="preserve">}</w:t>
      </w:r>
      <w:r>
        <w:br/>
      </w:r>
      <w:r>
        <w:rPr>
          <w:rStyle w:val="NormalTok"/>
        </w:rPr>
        <w:t xml:space="preserve">  </w:t>
      </w:r>
    </w:p>
    <w:bookmarkEnd w:id="20"/>
    <w:bookmarkStart w:id="25" w:name="section"/>
    <w:p>
      <w:pPr>
        <w:pStyle w:val="Heading2"/>
      </w:pPr>
    </w:p>
    <w:bookmarkStart w:id="24" w:name="X74f5f12a72e10b2a3abff2de15db6d755806330"/>
    <w:p>
      <w:pPr>
        <w:pStyle w:val="Heading3"/>
      </w:pPr>
      <w:r>
        <w:t xml:space="preserve"> </w:t>
      </w:r>
      <w:r>
        <w:t xml:space="preserve">Mit wem haben Sie es zu tun?</w:t>
      </w:r>
    </w:p>
    <w:p>
      <w:pPr>
        <w:pStyle w:val="FirstParagraph"/>
      </w:pPr>
    </w:p>
    <w:p>
      <w:pPr>
        <w:pStyle w:val="SourceCode"/>
      </w:pPr>
      <w:r>
        <w:rPr>
          <w:rStyle w:val="VerbatimChar"/>
        </w:rPr>
        <w:t xml:space="preserve">PhantomJS not found. You can install it with webshot::install_phantomjs(). If it is installed, please make sure the phantomjs executable can be found via the PATH variable.</w:t>
      </w:r>
    </w:p>
    <w:p>
      <w:pPr>
        <w:pStyle w:val="FirstParagraph"/>
      </w:pPr>
      <w:r>
        <w:drawing>
          <wp:inline>
            <wp:extent cx="5334000" cy="6667500"/>
            <wp:effectExtent b="0" l="0" r="0" t="0"/>
            <wp:docPr descr="" title="" id="22" name="Picture"/>
            <a:graphic>
              <a:graphicData uri="http://schemas.openxmlformats.org/drawingml/2006/picture">
                <pic:pic>
                  <pic:nvPicPr>
                    <pic:cNvPr descr="Sitzung_1_Synchron_Vorlage_zur_Mitschrift_files/figure-docx/unnamed-chunk-2-1.png" id="23" name="Picture"/>
                    <pic:cNvPicPr>
                      <a:picLocks noChangeArrowheads="1" noChangeAspect="1"/>
                    </pic:cNvPicPr>
                  </pic:nvPicPr>
                  <pic:blipFill>
                    <a:blip r:embed="rId21"/>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Folien unter https://bit.ly/merk055</w:t>
      </w:r>
    </w:p>
    <w:bookmarkEnd w:id="24"/>
    <w:bookmarkEnd w:id="25"/>
    <w:bookmarkStart w:id="26" w:name="heutige-vorlesung"/>
    <w:p>
      <w:pPr>
        <w:pStyle w:val="Heading2"/>
      </w:pPr>
      <w:r>
        <w:t xml:space="preserve">Heutige Vorlesung</w:t>
      </w:r>
    </w:p>
    <w:p>
      <w:pPr>
        <w:pStyle w:val="FirstParagraph"/>
      </w:pPr>
      <w:r>
        <w:t xml:space="preserve"> </w:t>
      </w:r>
      <w:r>
        <w:t xml:space="preserve"> </w:t>
      </w:r>
      <w:r>
        <w:t xml:space="preserve">Motivierung: Wozu</w:t>
      </w:r>
      <w:r>
        <w:t xml:space="preserve"> </w:t>
      </w:r>
      <w:r>
        <w:rPr>
          <w:iCs/>
          <w:i/>
        </w:rPr>
        <w:t xml:space="preserve">Forschung</w:t>
      </w:r>
      <w:r>
        <w:t xml:space="preserve"> </w:t>
      </w:r>
      <w:r>
        <w:t xml:space="preserve">in der Lehrer:innenbildung?</w:t>
      </w:r>
    </w:p>
    <w:p>
      <w:pPr>
        <w:pStyle w:val="BodyText"/>
      </w:pPr>
      <w:r>
        <w:t xml:space="preserve"> </w:t>
      </w:r>
      <w:r>
        <w:t xml:space="preserve">Inhaltliche Einführung: Was ist Wissenschaft?</w:t>
      </w:r>
    </w:p>
    <w:p>
      <w:pPr>
        <w:pStyle w:val="BodyText"/>
      </w:pPr>
      <w:r>
        <w:t xml:space="preserve"> </w:t>
      </w:r>
      <w:r>
        <w:t xml:space="preserve">Organisatorische Einführung</w:t>
      </w:r>
    </w:p>
    <w:p>
      <w:pPr>
        <w:pStyle w:val="BodyText"/>
      </w:pPr>
      <w:r>
        <w:t xml:space="preserve"> </w:t>
      </w:r>
      <w:r>
        <w:t xml:space="preserve">Ihre Fragen</w:t>
      </w:r>
    </w:p>
    <w:p>
      <w:pPr>
        <w:pStyle w:val="BodyText"/>
      </w:pPr>
      <w:r>
        <w:t xml:space="preserve">Folien unter https://bit.ly/merk055</w:t>
      </w:r>
    </w:p>
    <w:bookmarkEnd w:id="26"/>
    <w:bookmarkStart w:id="28" w:name="fa-charging-station-motivierung"/>
    <w:p>
      <w:pPr>
        <w:pStyle w:val="Heading2"/>
      </w:pPr>
      <w:r>
        <w:t xml:space="preserve"> </w:t>
      </w:r>
      <w:r>
        <w:t xml:space="preserve">Motivierung:</w:t>
      </w:r>
    </w:p>
    <w:bookmarkStart w:id="27" w:name="wozu-forschung-in-der-lehrerinnenbildung"/>
    <w:p>
      <w:pPr>
        <w:pStyle w:val="Heading4"/>
      </w:pPr>
      <w:r>
        <w:t xml:space="preserve">Wozu</w:t>
      </w:r>
      <w:r>
        <w:t xml:space="preserve"> </w:t>
      </w:r>
      <w:r>
        <w:rPr>
          <w:iCs/>
          <w:i/>
        </w:rPr>
        <w:t xml:space="preserve">Forschung</w:t>
      </w:r>
      <w:r>
        <w:t xml:space="preserve"> </w:t>
      </w:r>
      <w:r>
        <w:t xml:space="preserve">in der Lehrer:innenbildung?</w:t>
      </w:r>
    </w:p>
    <w:p>
      <w:pPr>
        <w:pStyle w:val="FirstParagraph"/>
      </w:pPr>
      <w:r>
        <w:t xml:space="preserve">Folien unter https://bit.ly/merk055</w:t>
      </w:r>
    </w:p>
    <w:bookmarkEnd w:id="27"/>
    <w:bookmarkEnd w:id="28"/>
    <w:bookmarkStart w:id="32" w:name="charakteristika-des-unterrichtens"/>
    <w:p>
      <w:pPr>
        <w:pStyle w:val="Heading2"/>
      </w:pPr>
      <w:r>
        <w:t xml:space="preserve">Charakteristika des Unterrichtens</w:t>
      </w:r>
    </w:p>
    <w:tbl>
      <w:tblPr>
        <w:tblStyle w:val="Table"/>
        <w:tblW w:type="pct" w:w="5000"/>
        <w:tblLook w:firstRow="0" w:lastRow="0" w:firstColumn="0" w:lastColumn="0" w:noHBand="0" w:noVBand="0" w:val="0000"/>
      </w:tblPr>
      <w:tblGrid>
        <w:gridCol w:w="7920"/>
      </w:tblGrid>
      <w:tr>
        <w:tc>
          <w:tcPr/>
          <w:p>
            <w:pPr>
              <w:jc w:val="center"/>
            </w:pPr>
            <w:r>
              <w:drawing>
                <wp:inline>
                  <wp:extent cx="5334000" cy="2667000"/>
                  <wp:effectExtent b="0" l="0" r="0" t="0"/>
                  <wp:docPr descr="" title="" id="30" name="Picture"/>
                  <a:graphic>
                    <a:graphicData uri="http://schemas.openxmlformats.org/drawingml/2006/picture">
                      <pic:pic>
                        <pic:nvPicPr>
                          <pic:cNvPr descr="Sitzung_1_Synchron_Vorlage_zur_Mitschrift_files/figure-docx/unnamed-chunk-3-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Folien unter https://bit.ly/merk053</w:t>
      </w:r>
    </w:p>
    <w:bookmarkEnd w:id="32"/>
    <w:bookmarkStart w:id="34" w:name="eine-formale-begründung"/>
    <w:p>
      <w:pPr>
        <w:pStyle w:val="Heading2"/>
      </w:pPr>
      <w:r>
        <w:t xml:space="preserve">Eine formale Begründung:</w:t>
      </w:r>
    </w:p>
    <w:bookmarkStart w:id="33" w:name="X881c165c863f2107461dd183cf5e4b0a03b5a05"/>
    <w:p>
      <w:pPr>
        <w:pStyle w:val="Heading4"/>
      </w:pPr>
      <w:r>
        <w:t xml:space="preserve">Standards der Kultusministerkonferenz für die Lehrer:innenbildung</w:t>
      </w:r>
    </w:p>
    <w:p>
      <w:pPr>
        <w:pStyle w:val="BlockText"/>
      </w:pPr>
      <w:r>
        <w:t xml:space="preserve">“</w:t>
      </w:r>
      <w:r>
        <w:t xml:space="preserve">Die Absolventinnen und Absolventen kennen Grundlagen und Ergebnisse der Schul- und Unterrichtsforschung und können diese anwendungsbezogen reflektieren</w:t>
      </w:r>
      <w:r>
        <w:t xml:space="preserve">”</w:t>
      </w:r>
    </w:p>
    <w:p>
      <w:pPr>
        <w:pStyle w:val="BlockText"/>
      </w:pPr>
      <w:r>
        <w:t xml:space="preserve">“</w:t>
      </w:r>
      <w:r>
        <w:t xml:space="preserve">Die Absolventinnen und Absolventen rezipieren und bewerten Ergebnisse der Bildungs- und Schulforschung</w:t>
      </w:r>
      <w:r>
        <w:t xml:space="preserve">”</w:t>
      </w:r>
    </w:p>
    <w:bookmarkEnd w:id="33"/>
    <w:bookmarkEnd w:id="34"/>
    <w:bookmarkStart w:id="40" w:name="eine-kompetenztheo.-begründung"/>
    <w:p>
      <w:pPr>
        <w:pStyle w:val="Heading2"/>
      </w:pPr>
      <w:r>
        <w:t xml:space="preserve">Eine kompetenztheo. Begründung:</w:t>
      </w:r>
    </w:p>
    <w:p>
      <w:pPr>
        <w:pStyle w:val="FirstParagraph"/>
      </w:pPr>
      <w:r>
        <w:t xml:space="preserve">“</w:t>
      </w:r>
      <w:r>
        <w:rPr>
          <w:iCs/>
          <w:i/>
        </w:rPr>
        <w:t xml:space="preserve">Kompetenzen sind latente, domänenspezifische Dispositionen, die die erfolgreiche Problemlösung wahrscheinlicher machen</w:t>
      </w:r>
      <w:r>
        <w:t xml:space="preserve">”</w:t>
      </w:r>
    </w:p>
    <w:bookmarkStart w:id="35" w:name="bsp.-mathematik"/>
    <w:p>
      <w:pPr>
        <w:pStyle w:val="Heading3"/>
      </w:pPr>
      <w:r>
        <w:t xml:space="preserve">Bsp. Mathematik</w:t>
      </w:r>
    </w:p>
    <w:p>
      <w:pPr>
        <w:pStyle w:val="FirstParagraph"/>
      </w:pPr>
      <w:r>
        <w:t xml:space="preserve">“</w:t>
      </w:r>
      <w:r>
        <w:rPr>
          <w:iCs/>
          <w:i/>
        </w:rPr>
        <w:t xml:space="preserve">Hr. Müller fährt auf der Autobahn, sieht auf einer App, dass die nächsten Tankstellen in 3km, 65km und 120km kommen mit den Preisen 1,49€, 1,45€ und 1,38€. Ein Blick auf das Amaturenbrett verrät ihm, dass sein Tank noch zu einem Achtel gefüllt ist, weshalb er sich fragt, bis zu welcher Tankstelle er fahren sollte.</w:t>
      </w:r>
      <w:r>
        <w:t xml:space="preserve">”</w:t>
      </w:r>
      <w:r>
        <w:t xml:space="preserve">]</w:t>
      </w:r>
    </w:p>
    <w:bookmarkEnd w:id="35"/>
    <w:bookmarkStart w:id="36" w:name="bsp.-gpk"/>
    <w:p>
      <w:pPr>
        <w:pStyle w:val="Heading3"/>
      </w:pPr>
      <w:r>
        <w:t xml:space="preserve">Bsp. GPK</w:t>
      </w:r>
    </w:p>
    <w:p>
      <w:pPr>
        <w:pStyle w:val="FirstParagraph"/>
      </w:pPr>
      <w:r>
        <w:t xml:space="preserve">“</w:t>
      </w:r>
      <w:r>
        <w:rPr>
          <w:iCs/>
          <w:i/>
        </w:rPr>
        <w:t xml:space="preserve">Hr. Müller möchte seine 8. Klasse anhand eines Arbeitsblattes in das stöchiometrische Rechnen (Chemie) einführen. Er fragt sich ob er mit einem Beispiel anfangen soll oder mit einem Problem; ob er Farbe verwenden soll und wenn ja welche; ob er Formelschreibweise oder Teilchenmodelle verwenden soll; die Legende am Rand oder ins Bild integriert sein soll, etc.</w:t>
      </w:r>
      <w:r>
        <w:rPr>
          <w:iCs/>
          <w:i/>
        </w:rPr>
        <w:t xml:space="preserve"> </w:t>
      </w:r>
      <w:r>
        <w:t xml:space="preserve">”</w:t>
      </w:r>
      <w:r>
        <w:t xml:space="preserve">]</w:t>
      </w:r>
    </w:p>
    <w:bookmarkEnd w:id="36"/>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96348"/>
                  <wp:effectExtent b="0" l="0" r="0" t="0"/>
                  <wp:docPr descr="" title="" id="38" name="Picture"/>
                  <a:graphic>
                    <a:graphicData uri="http://schemas.openxmlformats.org/drawingml/2006/picture">
                      <pic:pic>
                        <pic:nvPicPr>
                          <pic:cNvPr descr="img/TradeOff.png" id="39" name="Picture"/>
                          <pic:cNvPicPr>
                            <a:picLocks noChangeArrowheads="1" noChangeAspect="1"/>
                          </pic:cNvPicPr>
                        </pic:nvPicPr>
                        <pic:blipFill>
                          <a:blip r:embed="rId37"/>
                          <a:stretch>
                            <a:fillRect/>
                          </a:stretch>
                        </pic:blipFill>
                        <pic:spPr bwMode="auto">
                          <a:xfrm>
                            <a:off x="0" y="0"/>
                            <a:ext cx="5334000" cy="496348"/>
                          </a:xfrm>
                          <a:prstGeom prst="rect">
                            <a:avLst/>
                          </a:prstGeom>
                          <a:noFill/>
                          <a:ln w="9525">
                            <a:noFill/>
                            <a:headEnd/>
                            <a:tailEnd/>
                          </a:ln>
                        </pic:spPr>
                      </pic:pic>
                    </a:graphicData>
                  </a:graphic>
                </wp:inline>
              </w:drawing>
            </w:r>
          </w:p>
          <w:p>
            <w:pPr>
              <w:jc w:val="center"/>
            </w:pPr>
            <w:pPr>
              <w:jc w:val="start"/>
              <w:spacing w:before="200"/>
              <w:pStyle w:val="ImageCaption"/>
            </w:pPr>
            <w:r>
              <w:t xml:space="preserve">Trade Off von Anwendungsspektrum und Passung</w:t>
            </w:r>
          </w:p>
        </w:tc>
      </w:tr>
    </w:tbl>
    <w:bookmarkEnd w:id="40"/>
    <w:bookmarkStart w:id="41" w:name="eine-bildungstheoretische-begründung"/>
    <w:p>
      <w:pPr>
        <w:pStyle w:val="Heading2"/>
      </w:pPr>
      <w:r>
        <w:t xml:space="preserve">Eine bildungstheoretische Begründung:</w:t>
      </w:r>
    </w:p>
    <w:bookmarkEnd w:id="41"/>
    <w:bookmarkStart w:id="42" w:name="section-1"/>
    <w:p>
      <w:pPr>
        <w:pStyle w:val="Heading2"/>
      </w:pPr>
    </w:p>
    <w:bookmarkEnd w:id="42"/>
    <w:bookmarkStart w:id="43" w:name="bildungsziel"/>
    <w:p>
      <w:pPr>
        <w:pStyle w:val="Heading2"/>
      </w:pPr>
      <w:r>
        <w:t xml:space="preserve">Bildungsziel</w:t>
      </w:r>
    </w:p>
    <w:p>
      <w:pPr>
        <w:pStyle w:val="FirstParagraph"/>
      </w:pPr>
      <w:r>
        <w:t xml:space="preserve"> </w:t>
      </w:r>
      <w:r>
        <w:t xml:space="preserve"> </w:t>
      </w:r>
      <w:r>
        <w:t xml:space="preserve">Forschung/Studien erleben, verstehen, interpretieren, bewerten &amp; ggfs. zum Kompetenzaufbau nutzen.</w:t>
      </w:r>
    </w:p>
    <w:p>
      <w:pPr>
        <w:pStyle w:val="BodyText"/>
      </w:pPr>
      <w:r>
        <w:t xml:space="preserve"> </w:t>
      </w:r>
      <w:r>
        <w:t xml:space="preserve"> </w:t>
      </w:r>
      <w:r>
        <w:t xml:space="preserve">Ausbildung zur Forscherin bzw. zum Forscherin.</w:t>
      </w:r>
    </w:p>
    <w:bookmarkEnd w:id="43"/>
    <w:bookmarkStart w:id="45" w:name="eine-kognitionspsychologische-begründung"/>
    <w:p>
      <w:pPr>
        <w:pStyle w:val="Heading2"/>
      </w:pPr>
      <w:r>
        <w:t xml:space="preserve">Eine kognitionspsychologische Begründung</w:t>
      </w:r>
    </w:p>
    <w:bookmarkStart w:id="44" w:name="Xda58919265d5e7f6d3d7d522e6376acbc40525a"/>
    <w:p>
      <w:pPr>
        <w:pStyle w:val="Heading4"/>
      </w:pPr>
      <w:r>
        <w:t xml:space="preserve">Menschliche Wahrnehmung ist verzerrt und selektiv</w:t>
      </w:r>
    </w:p>
    <w:bookmarkEnd w:id="44"/>
    <w:bookmarkEnd w:id="45"/>
    <w:bookmarkStart w:id="49" w:name="section-2"/>
    <w:p>
      <w:pPr>
        <w:pStyle w:val="Heading2"/>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3033" cy="4152320"/>
                  <wp:effectExtent b="0" l="0" r="0" t="0"/>
                  <wp:docPr descr="" title="" id="47" name="Picture"/>
                  <a:graphic>
                    <a:graphicData uri="http://schemas.openxmlformats.org/drawingml/2006/picture">
                      <pic:pic>
                        <pic:nvPicPr>
                          <pic:cNvPr descr="img/Ebbinghaus.png" id="48" name="Picture"/>
                          <pic:cNvPicPr>
                            <a:picLocks noChangeArrowheads="1" noChangeAspect="1"/>
                          </pic:cNvPicPr>
                        </pic:nvPicPr>
                        <pic:blipFill>
                          <a:blip r:embed="rId46"/>
                          <a:stretch>
                            <a:fillRect/>
                          </a:stretch>
                        </pic:blipFill>
                        <pic:spPr bwMode="auto">
                          <a:xfrm>
                            <a:off x="0" y="0"/>
                            <a:ext cx="4433033" cy="4152320"/>
                          </a:xfrm>
                          <a:prstGeom prst="rect">
                            <a:avLst/>
                          </a:prstGeom>
                          <a:noFill/>
                          <a:ln w="9525">
                            <a:noFill/>
                            <a:headEnd/>
                            <a:tailEnd/>
                          </a:ln>
                        </pic:spPr>
                      </pic:pic>
                    </a:graphicData>
                  </a:graphic>
                </wp:inline>
              </w:drawing>
            </w:r>
          </w:p>
          <w:p>
            <w:pPr>
              <w:jc w:val="center"/>
            </w:pPr>
            <w:pPr>
              <w:jc w:val="start"/>
              <w:spacing w:before="200"/>
              <w:pStyle w:val="ImageCaption"/>
            </w:pPr>
            <w:r>
              <w:t xml:space="preserve">Ebbinghaustäuschung (Massaro &amp; Anderson, 1971)</w:t>
            </w:r>
          </w:p>
        </w:tc>
      </w:tr>
    </w:tbl>
    <w:bookmarkEnd w:id="49"/>
    <w:bookmarkStart w:id="50" w:name="bsp.-verzerrte-wahrnehmung"/>
    <w:p>
      <w:pPr>
        <w:pStyle w:val="Heading2"/>
      </w:pPr>
      <w:r>
        <w:t xml:space="preserve">Bsp.: Verzerrte Wahrnehmung</w:t>
      </w:r>
    </w:p>
    <w:p>
      <w:pPr>
        <w:pStyle w:val="FirstParagraph"/>
      </w:pPr>
      <w:r>
        <w:t xml:space="preserve"> </w:t>
      </w:r>
      <w:r>
        <w:t xml:space="preserve">&gt; Beantworten Sie Fragen in WebEx</w:t>
      </w:r>
    </w:p>
    <w:bookmarkEnd w:id="50"/>
    <w:bookmarkStart w:id="52" w:name="fa-smile-wink-hedonistische-begründung"/>
    <w:p>
      <w:pPr>
        <w:pStyle w:val="Heading2"/>
      </w:pPr>
      <w:r>
        <w:t xml:space="preserve"> </w:t>
      </w:r>
      <w:r>
        <w:t xml:space="preserve">Hedonistische Begründung</w:t>
      </w:r>
    </w:p>
    <w:bookmarkStart w:id="51" w:name="its-fun"/>
    <w:p>
      <w:pPr>
        <w:pStyle w:val="Heading3"/>
      </w:pPr>
      <w:r>
        <w:t xml:space="preserve">It’s fun: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Fakultät</w:t>
            </w:r>
          </w:p>
        </w:tc>
        <w:tc>
          <w:tcPr/>
          <w:p>
            <w:pPr>
              <w:pStyle w:val="Compact"/>
              <w:jc w:val="left"/>
            </w:pPr>
            <w:r>
              <w:t xml:space="preserve">Fakultät A</w:t>
            </w:r>
          </w:p>
        </w:tc>
        <w:tc>
          <w:tcPr/>
          <w:p>
            <w:pPr>
              <w:pStyle w:val="Compact"/>
              <w:jc w:val="left"/>
            </w:pPr>
            <w:r>
              <w:t xml:space="preserve">Fakultät B</w:t>
            </w:r>
          </w:p>
        </w:tc>
      </w:tr>
      <w:tr>
        <w:tc>
          <w:tcPr/>
          <w:p>
            <w:pPr>
              <w:pStyle w:val="Compact"/>
              <w:jc w:val="left"/>
            </w:pPr>
            <w:r>
              <w:t xml:space="preserve">Studenten</w:t>
            </w:r>
          </w:p>
        </w:tc>
        <w:tc>
          <w:tcPr/>
          <w:p>
            <w:pPr>
              <w:pStyle w:val="Compact"/>
              <w:jc w:val="left"/>
            </w:pPr>
            <w:r>
              <w:t xml:space="preserve">100%</w:t>
            </w:r>
          </w:p>
        </w:tc>
        <w:tc>
          <w:tcPr/>
          <w:p>
            <w:pPr>
              <w:pStyle w:val="Compact"/>
              <w:jc w:val="left"/>
            </w:pPr>
            <w:r>
              <w:t xml:space="preserve">60%</w:t>
            </w:r>
          </w:p>
        </w:tc>
      </w:tr>
      <w:tr>
        <w:tc>
          <w:tcPr/>
          <w:p>
            <w:pPr>
              <w:pStyle w:val="Compact"/>
              <w:jc w:val="left"/>
            </w:pPr>
            <w:r>
              <w:t xml:space="preserve">Studentinnen</w:t>
            </w:r>
          </w:p>
        </w:tc>
        <w:tc>
          <w:tcPr/>
          <w:p>
            <w:pPr>
              <w:pStyle w:val="Compact"/>
              <w:jc w:val="left"/>
            </w:pPr>
            <w:r>
              <w:t xml:space="preserve">90%</w:t>
            </w:r>
          </w:p>
        </w:tc>
        <w:tc>
          <w:tcPr/>
          <w:p>
            <w:pPr>
              <w:pStyle w:val="Compact"/>
              <w:jc w:val="left"/>
            </w:pPr>
            <w:r>
              <w:t xml:space="preserve">50%</w:t>
            </w:r>
          </w:p>
        </w:tc>
      </w:tr>
    </w:tbl>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Gruppe</w:t>
            </w:r>
          </w:p>
        </w:tc>
        <w:tc>
          <w:tcPr/>
          <w:p>
            <w:pPr>
              <w:pStyle w:val="Compact"/>
              <w:jc w:val="left"/>
            </w:pPr>
            <w:r>
              <w:t xml:space="preserve">Fakultät A</w:t>
            </w:r>
          </w:p>
        </w:tc>
        <w:tc>
          <w:tcPr/>
          <w:p>
            <w:pPr>
              <w:pStyle w:val="Compact"/>
              <w:jc w:val="left"/>
            </w:pPr>
            <w:r>
              <w:t xml:space="preserve">Fakultät B</w:t>
            </w:r>
          </w:p>
        </w:tc>
        <w:tc>
          <w:tcPr/>
          <w:p>
            <w:pPr>
              <w:pStyle w:val="Compact"/>
              <w:jc w:val="left"/>
            </w:pPr>
            <w:r>
              <w:t xml:space="preserve">Gesamt %</w:t>
            </w:r>
          </w:p>
        </w:tc>
      </w:tr>
      <w:tr>
        <w:tc>
          <w:tcPr/>
          <w:p>
            <w:pPr>
              <w:pStyle w:val="Compact"/>
              <w:jc w:val="left"/>
            </w:pPr>
            <w:r>
              <w:t xml:space="preserve">Studenten</w:t>
            </w:r>
          </w:p>
        </w:tc>
        <w:tc>
          <w:tcPr/>
          <w:p>
            <w:pPr>
              <w:pStyle w:val="Compact"/>
              <w:jc w:val="left"/>
            </w:pPr>
            <w:r>
              <w:t xml:space="preserve">200/200</w:t>
            </w:r>
          </w:p>
        </w:tc>
        <w:tc>
          <w:tcPr/>
          <w:p>
            <w:pPr>
              <w:pStyle w:val="Compact"/>
              <w:jc w:val="left"/>
            </w:pPr>
            <w:r>
              <w:t xml:space="preserve">600/1000</w:t>
            </w:r>
          </w:p>
        </w:tc>
        <w:tc>
          <w:tcPr/>
          <w:p>
            <w:pPr>
              <w:pStyle w:val="Compact"/>
              <w:jc w:val="left"/>
            </w:pPr>
            <w:r>
              <w:t xml:space="preserve">~67%</w:t>
            </w:r>
          </w:p>
        </w:tc>
      </w:tr>
      <w:tr>
        <w:tc>
          <w:tcPr/>
          <w:p>
            <w:pPr>
              <w:pStyle w:val="Compact"/>
              <w:jc w:val="left"/>
            </w:pPr>
            <w:r>
              <w:t xml:space="preserve">Studentinnen</w:t>
            </w:r>
          </w:p>
        </w:tc>
        <w:tc>
          <w:tcPr/>
          <w:p>
            <w:pPr>
              <w:pStyle w:val="Compact"/>
              <w:jc w:val="left"/>
            </w:pPr>
            <w:r>
              <w:t xml:space="preserve">900/1000</w:t>
            </w:r>
          </w:p>
        </w:tc>
        <w:tc>
          <w:tcPr/>
          <w:p>
            <w:pPr>
              <w:pStyle w:val="Compact"/>
              <w:jc w:val="left"/>
            </w:pPr>
            <w:r>
              <w:t xml:space="preserve">100/200</w:t>
            </w:r>
          </w:p>
        </w:tc>
        <w:tc>
          <w:tcPr/>
          <w:p>
            <w:pPr>
              <w:pStyle w:val="Compact"/>
              <w:jc w:val="left"/>
            </w:pPr>
            <w:r>
              <w:t xml:space="preserve">~83%</w:t>
            </w:r>
          </w:p>
        </w:tc>
      </w:tr>
    </w:tbl>
    <w:p>
      <w:pPr>
        <w:pStyle w:val="BodyText"/>
      </w:pPr>
    </w:p>
    <w:p>
      <w:pPr>
        <w:pStyle w:val="BodyText"/>
      </w:pPr>
      <w:r>
        <w:t xml:space="preserve">Die Daten stellen das sogenannte Simpson’ Paradox dar</w:t>
      </w:r>
    </w:p>
    <w:bookmarkEnd w:id="51"/>
    <w:bookmarkEnd w:id="52"/>
    <w:bookmarkStart w:id="54" w:name="Xc834722807758cca33890758946938e41215de3"/>
    <w:p>
      <w:pPr>
        <w:pStyle w:val="Heading2"/>
      </w:pPr>
      <w:r>
        <w:t xml:space="preserve"> </w:t>
      </w:r>
      <w:r>
        <w:t xml:space="preserve">Motivierung (Zusammenfassung):</w:t>
      </w:r>
    </w:p>
    <w:bookmarkStart w:id="53" w:name="X41ec4023728a4b747fa58aa54b7a37454ca3a4d"/>
    <w:p>
      <w:pPr>
        <w:pStyle w:val="Heading3"/>
      </w:pPr>
      <w:r>
        <w:t xml:space="preserve">Wozu</w:t>
      </w:r>
      <w:r>
        <w:t xml:space="preserve"> </w:t>
      </w:r>
      <w:r>
        <w:rPr>
          <w:iCs/>
          <w:i/>
        </w:rPr>
        <w:t xml:space="preserve">Forschung</w:t>
      </w:r>
      <w:r>
        <w:t xml:space="preserve"> </w:t>
      </w:r>
      <w:r>
        <w:t xml:space="preserve">in der Lehrer:innenbildung?</w:t>
      </w:r>
    </w:p>
    <w:p>
      <w:pPr>
        <w:numPr>
          <w:ilvl w:val="0"/>
          <w:numId w:val="1001"/>
        </w:numPr>
        <w:pStyle w:val="Compact"/>
      </w:pPr>
      <w:r>
        <w:t xml:space="preserve">Formaler Grund:</w:t>
      </w:r>
      <w:r>
        <w:t xml:space="preserve"> </w:t>
      </w:r>
      <m:oMath>
        <m:r>
          <m:rPr>
            <m:sty m:val="p"/>
          </m:rPr>
          <m:t>⇒</m:t>
        </m:r>
      </m:oMath>
      <w:r>
        <w:t xml:space="preserve"> </w:t>
      </w:r>
      <w:r>
        <w:t xml:space="preserve">KMK Standards</w:t>
      </w:r>
    </w:p>
    <w:p>
      <w:pPr>
        <w:numPr>
          <w:ilvl w:val="0"/>
          <w:numId w:val="1001"/>
        </w:numPr>
        <w:pStyle w:val="Compact"/>
      </w:pPr>
      <w:r>
        <w:t xml:space="preserve">Kompetenztheoretischer Grund:</w:t>
      </w:r>
      <w:r>
        <w:t xml:space="preserve"> </w:t>
      </w:r>
      <m:oMath>
        <m:r>
          <m:rPr>
            <m:sty m:val="p"/>
          </m:rPr>
          <m:t>⇒</m:t>
        </m:r>
      </m:oMath>
      <w:r>
        <w:t xml:space="preserve"> </w:t>
      </w:r>
      <w:r>
        <w:t xml:space="preserve">Wissen über Forschung macht Sie (mittelbar) kompetenter</w:t>
      </w:r>
    </w:p>
    <w:p>
      <w:pPr>
        <w:numPr>
          <w:ilvl w:val="0"/>
          <w:numId w:val="1001"/>
        </w:numPr>
        <w:pStyle w:val="Compact"/>
      </w:pPr>
      <w:r>
        <w:t xml:space="preserve">Bildungstheoretischer Grund</w:t>
      </w:r>
      <w:r>
        <w:t xml:space="preserve"> </w:t>
      </w:r>
      <m:oMath>
        <m:r>
          <m:rPr>
            <m:sty m:val="p"/>
          </m:rPr>
          <m:t>⇒</m:t>
        </m:r>
      </m:oMath>
      <w:r>
        <w:t xml:space="preserve"> </w:t>
      </w:r>
      <w:r>
        <w:t xml:space="preserve">Selbstbestimmt mit Forschung umgehen</w:t>
      </w:r>
    </w:p>
    <w:p>
      <w:pPr>
        <w:numPr>
          <w:ilvl w:val="0"/>
          <w:numId w:val="1001"/>
        </w:numPr>
        <w:pStyle w:val="Compact"/>
      </w:pPr>
      <w:r>
        <w:t xml:space="preserve">Hedonistischer Grund</w:t>
      </w:r>
      <w:r>
        <w:t xml:space="preserve"> </w:t>
      </w:r>
      <m:oMath>
        <m:r>
          <m:rPr>
            <m:sty m:val="p"/>
          </m:rPr>
          <m:t>⇒</m:t>
        </m:r>
      </m:oMath>
      <w:r>
        <w:t xml:space="preserve"> </w:t>
      </w:r>
      <w:r>
        <w:t xml:space="preserve">Es macht (kann) Spaß (machen)!</w:t>
      </w:r>
    </w:p>
    <w:bookmarkEnd w:id="53"/>
    <w:bookmarkEnd w:id="54"/>
    <w:bookmarkStart w:id="57" w:name="fa-sitemap-organisatorische-einführung"/>
    <w:p>
      <w:pPr>
        <w:pStyle w:val="Heading2"/>
      </w:pPr>
      <w:r>
        <w:t xml:space="preserve"> </w:t>
      </w:r>
      <w:r>
        <w:t xml:space="preserve">Organisatorische Einführung</w:t>
      </w:r>
    </w:p>
    <w:p>
      <w:pPr>
        <w:pStyle w:val="BlockText"/>
      </w:pPr>
      <w:r>
        <w:t xml:space="preserve">Die Vorlesung wird als Flipped Lesson mit obligatorischen und fakultativen Aufgaben und fakultativem Tutorium ausgebracht.</w:t>
      </w:r>
    </w:p>
    <w:p>
      <w:pPr>
        <w:numPr>
          <w:ilvl w:val="0"/>
          <w:numId w:val="1002"/>
        </w:numPr>
        <w:pStyle w:val="Compact"/>
      </w:pPr>
      <w:r>
        <w:rPr>
          <w:bCs/>
          <w:b/>
        </w:rPr>
        <w:t xml:space="preserve">Erklärvideos</w:t>
      </w:r>
      <w:r>
        <w:t xml:space="preserve"> </w:t>
      </w:r>
      <w:r>
        <w:t xml:space="preserve">und</w:t>
      </w:r>
      <w:r>
        <w:t xml:space="preserve"> </w:t>
      </w:r>
      <w:r>
        <w:rPr>
          <w:bCs/>
          <w:b/>
        </w:rPr>
        <w:t xml:space="preserve">Aufgaben</w:t>
      </w:r>
      <w:r>
        <w:t xml:space="preserve"> </w:t>
      </w:r>
      <w:r>
        <w:t xml:space="preserve">werden spätestens donnerstags in oodle</w:t>
      </w:r>
      <w:r>
        <w:t xml:space="preserve"> </w:t>
      </w:r>
      <w:hyperlink r:id="rId55">
        <w:r>
          <w:rPr>
            <w:rStyle w:val="Hyperlink"/>
          </w:rPr>
          <w:t xml:space="preserve">https://bit.ly/merk051</w:t>
        </w:r>
      </w:hyperlink>
      <w:r>
        <w:t xml:space="preserve"> </w:t>
      </w:r>
      <w:r>
        <w:t xml:space="preserve">bereitgestellt und können zu einem beliebigen Zeitpunkt rezipiert/bearbeitet werden.</w:t>
      </w:r>
    </w:p>
    <w:p>
      <w:pPr>
        <w:numPr>
          <w:ilvl w:val="0"/>
          <w:numId w:val="1002"/>
        </w:numPr>
        <w:pStyle w:val="Compact"/>
      </w:pPr>
      <w:r>
        <w:t xml:space="preserve">Tutorium</w:t>
      </w:r>
    </w:p>
    <w:p>
      <w:pPr>
        <w:numPr>
          <w:ilvl w:val="1"/>
          <w:numId w:val="1003"/>
        </w:numPr>
        <w:pStyle w:val="Compact"/>
      </w:pPr>
      <w:r>
        <w:t xml:space="preserve">Dienstags 08:00 - 09:30</w:t>
      </w:r>
      <w:r>
        <w:t xml:space="preserve"> </w:t>
      </w:r>
      <w:hyperlink r:id="rId56">
        <w:r>
          <w:rPr>
            <w:rStyle w:val="Hyperlink"/>
          </w:rPr>
          <w:t xml:space="preserve">https://bit.ly/merk052</w:t>
        </w:r>
      </w:hyperlink>
    </w:p>
    <w:p>
      <w:pPr>
        <w:numPr>
          <w:ilvl w:val="0"/>
          <w:numId w:val="1002"/>
        </w:numPr>
        <w:pStyle w:val="Compact"/>
      </w:pPr>
      <w:r>
        <w:t xml:space="preserve">Mittwochs 16:30 - 18:00</w:t>
      </w:r>
      <w:r>
        <w:t xml:space="preserve"> </w:t>
      </w:r>
      <w:r>
        <w:rPr>
          <w:bCs/>
          <w:b/>
        </w:rPr>
        <w:t xml:space="preserve">synchrone Sitzung</w:t>
      </w:r>
      <w:r>
        <w:t xml:space="preserve"> </w:t>
      </w:r>
      <w:r>
        <w:t xml:space="preserve">mit Elaboration und FAQ (offene Fragen)</w:t>
      </w:r>
    </w:p>
    <w:bookmarkEnd w:id="57"/>
    <w:bookmarkStart w:id="58" w:name="fa-sitemap-organisatorische-einführung-1"/>
    <w:p>
      <w:pPr>
        <w:pStyle w:val="Heading2"/>
      </w:pPr>
      <w:r>
        <w:t xml:space="preserve"> </w:t>
      </w:r>
      <w:r>
        <w:t xml:space="preserve">Organisatorische Einführung</w:t>
      </w:r>
    </w:p>
    <w:p>
      <w:pPr>
        <w:pStyle w:val="BlockText"/>
      </w:pPr>
      <w:r>
        <w:t xml:space="preserve">Um dem Ziel »Forschung erleben« näher zu kommen, durchlaufen Sie selbst Datenerhebungen und Experimente, die wir anschließend gemeinsam besprechen.</w:t>
      </w:r>
    </w:p>
    <w:p>
      <w:pPr>
        <w:numPr>
          <w:ilvl w:val="0"/>
          <w:numId w:val="1004"/>
        </w:numPr>
      </w:pPr>
      <w:r>
        <w:t xml:space="preserve">Diese sind aus didaktischen Gründen obligatorisch (gemeinsame Besprechung)</w:t>
      </w:r>
    </w:p>
    <w:p>
      <w:pPr>
        <w:numPr>
          <w:ilvl w:val="0"/>
          <w:numId w:val="1004"/>
        </w:numPr>
      </w:pPr>
      <w:r>
        <w:t xml:space="preserve">Für eine Win-Win-Situation wünschen wir uns, dass Sie Ihre anonymisierten Daten freiwillig zur wissenschaftlichen Analyse freigeben.</w:t>
      </w:r>
    </w:p>
    <w:p>
      <w:pPr>
        <w:numPr>
          <w:ilvl w:val="0"/>
          <w:numId w:val="1004"/>
        </w:numPr>
      </w:pPr>
      <w:r>
        <w:t xml:space="preserve">Als symbolische Anerkennung dieser »Datenspende« verlosen wir einen 50€ Amazongutschein und 4x10€ Karlsruher Einkaufsgutscheine unter allen Datenspender*innen.</w:t>
      </w:r>
    </w:p>
    <w:bookmarkEnd w:id="58"/>
    <w:bookmarkStart w:id="59" w:name="eingangsbefragung"/>
    <w:p>
      <w:pPr>
        <w:pStyle w:val="Heading2"/>
      </w:pPr>
      <w:r>
        <w:t xml:space="preserve">Eingangsbefragung</w:t>
      </w:r>
    </w:p>
    <w:p>
      <w:pPr>
        <w:pStyle w:val="FirstParagraph"/>
      </w:pPr>
      <w:r>
        <w:t xml:space="preserve">Als Datengrundlage für die statistischen Sitzungen (4,5,6,7) nutzen wir die Ergebnisse der Eingangsbefragung. Sie enthält außerdem Variablen, die es uns erlauben die Lehre zu optimieren (z.B. Nichtbestehensquote im SoSe deutlich gesenkt) …</w:t>
      </w:r>
    </w:p>
    <w:p>
      <w:pPr>
        <w:pStyle w:val="BodyText"/>
      </w:pPr>
      <w:r>
        <w:t xml:space="preserve"> </w:t>
      </w:r>
      <w:r>
        <w:t xml:space="preserve">&gt; Link »Eingangsbefragung« auf oodle (https://bit.ly/merk051)</w:t>
      </w:r>
    </w:p>
    <w:bookmarkEnd w:id="59"/>
    <w:bookmarkStart w:id="61" w:name="klausur"/>
    <w:p>
      <w:pPr>
        <w:pStyle w:val="Heading2"/>
      </w:pPr>
      <w:r>
        <w:t xml:space="preserve">Klausur</w:t>
      </w:r>
    </w:p>
    <w:p>
      <w:pPr>
        <w:pStyle w:val="BlockText"/>
      </w:pPr>
      <w:r>
        <w:t xml:space="preserve">Termin: 14.02.2022 18:00 - 19:30</w:t>
      </w:r>
      <w:r>
        <w:br/>
      </w:r>
      <w:r>
        <w:t xml:space="preserve">Modus: Synchron-digitale Open-Book-Online-Klausur</w:t>
      </w:r>
    </w:p>
    <w:p>
      <w:pPr>
        <w:pStyle w:val="FirstParagraph"/>
      </w:pPr>
    </w:p>
    <w:bookmarkStart w:id="60" w:name="aus-unserer-rahmenprüfungsordnung"/>
    <w:p>
      <w:pPr>
        <w:pStyle w:val="Heading3"/>
      </w:pPr>
      <w:r>
        <w:t xml:space="preserve">Aus unserer Rahmenprüfungsordnung</w:t>
      </w:r>
    </w:p>
    <w:p>
      <w:pPr>
        <w:pStyle w:val="BlockText"/>
      </w:pPr>
      <w:r>
        <w:t xml:space="preserve">[…] sind bestanden, wenn die oder der Studierende mindestens 60 Prozent der zu erreichenden Gesamtpunktzahl erreicht hat. Die Prüfung ist auch bestanden, wenn die vom Prüfling erreichte Punktzahl um nicht mehr als 20 Prozent die durchschnittlichen Prüfungsleistungen aller Prüfungsteilnehmerinnen und Prü- fungsteilnehmer an dieser Prüfung unterschreitet (relative Bestehensgrenze). Kommt die relative Bestehensgrenze zur Anwendung, so müssen für das Bestehen der Prüfung mindestens 50 Prozent der möglichen Gesamtpunkte erreicht werden.</w:t>
      </w:r>
    </w:p>
    <w:bookmarkEnd w:id="60"/>
    <w:bookmarkEnd w:id="61"/>
    <w:bookmarkStart w:id="62" w:name="anforderungen"/>
    <w:p>
      <w:pPr>
        <w:pStyle w:val="Heading2"/>
      </w:pPr>
      <w:r>
        <w:t xml:space="preserve">Anforderungen</w:t>
      </w:r>
    </w:p>
    <w:p>
      <w:pPr>
        <w:numPr>
          <w:ilvl w:val="0"/>
          <w:numId w:val="1005"/>
        </w:numPr>
        <w:pStyle w:val="Compact"/>
      </w:pPr>
      <w:r>
        <w:t xml:space="preserve">Sie bekommen 4CP</w:t>
      </w:r>
      <w:r>
        <w:t xml:space="preserve"> </w:t>
      </w:r>
      <m:oMath>
        <m:r>
          <m:rPr>
            <m:sty m:val="p"/>
          </m:rPr>
          <m:t>⇒</m:t>
        </m:r>
        <m:f>
          <m:fPr>
            <m:type m:val="bar"/>
          </m:fPr>
          <m:num>
            <m:r>
              <m:t>4</m:t>
            </m:r>
            <m:r>
              <m:rPr>
                <m:sty m:val="p"/>
              </m:rPr>
              <m:t>⋅</m:t>
            </m:r>
            <m:r>
              <m:t>30</m:t>
            </m:r>
            <m:r>
              <m:t>h</m:t>
            </m:r>
          </m:num>
          <m:den>
            <m:r>
              <m:t>15</m:t>
            </m:r>
            <m:r>
              <m:t> </m:t>
            </m:r>
            <m:r>
              <m:t>W</m:t>
            </m:r>
            <m:r>
              <m:t>o</m:t>
            </m:r>
            <m:r>
              <m:t>c</m:t>
            </m:r>
            <m:r>
              <m:t>h</m:t>
            </m:r>
            <m:r>
              <m:t>e</m:t>
            </m:r>
            <m:r>
              <m:t>n</m:t>
            </m:r>
          </m:den>
        </m:f>
        <m:r>
          <m:rPr>
            <m:sty m:val="p"/>
          </m:rPr>
          <m:t>=</m:t>
        </m:r>
        <m:r>
          <m:t>8</m:t>
        </m:r>
        <m:f>
          <m:fPr>
            <m:type m:val="bar"/>
          </m:fPr>
          <m:num>
            <m:r>
              <m:t>h</m:t>
            </m:r>
          </m:num>
          <m:den>
            <m:r>
              <m:t>W</m:t>
            </m:r>
            <m:r>
              <m:t>o</m:t>
            </m:r>
            <m:r>
              <m:t>c</m:t>
            </m:r>
            <m:r>
              <m:t>h</m:t>
            </m:r>
            <m:r>
              <m:t>e</m:t>
            </m:r>
          </m:den>
        </m:f>
      </m:oMath>
    </w:p>
    <w:p>
      <w:pPr>
        <w:numPr>
          <w:ilvl w:val="0"/>
          <w:numId w:val="1005"/>
        </w:numPr>
        <w:pStyle w:val="Compact"/>
      </w:pPr>
      <w:r>
        <w:t xml:space="preserve">Meine Prognose: Wenn Sie diese Zeit investieren, bestehen Sie die Klausur recht sicher</w:t>
      </w:r>
    </w:p>
    <w:p>
      <w:pPr>
        <w:numPr>
          <w:ilvl w:val="0"/>
          <w:numId w:val="1005"/>
        </w:numPr>
        <w:pStyle w:val="Compact"/>
      </w:pPr>
      <w:r>
        <w:t xml:space="preserve">Befragung aus dem Sommersemester: Über 90% der Studierenden bringt weniger Zeit auf als durch die CP gefordert</w:t>
      </w:r>
    </w:p>
    <w:p>
      <w:pPr>
        <w:numPr>
          <w:ilvl w:val="0"/>
          <w:numId w:val="1005"/>
        </w:numPr>
        <w:pStyle w:val="Compact"/>
      </w:pPr>
      <w:r>
        <w:t xml:space="preserve">Klausuraufgaben enthalten (für den Quantiteil) die gleichen Konzepte wie die formativen Übungsaufgaben</w:t>
      </w:r>
    </w:p>
    <w:p>
      <w:pPr>
        <w:numPr>
          <w:ilvl w:val="0"/>
          <w:numId w:val="1005"/>
        </w:numPr>
        <w:pStyle w:val="Compact"/>
      </w:pPr>
      <w:r>
        <w:t xml:space="preserve">Bestehensbedingungen:</w:t>
      </w:r>
    </w:p>
    <w:p>
      <w:pPr>
        <w:numPr>
          <w:ilvl w:val="1"/>
          <w:numId w:val="1006"/>
        </w:numPr>
        <w:pStyle w:val="Compact"/>
      </w:pPr>
      <w:r>
        <w:t xml:space="preserve">Befragungen (vorr. 2) bearbeitet</w:t>
      </w:r>
    </w:p>
    <w:p>
      <w:pPr>
        <w:numPr>
          <w:ilvl w:val="1"/>
          <w:numId w:val="1006"/>
        </w:numPr>
        <w:pStyle w:val="Compact"/>
      </w:pPr>
      <w:r>
        <w:t xml:space="preserve">Experimente (vorr. 2) bearbeitet</w:t>
      </w:r>
    </w:p>
    <w:bookmarkEnd w:id="62"/>
    <w:bookmarkStart w:id="63" w:name="section-3"/>
    <w:p>
      <w:pPr>
        <w:pStyle w:val="Heading2"/>
      </w:pPr>
    </w:p>
    <w:bookmarkEnd w:id="63"/>
    <w:bookmarkStart w:id="64" w:name="section-4"/>
    <w:p>
      <w:pPr>
        <w:pStyle w:val="Heading2"/>
      </w:pPr>
    </w:p>
    <w:bookmarkEnd w:id="64"/>
    <w:bookmarkStart w:id="65" w:name="section-5"/>
    <w:p>
      <w:pPr>
        <w:pStyle w:val="Heading2"/>
      </w:pPr>
    </w:p>
    <w:bookmarkEnd w:id="65"/>
    <w:bookmarkStart w:id="66" w:name="vorschlag-studierverhalten"/>
    <w:p>
      <w:pPr>
        <w:pStyle w:val="Heading2"/>
      </w:pPr>
      <w:r>
        <w:t xml:space="preserve">Vorschlag »Studierverhalten«</w:t>
      </w:r>
    </w:p>
    <w:p>
      <w:pPr>
        <w:numPr>
          <w:ilvl w:val="0"/>
          <w:numId w:val="1007"/>
        </w:numPr>
        <w:pStyle w:val="Compact"/>
      </w:pPr>
      <w:r>
        <w:t xml:space="preserve">Videos</w:t>
      </w:r>
    </w:p>
    <w:p>
      <w:pPr>
        <w:numPr>
          <w:ilvl w:val="1"/>
          <w:numId w:val="1008"/>
        </w:numPr>
        <w:pStyle w:val="Compact"/>
      </w:pPr>
      <w:r>
        <w:t xml:space="preserve">Rezipieren</w:t>
      </w:r>
    </w:p>
    <w:p>
      <w:pPr>
        <w:numPr>
          <w:ilvl w:val="1"/>
          <w:numId w:val="1008"/>
        </w:numPr>
        <w:pStyle w:val="Compact"/>
      </w:pPr>
      <w:r>
        <w:t xml:space="preserve">Active Retrieval (Yang et al., 2021)</w:t>
      </w:r>
    </w:p>
    <w:p>
      <w:pPr>
        <w:numPr>
          <w:ilvl w:val="1"/>
          <w:numId w:val="1008"/>
        </w:numPr>
        <w:pStyle w:val="Compact"/>
      </w:pPr>
      <w:r>
        <w:t xml:space="preserve">Vertiefende Elaboration (Beispiele, Gegenbeispiele, Verallgemeinerungen, Spezialisierungen)</w:t>
      </w:r>
    </w:p>
    <w:p>
      <w:pPr>
        <w:numPr>
          <w:ilvl w:val="0"/>
          <w:numId w:val="1007"/>
        </w:numPr>
        <w:pStyle w:val="Compact"/>
      </w:pPr>
      <w:r>
        <w:t xml:space="preserve">Aufgaben</w:t>
      </w:r>
    </w:p>
    <w:p>
      <w:pPr>
        <w:numPr>
          <w:ilvl w:val="0"/>
          <w:numId w:val="1007"/>
        </w:numPr>
        <w:pStyle w:val="Compact"/>
      </w:pPr>
      <w:r>
        <w:t xml:space="preserve">evtl. Tutorium oder Materialien aus dem Tutorium</w:t>
      </w:r>
    </w:p>
    <w:p>
      <w:pPr>
        <w:numPr>
          <w:ilvl w:val="0"/>
          <w:numId w:val="1007"/>
        </w:numPr>
        <w:pStyle w:val="Compact"/>
      </w:pPr>
      <w:r>
        <w:t xml:space="preserve">Synchrone VL</w:t>
      </w:r>
    </w:p>
    <w:p>
      <w:pPr>
        <w:numPr>
          <w:ilvl w:val="1"/>
          <w:numId w:val="1009"/>
        </w:numPr>
        <w:pStyle w:val="Compact"/>
      </w:pPr>
      <w:r>
        <w:t xml:space="preserve">Vertiefende Elaboration im sozialen Kontext</w:t>
      </w:r>
    </w:p>
    <w:bookmarkEnd w:id="66"/>
    <w:bookmarkStart w:id="67" w:name="ihre-fragen"/>
    <w:p>
      <w:pPr>
        <w:pStyle w:val="Heading2"/>
      </w:pPr>
      <w:r>
        <w:t xml:space="preserve">Ihre Fragen</w:t>
      </w:r>
    </w:p>
    <w:bookmarkEnd w:id="67"/>
    <w:bookmarkStart w:id="69" w:name="inhaltliche-einführung"/>
    <w:p>
      <w:pPr>
        <w:pStyle w:val="Heading2"/>
      </w:pPr>
      <w:r>
        <w:t xml:space="preserve">Inhaltliche Einführung:</w:t>
      </w:r>
    </w:p>
    <w:bookmarkStart w:id="68" w:name="wissenschaft-vs.-nicht-wissenschaft"/>
    <w:p>
      <w:pPr>
        <w:pStyle w:val="Heading3"/>
      </w:pPr>
      <w:r>
        <w:t xml:space="preserve">Wissenschaft vs. Nicht-Wissenschaft</w:t>
      </w:r>
    </w:p>
    <w:bookmarkEnd w:id="68"/>
    <w:bookmarkEnd w:id="69"/>
    <w:bookmarkStart w:id="70" w:name="was-ist-wissenschaft"/>
    <w:p>
      <w:pPr>
        <w:pStyle w:val="Heading2"/>
      </w:pPr>
      <w:r>
        <w:t xml:space="preserve">Was ist Wissenschaft?</w:t>
      </w:r>
    </w:p>
    <w:p>
      <w:pPr>
        <w:pStyle w:val="BlockText"/>
      </w:pPr>
      <w:r>
        <w:t xml:space="preserve">Wer wissenschaftliche Forschung („scientific research“) betreibt, sucht mithilfe</w:t>
      </w:r>
      <w:r>
        <w:t xml:space="preserve"> </w:t>
      </w:r>
      <w:r>
        <w:t xml:space="preserve">anerkannter wissenschaftlicher Methoden und Methodologien</w:t>
      </w:r>
      <w:r>
        <w:t xml:space="preserve"> </w:t>
      </w:r>
      <w:r>
        <w:t xml:space="preserve">auf der Basis des bisherigen</w:t>
      </w:r>
      <w:r>
        <w:t xml:space="preserve"> </w:t>
      </w:r>
      <w:r>
        <w:t xml:space="preserve">Forschungsstandes</w:t>
      </w:r>
      <w:r>
        <w:t xml:space="preserve"> </w:t>
      </w:r>
      <w:r>
        <w:t xml:space="preserve">(d. h. vorliegender Theorien und empirischer Befunde)</w:t>
      </w:r>
      <w:r>
        <w:t xml:space="preserve"> </w:t>
      </w:r>
      <w:r>
        <w:t xml:space="preserve">zielgerichtet</w:t>
      </w:r>
      <w:r>
        <w:t xml:space="preserve"> </w:t>
      </w:r>
      <w:r>
        <w:t xml:space="preserve">nach</w:t>
      </w:r>
      <w:r>
        <w:t xml:space="preserve"> </w:t>
      </w:r>
      <w:r>
        <w:t xml:space="preserve">gesicherten</w:t>
      </w:r>
      <w:r>
        <w:t xml:space="preserve"> </w:t>
      </w:r>
      <w:r>
        <w:t xml:space="preserve">neuen Erkenntnissen,</w:t>
      </w:r>
      <w:r>
        <w:t xml:space="preserve"> </w:t>
      </w:r>
      <w:r>
        <w:t xml:space="preserve">dokumentiert</w:t>
      </w:r>
      <w:r>
        <w:t xml:space="preserve"> </w:t>
      </w:r>
      <w:r>
        <w:t xml:space="preserve">den Forschungsprozess sowie dessen Ergebnisse in nachvollziehbarer Weise und stellt die Studie in</w:t>
      </w:r>
      <w:r>
        <w:t xml:space="preserve"> </w:t>
      </w:r>
      <w:r>
        <w:t xml:space="preserve">Vorträgen und Publikationen</w:t>
      </w:r>
      <w:r>
        <w:t xml:space="preserve"> </w:t>
      </w:r>
      <w:r>
        <w:t xml:space="preserve">der Fachöffentlichkeit vor (Döring &amp; Bortz, 2019).</w:t>
      </w:r>
    </w:p>
    <w:bookmarkEnd w:id="70"/>
    <w:bookmarkStart w:id="71" w:name="typische-topologie"/>
    <w:p>
      <w:pPr>
        <w:pStyle w:val="Heading2"/>
      </w:pPr>
      <w:r>
        <w:t xml:space="preserve">Typische Topologie</w:t>
      </w:r>
    </w:p>
    <w:p>
      <w:pPr>
        <w:numPr>
          <w:ilvl w:val="0"/>
          <w:numId w:val="1010"/>
        </w:numPr>
        <w:pStyle w:val="Compact"/>
      </w:pPr>
      <w:r>
        <w:t xml:space="preserve">Nicht-empirische Wissenschaften</w:t>
      </w:r>
    </w:p>
    <w:p>
      <w:pPr>
        <w:numPr>
          <w:ilvl w:val="1"/>
          <w:numId w:val="1011"/>
        </w:numPr>
        <w:pStyle w:val="Compact"/>
      </w:pPr>
      <w:r>
        <w:t xml:space="preserve">Formale Wiss.</w:t>
      </w:r>
    </w:p>
    <w:p>
      <w:pPr>
        <w:numPr>
          <w:ilvl w:val="2"/>
          <w:numId w:val="1012"/>
        </w:numPr>
        <w:pStyle w:val="Compact"/>
      </w:pPr>
      <w:r>
        <w:t xml:space="preserve">Mathematik</w:t>
      </w:r>
    </w:p>
    <w:p>
      <w:pPr>
        <w:numPr>
          <w:ilvl w:val="2"/>
          <w:numId w:val="1012"/>
        </w:numPr>
        <w:pStyle w:val="Compact"/>
      </w:pPr>
      <w:r>
        <w:t xml:space="preserve">Philosophie</w:t>
      </w:r>
    </w:p>
    <w:p>
      <w:pPr>
        <w:numPr>
          <w:ilvl w:val="2"/>
          <w:numId w:val="1012"/>
        </w:numPr>
        <w:pStyle w:val="Compact"/>
      </w:pPr>
      <w:r>
        <w:t xml:space="preserve">Theoretische Informatik</w:t>
      </w:r>
    </w:p>
    <w:p>
      <w:pPr>
        <w:numPr>
          <w:ilvl w:val="2"/>
          <w:numId w:val="1012"/>
        </w:numPr>
        <w:pStyle w:val="Compact"/>
      </w:pPr>
      <w:r>
        <w:t xml:space="preserve">…</w:t>
      </w:r>
    </w:p>
    <w:p>
      <w:pPr>
        <w:numPr>
          <w:ilvl w:val="1"/>
          <w:numId w:val="1011"/>
        </w:numPr>
        <w:pStyle w:val="Compact"/>
      </w:pPr>
      <w:r>
        <w:t xml:space="preserve">Geisteswissenschaften</w:t>
      </w:r>
    </w:p>
    <w:p>
      <w:pPr>
        <w:numPr>
          <w:ilvl w:val="2"/>
          <w:numId w:val="1013"/>
        </w:numPr>
        <w:pStyle w:val="Compact"/>
      </w:pPr>
      <w:r>
        <w:t xml:space="preserve">Theologie</w:t>
      </w:r>
    </w:p>
    <w:p>
      <w:pPr>
        <w:numPr>
          <w:ilvl w:val="2"/>
          <w:numId w:val="1013"/>
        </w:numPr>
        <w:pStyle w:val="Compact"/>
      </w:pPr>
      <w:r>
        <w:t xml:space="preserve">Rechtswiss.</w:t>
      </w:r>
    </w:p>
    <w:p>
      <w:pPr>
        <w:numPr>
          <w:ilvl w:val="2"/>
          <w:numId w:val="1013"/>
        </w:numPr>
        <w:pStyle w:val="Compact"/>
      </w:pPr>
      <w:r>
        <w:t xml:space="preserve">Literaturwissenschaft</w:t>
      </w:r>
    </w:p>
    <w:p>
      <w:pPr>
        <w:numPr>
          <w:ilvl w:val="2"/>
          <w:numId w:val="1013"/>
        </w:numPr>
        <w:pStyle w:val="Compact"/>
      </w:pPr>
      <w:r>
        <w:t xml:space="preserve">…</w:t>
      </w:r>
    </w:p>
    <w:p>
      <w:pPr>
        <w:numPr>
          <w:ilvl w:val="0"/>
          <w:numId w:val="1014"/>
        </w:numPr>
        <w:pStyle w:val="Compact"/>
      </w:pPr>
      <w:r>
        <w:t xml:space="preserve">Empirische Wissenschaften</w:t>
      </w:r>
    </w:p>
    <w:p>
      <w:pPr>
        <w:numPr>
          <w:ilvl w:val="1"/>
          <w:numId w:val="1015"/>
        </w:numPr>
        <w:pStyle w:val="Compact"/>
      </w:pPr>
      <w:r>
        <w:t xml:space="preserve">Sozialwissenschaften</w:t>
      </w:r>
    </w:p>
    <w:p>
      <w:pPr>
        <w:numPr>
          <w:ilvl w:val="2"/>
          <w:numId w:val="1016"/>
        </w:numPr>
        <w:pStyle w:val="Compact"/>
      </w:pPr>
      <w:r>
        <w:t xml:space="preserve">Psychologie</w:t>
      </w:r>
    </w:p>
    <w:p>
      <w:pPr>
        <w:numPr>
          <w:ilvl w:val="2"/>
          <w:numId w:val="1016"/>
        </w:numPr>
        <w:pStyle w:val="Compact"/>
      </w:pPr>
      <w:r>
        <w:t xml:space="preserve">Erziehungswissenschaft</w:t>
      </w:r>
    </w:p>
    <w:p>
      <w:pPr>
        <w:numPr>
          <w:ilvl w:val="2"/>
          <w:numId w:val="1016"/>
        </w:numPr>
        <w:pStyle w:val="Compact"/>
      </w:pPr>
      <w:r>
        <w:t xml:space="preserve">…</w:t>
      </w:r>
    </w:p>
    <w:p>
      <w:pPr>
        <w:numPr>
          <w:ilvl w:val="1"/>
          <w:numId w:val="1015"/>
        </w:numPr>
        <w:pStyle w:val="Compact"/>
      </w:pPr>
      <w:r>
        <w:t xml:space="preserve">Naturwissenschaften</w:t>
      </w:r>
    </w:p>
    <w:p>
      <w:pPr>
        <w:numPr>
          <w:ilvl w:val="2"/>
          <w:numId w:val="1017"/>
        </w:numPr>
        <w:pStyle w:val="Compact"/>
      </w:pPr>
      <w:r>
        <w:t xml:space="preserve">Physik</w:t>
      </w:r>
    </w:p>
    <w:p>
      <w:pPr>
        <w:numPr>
          <w:ilvl w:val="2"/>
          <w:numId w:val="1017"/>
        </w:numPr>
        <w:pStyle w:val="Compact"/>
      </w:pPr>
      <w:r>
        <w:t xml:space="preserve">Chemie</w:t>
      </w:r>
    </w:p>
    <w:p>
      <w:pPr>
        <w:numPr>
          <w:ilvl w:val="2"/>
          <w:numId w:val="1017"/>
        </w:numPr>
        <w:pStyle w:val="Compact"/>
      </w:pPr>
      <w:r>
        <w:t xml:space="preserve">…</w:t>
      </w:r>
    </w:p>
    <w:p>
      <w:pPr>
        <w:numPr>
          <w:ilvl w:val="1"/>
          <w:numId w:val="1015"/>
        </w:numPr>
        <w:pStyle w:val="Compact"/>
      </w:pPr>
      <w:r>
        <w:t xml:space="preserve">Technikwissenschaften</w:t>
      </w:r>
    </w:p>
    <w:p>
      <w:pPr>
        <w:numPr>
          <w:ilvl w:val="2"/>
          <w:numId w:val="1018"/>
        </w:numPr>
        <w:pStyle w:val="Compact"/>
      </w:pPr>
      <w:r>
        <w:t xml:space="preserve">Maschinenbau</w:t>
      </w:r>
    </w:p>
    <w:p>
      <w:pPr>
        <w:numPr>
          <w:ilvl w:val="2"/>
          <w:numId w:val="1018"/>
        </w:numPr>
        <w:pStyle w:val="Compact"/>
      </w:pPr>
      <w:r>
        <w:t xml:space="preserve">…</w:t>
      </w:r>
    </w:p>
    <w:bookmarkEnd w:id="71"/>
    <w:bookmarkStart w:id="72" w:name="bsp.-nicht-wissenschaft"/>
    <w:p>
      <w:pPr>
        <w:pStyle w:val="Heading2"/>
      </w:pPr>
      <w:r>
        <w:t xml:space="preserve">Bsp.: Nicht-Wissenschaft</w:t>
      </w:r>
    </w:p>
    <w:p>
      <w:pPr>
        <w:pStyle w:val="BlockText"/>
      </w:pPr>
      <w:r>
        <w:t xml:space="preserve">Ein Schulentwicklungsteam befragt Eltern zur neuen Schulmensa. Es verwendet einen »perfekten Fragebogen« &amp; »optimale Auswertung«. Danach werden die Ergebnisse in einem Elternbrief kommuniziert und das Schulessen entsprechend der Ergebnisse angepasst.</w:t>
      </w:r>
    </w:p>
    <w:p>
      <w:pPr>
        <w:pStyle w:val="FirstParagraph"/>
      </w:pPr>
      <w:r>
        <w:t xml:space="preserve">Wer wissenschaftliche Forschung („scientific research“) betreibt, sucht mithilfe</w:t>
      </w:r>
      <w:r>
        <w:t xml:space="preserve"> </w:t>
      </w:r>
      <w:r>
        <w:t xml:space="preserve">anerkannter wissenschaftlicher Methoden und Methodologien</w:t>
      </w:r>
      <w:r>
        <w:t xml:space="preserve"> </w:t>
      </w:r>
      <w:r>
        <w:t xml:space="preserve"> </w:t>
      </w:r>
      <w:r>
        <w:t xml:space="preserve">auf der Basis des</w:t>
      </w:r>
      <w:r>
        <w:t xml:space="preserve"> </w:t>
      </w:r>
      <w:r>
        <w:t xml:space="preserve">bisherigen Forschungsstandes</w:t>
      </w:r>
      <w:r>
        <w:t xml:space="preserve"> </w:t>
      </w:r>
      <w:r>
        <w:t xml:space="preserve"> </w:t>
      </w:r>
      <w:r>
        <w:t xml:space="preserve">(d. h. vorliegender Theorien und empirischer Befunde)</w:t>
      </w:r>
      <w:r>
        <w:t xml:space="preserve"> </w:t>
      </w:r>
      <w:r>
        <w:t xml:space="preserve">zielgerichtet</w:t>
      </w:r>
      <w:r>
        <w:t xml:space="preserve"> </w:t>
      </w:r>
      <w:r>
        <w:t xml:space="preserve"> </w:t>
      </w:r>
      <w:r>
        <w:t xml:space="preserve">nach gesicherten neuen Erkenntnissen,</w:t>
      </w:r>
      <w:r>
        <w:t xml:space="preserve"> </w:t>
      </w:r>
      <w:r>
        <w:t xml:space="preserve">dokumentiert</w:t>
      </w:r>
      <w:r>
        <w:t xml:space="preserve"> </w:t>
      </w:r>
      <w:r>
        <w:t xml:space="preserve"> </w:t>
      </w:r>
      <w:r>
        <w:t xml:space="preserve">den Forschungsprozess sowie dessen Ergebnisse</w:t>
      </w:r>
      <w:r>
        <w:t xml:space="preserve"> </w:t>
      </w:r>
      <w:r>
        <w:t xml:space="preserve">in nachvollziehbarer Weise</w:t>
      </w:r>
      <w:r>
        <w:t xml:space="preserve"> </w:t>
      </w:r>
      <w:r>
        <w:t xml:space="preserve"> </w:t>
      </w:r>
      <w:r>
        <w:t xml:space="preserve">und stellt die Studie in Vorträgen und Publikationen der</w:t>
      </w:r>
      <w:r>
        <w:t xml:space="preserve"> </w:t>
      </w:r>
      <w:r>
        <w:t xml:space="preserve">Fachöffentlichkeit</w:t>
      </w:r>
      <w:r>
        <w:t xml:space="preserve"> </w:t>
      </w:r>
      <w:r>
        <w:t xml:space="preserve"> </w:t>
      </w:r>
      <w:r>
        <w:t xml:space="preserve">vor.</w:t>
      </w:r>
    </w:p>
    <w:bookmarkEnd w:id="72"/>
    <w:bookmarkStart w:id="73" w:name="differenz-zu-wissensgenese-durch"/>
    <w:p>
      <w:pPr>
        <w:pStyle w:val="Heading2"/>
      </w:pPr>
      <w:r>
        <w:t xml:space="preserve">Differenz zu Wissensgenese durch</w:t>
      </w:r>
    </w:p>
    <w:p>
      <w:pPr>
        <w:numPr>
          <w:ilvl w:val="0"/>
          <w:numId w:val="1019"/>
        </w:numPr>
        <w:pStyle w:val="Compact"/>
      </w:pPr>
      <w:r>
        <w:t xml:space="preserve">Autoritätspersonen</w:t>
      </w:r>
      <w:r>
        <w:t xml:space="preserve"> </w:t>
      </w:r>
      <m:oMath>
        <m:r>
          <m:rPr>
            <m:sty m:val="p"/>
          </m:rPr>
          <m:t>⇒</m:t>
        </m:r>
      </m:oMath>
      <w:r>
        <w:t xml:space="preserve"> </w:t>
      </w:r>
      <w:r>
        <w:t xml:space="preserve">geringeres Eigeninteresse …</w:t>
      </w:r>
    </w:p>
    <w:p>
      <w:pPr>
        <w:numPr>
          <w:ilvl w:val="0"/>
          <w:numId w:val="1019"/>
        </w:numPr>
        <w:pStyle w:val="Compact"/>
      </w:pPr>
      <w:r>
        <w:t xml:space="preserve">gesunder Menschenverstand</w:t>
      </w:r>
      <w:r>
        <w:t xml:space="preserve"> </w:t>
      </w:r>
      <m:oMath>
        <m:r>
          <m:rPr>
            <m:sty m:val="p"/>
          </m:rPr>
          <m:t>⇒</m:t>
        </m:r>
      </m:oMath>
      <w:r>
        <w:t xml:space="preserve"> </w:t>
      </w:r>
      <w:r>
        <w:t xml:space="preserve">variiert sehr stark zwischen sozialen Gruppen …</w:t>
      </w:r>
    </w:p>
    <w:p>
      <w:pPr>
        <w:numPr>
          <w:ilvl w:val="0"/>
          <w:numId w:val="1019"/>
        </w:numPr>
        <w:pStyle w:val="Compact"/>
      </w:pPr>
      <w:r>
        <w:t xml:space="preserve">Intuition</w:t>
      </w:r>
      <w:r>
        <w:t xml:space="preserve"> </w:t>
      </w:r>
      <m:oMath>
        <m:r>
          <m:rPr>
            <m:sty m:val="p"/>
          </m:rPr>
          <m:t>⇒</m:t>
        </m:r>
      </m:oMath>
      <w:r>
        <w:t xml:space="preserve"> </w:t>
      </w:r>
      <w:r>
        <w:t xml:space="preserve">geringere Vorurteile, geringeres Wunschdenken …</w:t>
      </w:r>
    </w:p>
    <w:p>
      <w:pPr>
        <w:numPr>
          <w:ilvl w:val="0"/>
          <w:numId w:val="1019"/>
        </w:numPr>
        <w:pStyle w:val="Compact"/>
      </w:pPr>
      <w:r>
        <w:t xml:space="preserve">Anektotische Evidenz</w:t>
      </w:r>
      <w:r>
        <w:t xml:space="preserve"> </w:t>
      </w:r>
      <m:oMath>
        <m:r>
          <m:rPr>
            <m:sty m:val="p"/>
          </m:rPr>
          <m:t>⇒</m:t>
        </m:r>
      </m:oMath>
      <w:r>
        <w:t xml:space="preserve"> </w:t>
      </w:r>
      <w:r>
        <w:t xml:space="preserve">objektivere &amp; vollständigere Beobachtung …</w:t>
      </w:r>
    </w:p>
    <w:bookmarkEnd w:id="73"/>
    <w:bookmarkStart w:id="74" w:name="was-kommt-im-quanti-teil-auf-sie-zu"/>
    <w:p>
      <w:pPr>
        <w:pStyle w:val="Heading2"/>
      </w:pPr>
      <w:r>
        <w:t xml:space="preserve">Was kommt im Quanti-Teil auf sie zu?</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55" Target="https://bit.ly/merk051" TargetMode="External" /><Relationship Type="http://schemas.openxmlformats.org/officeDocument/2006/relationships/hyperlink" Id="rId56" Target="https://bit.ly/merk052" TargetMode="External" /></Relationships>
</file>

<file path=word/_rels/footnotes.xml.rels><?xml version="1.0" encoding="UTF-8"?><Relationships xmlns="http://schemas.openxmlformats.org/package/2006/relationships"><Relationship Type="http://schemas.openxmlformats.org/officeDocument/2006/relationships/hyperlink" Id="rId55" Target="https://bit.ly/merk051" TargetMode="External" /><Relationship Type="http://schemas.openxmlformats.org/officeDocument/2006/relationships/hyperlink" Id="rId56" Target="https://bit.ly/merk0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Vorlesung</dc:title>
  <dc:creator>Andre Epp &amp; Samuel Merk</dc:creator>
  <cp:keywords/>
  <dcterms:created xsi:type="dcterms:W3CDTF">2022-10-19T12:57:09Z</dcterms:created>
  <dcterms:modified xsi:type="dcterms:W3CDTF">2022-10-19T12:57:09Z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Einführung in qualitative und quantitative Forschungsmethoden</vt:lpwstr>
  </property>
  <property fmtid="{D5CDD505-2E9C-101B-9397-08002B2CF9AE}" pid="10" name="toc-title">
    <vt:lpwstr>Table of contents</vt:lpwstr>
  </property>
</Properties>
</file>