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Anchoring AI Exposure in Measured AI Capabilities</w:t>
      </w:r>
    </w:p>
    <w:p>
      <w:pPr>
        <w:spacing w:after="60"/>
      </w:pPr>
      <w:r>
        <w:rPr>
          <w:i/>
          <w:iCs/>
          <w:sz w:val="26"/>
          <w:szCs w:val="26"/>
        </w:rPr>
        <w:t xml:space="preserve">A methodological deep dive into LLM-based occupational rating — Publication plan, v2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Drafted 12 June 2026 · Sam (lead), with sections by Margarita and Gianluca · OECD working paper</w:t>
      </w:r>
    </w:p>
    <w:p>
      <w:pPr>
        <w:pStyle w:val="Heading1"/>
      </w:pPr>
      <w:r>
        <w:t xml:space="preserve">Contribution statement (framing for the whole paper)</w:t>
      </w:r>
    </w:p>
    <w:p>
      <w:pPr>
        <w:spacing w:after="120"/>
      </w:pPr>
      <w:r>
        <w:rPr>
          <w:b w:val="false"/>
          <w:bCs w:val="false"/>
        </w:rPr>
        <w:t xml:space="preserve">We enter the AI-exposure literature (Eloundou et al., 2023; Felten et al.; Webb) with a methodology that anchors exposure in graded, validated measures of AI capability — the OECD AI Capability Indicators — rather than binary judgements of whether AI “can do” a job. Two contributions: (1) the substantive measure itself, scaled from 40 human-rated occupations to 878 via LLMs; (2) a transferable protocol for using LLMs to automate expert rating tasks, with explicit validity (human–LLM agreement) and reliability (across-run consistency) safeguards. The paper should be readable as a recipe by colleagues automating comparable tasks.</w:t>
      </w:r>
    </w:p>
    <w:p>
      <w:pPr>
        <w:pStyle w:val="Heading1"/>
      </w:pPr>
      <w:r>
        <w:t xml:space="preserve">1. Introduction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Deep dive into the LLM methodology used in the OECD AI Exposure Measure.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the OECD AI Capability Indicators are, and why anchoring occupational analysis in capability scales generalises to other measures/standards for large-scale analyses.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it matters: bigger scale, reduced cost — but with explicit steps to ensure high-quality, consistent ratings (to be read as recommendations for future 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this task is a good measure of LLMs doing real-world expert work, and a meaningful basis for comparing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Whether newer/more expensive models justify an order-of-magnitude cost increase.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</w:t>
      </w:r>
      <w:r>
        <w:rPr>
          <w:b w:val="false"/>
          <w:bCs w:val="false"/>
        </w:rPr>
        <w:t xml:space="preserve"> position the measure against existing exposure indices and announce a convergent-validity check at occupation level (correlations with Eloundou et al. 2023 / Felten / Webb where occupations overlap).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</w:t>
      </w:r>
      <w:r>
        <w:rPr>
          <w:b w:val="false"/>
          <w:bCs w:val="false"/>
        </w:rPr>
        <w:t xml:space="preserve"> brief statement of the data-contamination question (O*NET is in every training corpus) and why the task — mapping occupations onto novel OECD scales — is recall-resistant; full discussion in Section 4.</w:t>
      </w:r>
    </w:p>
    <w:p>
      <w:pPr>
        <w:pStyle w:val="Heading1"/>
      </w:pPr>
      <w:r>
        <w:t xml:space="preserve">2. The human demands of the task (Margarita)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Task set-up (information provided), participants.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 taken; cognitive demands of the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was most difficult (vagueness of occupational descriptions? vagueness of level descriptions? other?).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 human time and cost per occupation.</w:t>
      </w:r>
      <w:r>
        <w:rPr>
          <w:b w:val="false"/>
          <w:bCs w:val="false"/>
        </w:rPr>
        <w:t xml:space="preserve"> This lets the Results section compare human vs LLM cost, not just LLM vs LLM — the headline efficiency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 human inter-rater reliability.</w:t>
      </w:r>
      <w:r>
        <w:rPr>
          <w:b w:val="false"/>
          <w:bCs w:val="false"/>
        </w:rPr>
        <w:t xml:space="preserve"> This is the benchmark ceiling for the whole paper: an LLM is “good enough” when it sits within the range of human disagreement. Ties this section directly into Gianluca's analyses.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</w:t>
      </w:r>
      <w:r>
        <w:rPr>
          <w:b w:val="false"/>
          <w:bCs w:val="false"/>
        </w:rPr>
        <w:t xml:space="preserve"> what information raters actually consulted (did they go beyond the provided material?). The LLMs saw a fixed information set; any asymmetry should be documented.</w:t>
      </w:r>
    </w:p>
    <w:p>
      <w:pPr>
        <w:pStyle w:val="Heading1"/>
      </w:pPr>
      <w:r>
        <w:t xml:space="preserve">3. How we set up the LLMs to do the task</w:t>
      </w:r>
    </w:p>
    <w:p>
      <w:pPr>
        <w:pStyle w:val="Heading2"/>
      </w:pPr>
      <w:r>
        <w:t xml:space="preserve">3.1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Premise: humans rate 40 occupations; LLMs rate the same 40; if LLM ratings fall within the human range, extrapolate to the full set of 878 occupations.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Difficulties in assembling consistent O*NET information due to 2015 vs 2019 SOC differences (Gianluca to confirm details).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 (from data audit):</w:t>
      </w:r>
      <w:r>
        <w:rPr>
          <w:b w:val="false"/>
          <w:bCs w:val="false"/>
        </w:rPr>
        <w:t xml:space="preserve"> final rated set is 878 occupations. The compiled source file contains 879; Medical Dosimetrists (29-2036.00) is absent from the run dictionary despite having complete data. Confirm whether exclusion was deliberate and document the reason in the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Pilot comparing the 4 flagship models; final design uses 8 models — flagship + lightweight option from each of four families (Anthropic, OpenAI, Google, Mistral) — with 5 full runs each (see Annex 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Tested for consistency (across-run reliability) as well as accuracy (proximity to the human average).</w:t>
      </w:r>
    </w:p>
    <w:p>
      <w:pPr>
        <w:pStyle w:val="Heading2"/>
      </w:pPr>
      <w:r>
        <w:t xml:space="preserve">3.2 Prompt design and information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information each request contained (code, title, description, task list, full level descriptions for all 9 scales) and why the prompt evolved (lessons learned).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Key prompt decisions: rate the occupation as currently performed, not a transformation scenario; minimum required capability level, not importance/frequency; scale-specific guidance (e.g., Vision/Manipulation set to 0 where non-essential); “replace AI systems by Workers” instruction; worked examples embedded in instructions (Dentists/Creativity, Accountants/Manipulation).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Structured JSON output with a level and a short task-referenced reasoning per scale — machine-parseable and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Few-shot conditioning: not part of the current empirical material; revisit later if files are recovered or it is re-run.</w:t>
      </w:r>
    </w:p>
    <w:p>
      <w:pPr>
        <w:pStyle w:val="Heading2"/>
      </w:pPr>
      <w:r>
        <w:t xml:space="preserve">3.3 Development process — and could you do this without writing code?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Honest account of the development path: lead author is not a professional programmer (Masters-level Python for data analysis and cognitive experiments); pipeline built iteratively with successive versions of Claude over several months; began in Google Colab, moved to a local Python set-up (with attention to institutional data-security expectations).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Reframed as a discussion: could this be done with no code at all?</w:t>
      </w:r>
      <w:r>
        <w:rPr>
          <w:b w:val="false"/>
          <w:bCs w:val="false"/>
        </w:rPr>
        <w:t xml:space="preserve"> Plausibly yes — a current assistant could walk a non-programmer through the whole workflow. The more useful question is what skills make it go well: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a clear plan before starting (design, comparison logic, output format);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good oversight: knowing what the pipeline should produce and noticing when it doesn't;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experience working with the assistant (decomposing requests, checking intermediate output);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detailed checking of generated code and of outputs (spot checks of ratings, counts, parsing);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and the argument for still doing it programmatically: deterministic parsing, checkpoint/resume, incremental saves, automatic validation of counts and scale completeness — exactly how the errors reported in Annex A were caught. A chat-only workflow would likely not surface them.</w:t>
      </w:r>
    </w:p>
    <w:p>
      <w:pPr>
        <w:pStyle w:val="Heading1"/>
      </w:pPr>
      <w:r>
        <w:t xml:space="preserve">4. Best practices and 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One occupation per API request, all 9 scales rated in a single completion: the model's full attention on one occupation; rating scale-by-scale would be cleaner still but materially more expensive under token billing (the scales text dominates input tokens).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the API rather than a chat interface: no conversational context contamination, identical prompt every time, logging of raw responses, concurrency and batching, resume after interruption.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Parameter control: document per provider which sampling parameters (temperature, top_p) could and could not be set — a real constraint on reproducibility that readers should expect.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 — reproducibility checklist:</w:t>
      </w:r>
      <w:r>
        <w:rPr>
          <w:b w:val="false"/>
          <w:bCs w:val="false"/>
        </w:rPr>
        <w:t xml:space="preserve"> exact model snapshot IDs (Annex A), run dates, prompt version, JSON parse/retry handling, archived raw responses, and the completion-failure rate. Audit result: 3 truncated responses out of 35,120 occupation-ratings across all 40 runs (0.009%), all from mistral-large, each losing trailing scales (see Annex A and open item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 — data contamination:</w:t>
      </w:r>
      <w:r>
        <w:rPr>
          <w:b w:val="false"/>
          <w:bCs w:val="false"/>
        </w:rPr>
        <w:t xml:space="preserve"> O*NET content is in training corpora. Argue why this matters less here (the task is a novel mapping onto OECD capability scales, not recall of O*NET values) but acknowledge it, and note that the human-comparison step is itself the empirical defence.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 — security and sharing:</w:t>
      </w:r>
      <w:r>
        <w:rPr>
          <w:b w:val="false"/>
          <w:bCs w:val="false"/>
        </w:rPr>
        <w:t xml:space="preserve"> API keys must be removed and rotated before code is archived or shared; publish prompts and pipeline code in an online annex/repository.</w:t>
      </w:r>
    </w:p>
    <w:p>
      <w:pPr>
        <w:pStyle w:val="Heading1"/>
      </w:pPr>
      <w:r>
        <w:t xml:space="preserve">5. Analyses (Gianluca)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these analyses; how the human average is defined; what “closer to the human average” means; what the additional measures from past meetings communicate.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Suggested framework to discuss — treat each LLM as an additional rater: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Validity: is the LLM's distance to the human mean smaller than a typical human rater's leave-one-out distance to the remaining human mean? Plus MAE/RMSE and correlations.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Reliability: intra-model agreement across the 5 runs (ICC or similar, % exact agreement, per-item SD); inter-model agreement as secondary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Bias: signed deviation per scale, not just absolute error — systematic over/under-rating matters for an exposure measure.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Report per scale: the physical scales (Vision, Manipulation, Robotic Intelligence) will likely behave differently from the cognitive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— Pre-specify the primary metric before looking at results, and say so in the paper.</w:t>
      </w:r>
    </w:p>
    <w:p>
      <w:pPr>
        <w:pStyle w:val="Heading1"/>
      </w:pPr>
      <w:r>
        <w:t xml:space="preserve">6. Results (planned exhibits)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Table: per model, proximity to human average and consistency across 5 runs (40 comparison occupations).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Cost per full 878-occupation run: token-based estimates from stored requests/responses at list prices current at run time (method note in annex); validated against provider billing where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Headline figure: cost–accuracy frontier</w:t>
      </w:r>
      <w:r>
        <w:rPr>
          <w:b w:val="false"/>
          <w:bCs w:val="false"/>
        </w:rPr>
        <w:t xml:space="preserve"> — error vs human mean (x) against cost per run (y), one point per model, families colour-coded. Answers the expensive-vs-cheap question in one exhibit.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Statistical comparison of flagship vs lightweight within each family: paired by occupation × scale with bootstrap/permutation CIs; cross-family comparison; which model is “best” once cost is taken into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Cost/benefit between model generations and between families.</w:t>
      </w:r>
    </w:p>
    <w:p>
      <w:pPr>
        <w:pStyle w:val="Heading1"/>
      </w:pPr>
      <w:r>
        <w:t xml:space="preserve">7. Conclusions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Should future large-scale economic analyses using LLMs follow this protocol? Ideally yes; shortcuts under language and time constraints increase uncertainty about validity.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Newer LLMs will probably perform similarly — but always check, especially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Start small, compare to humans, expand only once results are valid and consistent. Keep consistency runs at full scale: the 40 trial occupations might not have been representative, and some occupations may elicit very inconsistent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Results are an interaction between a prompt and a model: different prompts may produce large swings in validity and reliability for unclear reasons (cf. distractor effects in maths benchmarks).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Validation stance (agreed):</w:t>
      </w:r>
      <w:r>
        <w:rPr>
          <w:b w:val="false"/>
          <w:bCs w:val="false"/>
        </w:rPr>
        <w:t xml:space="preserve"> validation is cheap relative to being wrong at scale. Rather than “gain confidence and relax”, the recommendation is to revalidate whenever either the prompt or the model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Added:</w:t>
      </w:r>
      <w:r>
        <w:rPr>
          <w:b w:val="false"/>
          <w:bCs w:val="false"/>
        </w:rPr>
        <w:t xml:space="preserve"> close with a one-page protocol checklist / flow diagram (pilot small → compare to humans → check consistency → expand → keep checking) — the artefact colleagues will actually reuse.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Added — limitations:</w:t>
      </w:r>
      <w:r>
        <w:rPr>
          <w:b w:val="false"/>
          <w:bCs w:val="false"/>
        </w:rPr>
        <w:t xml:space="preserve"> prompt sensitivity; model deprecation (results tied to snapshots that will be retired); O*NET's US-centricity; the human benchmark's own validity and small N.</w:t>
      </w:r>
    </w:p>
    <w:p>
      <w:pPr>
        <w:pStyle w:val="Heading1"/>
        <w:pageBreakBefore/>
      </w:pPr>
      <w:r>
        <w:t xml:space="preserve">Annex A. Data inventory and audit (as of 12 June 2026)</w:t>
      </w:r>
    </w:p>
    <w:p>
      <w:pPr>
        <w:spacing w:after="120"/>
      </w:pPr>
      <w:r>
        <w:rPr>
          <w:b w:val="false"/>
          <w:bCs w:val="false"/>
        </w:rPr>
        <w:t xml:space="preserve">Canonical analysis set: </w:t>
      </w:r>
      <w:r>
        <w:rPr>
          <w:b/>
          <w:bCs/>
        </w:rPr>
        <w:t xml:space="preserve">8 models × 5 runs × 878 occupations</w:t>
      </w:r>
      <w:r>
        <w:rPr>
          <w:b w:val="false"/>
          <w:bCs w:val="false"/>
        </w:rPr>
        <w:t xml:space="preserve"> (40 run files; 35,120 occupation-ratings; 316,080 scale-level ratings). Audit findings: every file contains exactly the same 878 occupations — no duplicates, none missing, none extra.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26"/>
        <w:gridCol w:w="2000"/>
        <w:gridCol w:w="1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snapshot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Flagship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claude_haiku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Flagship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gpt-5.2-2025-12-11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gpt-5.4-mini-2026-03-17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chatgpt_mini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Flagship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gemini-3.1-pro-preview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(run 6 excluded)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gemini-3.1-flash-lite-preview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gemini_flash_lite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Flagship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mistral-large-2512 (confirm)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mistral-small-2603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mistral_small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Excluded from analysis:</w:t>
      </w:r>
      <w:r>
        <w:rPr>
          <w:b w:val="false"/>
          <w:bCs w:val="false"/>
        </w:rPr>
        <w:t xml:space="preserve"> gemini run 6 (extra run); gemini_flash folder (single run, superseded); mistral_large folder (2 early runs, superseded by the “mistral” folder). Flagship model snapshots for folders without model-named files are taken from run_ratings.py; confirm before publication.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Incomplete entries (3 of 35,120, all Mistral flagship):</w:t>
      </w:r>
      <w:r>
        <w:rPr>
          <w:b w:val="false"/>
          <w:bCs w:val="false"/>
        </w:rPr>
        <w:t xml:space="preserve"> run 1 — Biological Technicians (19-4021.00), 3 of 9 scales returned; run 4 — Bailiffs (33-3011.00), 6 of 9; run 5 — Rail Yard Engineers (53-4013.00), 6 of 9. In each case the response truncated, dropping trailing scales. Decide: treat as missing data or re-run these three items (open item 5).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878 vs 879:</w:t>
      </w:r>
      <w:r>
        <w:rPr>
          <w:b w:val="false"/>
          <w:bCs w:val="false"/>
        </w:rPr>
        <w:t xml:space="preserve"> the compiled source file (File_complete_879_occ_task_sk_ab_im.json) holds 879 occupations; the run dictionary (occupations_dict_mar17.json) holds 878. The difference is Medical Dosimetrists (29-2036.00), which has complete data (19 tasks, description) — exclusion reason to be confirmed.</w:t>
      </w:r>
    </w:p>
    <w:p>
      <w:pPr>
        <w:pStyle w:val="Heading1"/>
      </w:pPr>
      <w:r>
        <w:t xml:space="preserve">Annex B. Open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Human ratings for the 40 occupations and the 40-occupation LLM comparison outputs — to come from Gianluca later; Results section placeholders until then.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Confirm the 2015 vs 2019 SOC reconciliation story and final occupation count narrative (Gianluca).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Confirm why Medical Dosimetrists (29-2036.00) was excluded; document or reinstate.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Margarita: rater time/cost, participant details, difficulty notes, and human inter-rater reliability.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Decide handling of the 3 truncated Mistral entries: missing data vs re-run.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Compute token-based cost estimates per model per run from stored requests/responses (Sam + Claude — next concrete task).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Confirm flagship model snapshot IDs for the unlabelled folders (claude, chatgpt, gemini, mistral).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Remove and rotate API keys before any code is shared or archived.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2026-06-12T12:25:31.796Z</dcterms:created>
  <dcterms:modified xsi:type="dcterms:W3CDTF">2026-06-12T12:25:31.816Z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