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03CF" w14:textId="385E098D" w:rsidR="00010B2B" w:rsidRPr="00010B2B" w:rsidRDefault="00010B2B" w:rsidP="00010B2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 xml:space="preserve">VULNERABILITY ASSESSMENT REPORT </w:t>
      </w:r>
    </w:p>
    <w:p w14:paraId="399AF8F6"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1st January 20XX</w:t>
      </w:r>
    </w:p>
    <w:p w14:paraId="094DCA44" w14:textId="77777777" w:rsidR="00010B2B" w:rsidRPr="00010B2B" w:rsidRDefault="00BC59C4" w:rsidP="00010B2B">
      <w:pPr>
        <w:spacing w:after="0" w:line="240" w:lineRule="auto"/>
        <w:rPr>
          <w:rFonts w:ascii="Arial" w:eastAsia="Times New Roman" w:hAnsi="Arial" w:cs="Arial"/>
          <w:kern w:val="0"/>
          <w14:ligatures w14:val="none"/>
        </w:rPr>
      </w:pPr>
      <w:r w:rsidRPr="00BC59C4">
        <w:rPr>
          <w:rFonts w:ascii="Arial" w:eastAsia="Times New Roman" w:hAnsi="Arial" w:cs="Arial"/>
          <w:noProof/>
          <w:kern w:val="0"/>
        </w:rPr>
        <w:pict w14:anchorId="7BC64337">
          <v:rect id="_x0000_i1028" alt="" style="width:468pt;height:.05pt;mso-width-percent:0;mso-height-percent:0;mso-width-percent:0;mso-height-percent:0" o:hralign="center" o:hrstd="t" o:hr="t" fillcolor="#a0a0a0" stroked="f"/>
        </w:pict>
      </w:r>
    </w:p>
    <w:p w14:paraId="08553E77" w14:textId="77777777" w:rsidR="00010B2B" w:rsidRPr="00010B2B" w:rsidRDefault="00010B2B" w:rsidP="00010B2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System Description</w:t>
      </w:r>
    </w:p>
    <w:p w14:paraId="494A11B4"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This assessment focuses on a small business web server that hosts the company website and manages customer form submissions. The server runs Ubuntu Linux 22.04 LTS with Apache2 and stores data in a MySQL database. It is hosted on a public cloud provider with static IPv4 addressing. The server uses TLS encryption but lacks comprehensive access control and monitoring. Multiple employees access the system remotely for administrative tasks.</w:t>
      </w:r>
    </w:p>
    <w:p w14:paraId="39960241" w14:textId="77777777" w:rsidR="00010B2B" w:rsidRPr="00010B2B" w:rsidRDefault="00BC59C4" w:rsidP="00010B2B">
      <w:pPr>
        <w:spacing w:after="0" w:line="240" w:lineRule="auto"/>
        <w:rPr>
          <w:rFonts w:ascii="Arial" w:eastAsia="Times New Roman" w:hAnsi="Arial" w:cs="Arial"/>
          <w:kern w:val="0"/>
          <w14:ligatures w14:val="none"/>
        </w:rPr>
      </w:pPr>
      <w:r w:rsidRPr="00BC59C4">
        <w:rPr>
          <w:rFonts w:ascii="Arial" w:eastAsia="Times New Roman" w:hAnsi="Arial" w:cs="Arial"/>
          <w:noProof/>
          <w:kern w:val="0"/>
        </w:rPr>
        <w:pict w14:anchorId="000D8A9F">
          <v:rect id="_x0000_i1027" alt="" style="width:468pt;height:.05pt;mso-width-percent:0;mso-height-percent:0;mso-width-percent:0;mso-height-percent:0" o:hralign="center" o:hrstd="t" o:hr="t" fillcolor="#a0a0a0" stroked="f"/>
        </w:pict>
      </w:r>
    </w:p>
    <w:p w14:paraId="4AE1459D" w14:textId="77777777" w:rsidR="00010B2B" w:rsidRPr="00010B2B" w:rsidRDefault="00010B2B" w:rsidP="00010B2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Scope</w:t>
      </w:r>
    </w:p>
    <w:p w14:paraId="3F38753F"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This vulnerability assessment covers the system’s access controls, authentication mechanisms, network exposure, and data handling processes.</w:t>
      </w:r>
      <w:r w:rsidRPr="00010B2B">
        <w:rPr>
          <w:rFonts w:ascii="Arial" w:eastAsia="Times New Roman" w:hAnsi="Arial" w:cs="Arial"/>
          <w:kern w:val="0"/>
          <w14:ligatures w14:val="none"/>
        </w:rPr>
        <w:br/>
        <w:t xml:space="preserve">The assessment timeframe is </w:t>
      </w:r>
      <w:r w:rsidRPr="00010B2B">
        <w:rPr>
          <w:rFonts w:ascii="Arial" w:eastAsia="Times New Roman" w:hAnsi="Arial" w:cs="Arial"/>
          <w:b/>
          <w:bCs/>
          <w:kern w:val="0"/>
          <w14:ligatures w14:val="none"/>
        </w:rPr>
        <w:t>May 20XX – July 20XX</w:t>
      </w:r>
      <w:r w:rsidRPr="00010B2B">
        <w:rPr>
          <w:rFonts w:ascii="Arial" w:eastAsia="Times New Roman" w:hAnsi="Arial" w:cs="Arial"/>
          <w:kern w:val="0"/>
          <w14:ligatures w14:val="none"/>
        </w:rPr>
        <w:t>.</w:t>
      </w:r>
      <w:r w:rsidRPr="00010B2B">
        <w:rPr>
          <w:rFonts w:ascii="Arial" w:eastAsia="Times New Roman" w:hAnsi="Arial" w:cs="Arial"/>
          <w:kern w:val="0"/>
          <w14:ligatures w14:val="none"/>
        </w:rPr>
        <w:br/>
        <w:t xml:space="preserve">The methodology follows </w:t>
      </w:r>
      <w:r w:rsidRPr="00010B2B">
        <w:rPr>
          <w:rFonts w:ascii="Arial" w:eastAsia="Times New Roman" w:hAnsi="Arial" w:cs="Arial"/>
          <w:b/>
          <w:bCs/>
          <w:kern w:val="0"/>
          <w14:ligatures w14:val="none"/>
        </w:rPr>
        <w:t>NIST SP 800-30 Rev 1</w:t>
      </w:r>
      <w:r w:rsidRPr="00010B2B">
        <w:rPr>
          <w:rFonts w:ascii="Arial" w:eastAsia="Times New Roman" w:hAnsi="Arial" w:cs="Arial"/>
          <w:kern w:val="0"/>
          <w14:ligatures w14:val="none"/>
        </w:rPr>
        <w:t xml:space="preserve"> risk analysis guidelines.</w:t>
      </w:r>
    </w:p>
    <w:p w14:paraId="73F6CA39" w14:textId="77777777" w:rsidR="00010B2B" w:rsidRPr="00010B2B" w:rsidRDefault="00BC59C4" w:rsidP="00010B2B">
      <w:pPr>
        <w:spacing w:after="0" w:line="240" w:lineRule="auto"/>
        <w:rPr>
          <w:rFonts w:ascii="Arial" w:eastAsia="Times New Roman" w:hAnsi="Arial" w:cs="Arial"/>
          <w:kern w:val="0"/>
          <w14:ligatures w14:val="none"/>
        </w:rPr>
      </w:pPr>
      <w:r w:rsidRPr="00BC59C4">
        <w:rPr>
          <w:rFonts w:ascii="Arial" w:eastAsia="Times New Roman" w:hAnsi="Arial" w:cs="Arial"/>
          <w:noProof/>
          <w:kern w:val="0"/>
        </w:rPr>
        <w:pict w14:anchorId="228BAFFC">
          <v:rect id="_x0000_i1026" alt="" style="width:468pt;height:.05pt;mso-width-percent:0;mso-height-percent:0;mso-width-percent:0;mso-height-percent:0" o:hralign="center" o:hrstd="t" o:hr="t" fillcolor="#a0a0a0" stroked="f"/>
        </w:pict>
      </w:r>
    </w:p>
    <w:p w14:paraId="5DB8F2D4" w14:textId="77777777" w:rsidR="00010B2B" w:rsidRPr="00010B2B" w:rsidRDefault="00010B2B" w:rsidP="00010B2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Purpose</w:t>
      </w:r>
    </w:p>
    <w:p w14:paraId="1B488E1A"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The purpose of this assessment is to identify vulnerabilities within the small business’s publicly accessible web server. The server stores customer inquiries and operational information essential for day-to-day business activities. Because the server is open to the internet and used for business-critical operations, it is at higher risk of unauthorized access, data breaches, and service interruptions. This assessment aims to highlight the highest-priority risks and recommend mitigation strategies to strengthen the security posture of the organization.</w:t>
      </w:r>
    </w:p>
    <w:p w14:paraId="5877A42B" w14:textId="258C8EDC" w:rsidR="00010B2B" w:rsidRPr="00010B2B" w:rsidRDefault="00BC59C4" w:rsidP="00010B2B">
      <w:pPr>
        <w:spacing w:after="0" w:line="240" w:lineRule="auto"/>
        <w:rPr>
          <w:rFonts w:ascii="Arial" w:eastAsia="Times New Roman" w:hAnsi="Arial" w:cs="Arial"/>
          <w:b/>
          <w:bCs/>
          <w:kern w:val="36"/>
          <w:sz w:val="48"/>
          <w:szCs w:val="48"/>
          <w14:ligatures w14:val="none"/>
        </w:rPr>
      </w:pPr>
      <w:r w:rsidRPr="00BC59C4">
        <w:rPr>
          <w:rFonts w:ascii="Arial" w:eastAsia="Times New Roman" w:hAnsi="Arial" w:cs="Arial"/>
          <w:noProof/>
          <w:kern w:val="0"/>
        </w:rPr>
        <w:pict w14:anchorId="63EB0F31">
          <v:rect id="_x0000_i1025" alt="" style="width:468pt;height:.05pt;mso-width-percent:0;mso-height-percent:0;mso-width-percent:0;mso-height-percent:0" o:hralign="center" o:hrstd="t" o:hr="t" fillcolor="#a0a0a0" stroked="f"/>
        </w:pict>
      </w:r>
      <w:r w:rsidR="00010B2B" w:rsidRPr="00010B2B">
        <w:rPr>
          <w:rFonts w:ascii="Arial" w:eastAsia="Times New Roman" w:hAnsi="Arial" w:cs="Arial"/>
          <w:b/>
          <w:bCs/>
          <w:kern w:val="36"/>
          <w:sz w:val="48"/>
          <w:szCs w:val="48"/>
          <w14:ligatures w14:val="none"/>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3584"/>
        <w:gridCol w:w="1562"/>
        <w:gridCol w:w="1296"/>
        <w:gridCol w:w="1045"/>
      </w:tblGrid>
      <w:tr w:rsidR="00010B2B" w:rsidRPr="00010B2B" w14:paraId="6307272A" w14:textId="77777777" w:rsidTr="00010B2B">
        <w:trPr>
          <w:tblHeader/>
          <w:tblCellSpacing w:w="15" w:type="dxa"/>
        </w:trPr>
        <w:tc>
          <w:tcPr>
            <w:tcW w:w="0" w:type="auto"/>
            <w:vAlign w:val="center"/>
            <w:hideMark/>
          </w:tcPr>
          <w:p w14:paraId="00E1EE13" w14:textId="77777777" w:rsidR="00010B2B" w:rsidRPr="00010B2B" w:rsidRDefault="00010B2B" w:rsidP="00010B2B">
            <w:pPr>
              <w:spacing w:after="0" w:line="240" w:lineRule="auto"/>
              <w:jc w:val="center"/>
              <w:rPr>
                <w:rFonts w:ascii="Arial" w:eastAsia="Times New Roman" w:hAnsi="Arial" w:cs="Arial"/>
                <w:b/>
                <w:bCs/>
                <w:kern w:val="0"/>
                <w14:ligatures w14:val="none"/>
              </w:rPr>
            </w:pPr>
            <w:r w:rsidRPr="00010B2B">
              <w:rPr>
                <w:rFonts w:ascii="Arial" w:eastAsia="Times New Roman" w:hAnsi="Arial" w:cs="Arial"/>
                <w:b/>
                <w:bCs/>
                <w:kern w:val="0"/>
                <w14:ligatures w14:val="none"/>
              </w:rPr>
              <w:lastRenderedPageBreak/>
              <w:t>Threat Source</w:t>
            </w:r>
          </w:p>
        </w:tc>
        <w:tc>
          <w:tcPr>
            <w:tcW w:w="0" w:type="auto"/>
            <w:vAlign w:val="center"/>
            <w:hideMark/>
          </w:tcPr>
          <w:p w14:paraId="76770A51" w14:textId="77777777" w:rsidR="00010B2B" w:rsidRPr="00010B2B" w:rsidRDefault="00010B2B" w:rsidP="00010B2B">
            <w:pPr>
              <w:spacing w:after="0" w:line="240" w:lineRule="auto"/>
              <w:jc w:val="center"/>
              <w:rPr>
                <w:rFonts w:ascii="Arial" w:eastAsia="Times New Roman" w:hAnsi="Arial" w:cs="Arial"/>
                <w:b/>
                <w:bCs/>
                <w:kern w:val="0"/>
                <w14:ligatures w14:val="none"/>
              </w:rPr>
            </w:pPr>
            <w:r w:rsidRPr="00010B2B">
              <w:rPr>
                <w:rFonts w:ascii="Arial" w:eastAsia="Times New Roman" w:hAnsi="Arial" w:cs="Arial"/>
                <w:b/>
                <w:bCs/>
                <w:kern w:val="0"/>
                <w14:ligatures w14:val="none"/>
              </w:rPr>
              <w:t>Threat Event</w:t>
            </w:r>
          </w:p>
        </w:tc>
        <w:tc>
          <w:tcPr>
            <w:tcW w:w="0" w:type="auto"/>
            <w:vAlign w:val="center"/>
            <w:hideMark/>
          </w:tcPr>
          <w:p w14:paraId="4FD3C734" w14:textId="77777777" w:rsidR="00010B2B" w:rsidRPr="00010B2B" w:rsidRDefault="00010B2B" w:rsidP="00010B2B">
            <w:pPr>
              <w:spacing w:after="0" w:line="240" w:lineRule="auto"/>
              <w:jc w:val="center"/>
              <w:rPr>
                <w:rFonts w:ascii="Arial" w:eastAsia="Times New Roman" w:hAnsi="Arial" w:cs="Arial"/>
                <w:b/>
                <w:bCs/>
                <w:kern w:val="0"/>
                <w14:ligatures w14:val="none"/>
              </w:rPr>
            </w:pPr>
            <w:r w:rsidRPr="00010B2B">
              <w:rPr>
                <w:rFonts w:ascii="Arial" w:eastAsia="Times New Roman" w:hAnsi="Arial" w:cs="Arial"/>
                <w:b/>
                <w:bCs/>
                <w:kern w:val="0"/>
                <w14:ligatures w14:val="none"/>
              </w:rPr>
              <w:t>Likelihood (1-3)</w:t>
            </w:r>
          </w:p>
        </w:tc>
        <w:tc>
          <w:tcPr>
            <w:tcW w:w="0" w:type="auto"/>
            <w:vAlign w:val="center"/>
            <w:hideMark/>
          </w:tcPr>
          <w:p w14:paraId="0A8DEBFD" w14:textId="77777777" w:rsidR="00010B2B" w:rsidRPr="00010B2B" w:rsidRDefault="00010B2B" w:rsidP="00010B2B">
            <w:pPr>
              <w:spacing w:after="0" w:line="240" w:lineRule="auto"/>
              <w:jc w:val="center"/>
              <w:rPr>
                <w:rFonts w:ascii="Arial" w:eastAsia="Times New Roman" w:hAnsi="Arial" w:cs="Arial"/>
                <w:b/>
                <w:bCs/>
                <w:kern w:val="0"/>
                <w14:ligatures w14:val="none"/>
              </w:rPr>
            </w:pPr>
            <w:r w:rsidRPr="00010B2B">
              <w:rPr>
                <w:rFonts w:ascii="Arial" w:eastAsia="Times New Roman" w:hAnsi="Arial" w:cs="Arial"/>
                <w:b/>
                <w:bCs/>
                <w:kern w:val="0"/>
                <w14:ligatures w14:val="none"/>
              </w:rPr>
              <w:t>Severity (1-3)</w:t>
            </w:r>
          </w:p>
        </w:tc>
        <w:tc>
          <w:tcPr>
            <w:tcW w:w="0" w:type="auto"/>
            <w:vAlign w:val="center"/>
            <w:hideMark/>
          </w:tcPr>
          <w:p w14:paraId="01A2F113" w14:textId="77777777" w:rsidR="00010B2B" w:rsidRPr="00010B2B" w:rsidRDefault="00010B2B" w:rsidP="00010B2B">
            <w:pPr>
              <w:spacing w:after="0" w:line="240" w:lineRule="auto"/>
              <w:jc w:val="center"/>
              <w:rPr>
                <w:rFonts w:ascii="Arial" w:eastAsia="Times New Roman" w:hAnsi="Arial" w:cs="Arial"/>
                <w:b/>
                <w:bCs/>
                <w:kern w:val="0"/>
                <w14:ligatures w14:val="none"/>
              </w:rPr>
            </w:pPr>
            <w:r w:rsidRPr="00010B2B">
              <w:rPr>
                <w:rFonts w:ascii="Arial" w:eastAsia="Times New Roman" w:hAnsi="Arial" w:cs="Arial"/>
                <w:b/>
                <w:bCs/>
                <w:kern w:val="0"/>
                <w14:ligatures w14:val="none"/>
              </w:rPr>
              <w:t>Risk Score</w:t>
            </w:r>
          </w:p>
        </w:tc>
      </w:tr>
      <w:tr w:rsidR="00010B2B" w:rsidRPr="00010B2B" w14:paraId="72D9907C" w14:textId="77777777" w:rsidTr="00010B2B">
        <w:trPr>
          <w:tblCellSpacing w:w="15" w:type="dxa"/>
        </w:trPr>
        <w:tc>
          <w:tcPr>
            <w:tcW w:w="0" w:type="auto"/>
            <w:vAlign w:val="center"/>
            <w:hideMark/>
          </w:tcPr>
          <w:p w14:paraId="2476581E"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External hacker</w:t>
            </w:r>
          </w:p>
        </w:tc>
        <w:tc>
          <w:tcPr>
            <w:tcW w:w="0" w:type="auto"/>
            <w:vAlign w:val="center"/>
            <w:hideMark/>
          </w:tcPr>
          <w:p w14:paraId="6B1F3E61"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Exploits open ports to gain unauthorized access</w:t>
            </w:r>
          </w:p>
        </w:tc>
        <w:tc>
          <w:tcPr>
            <w:tcW w:w="0" w:type="auto"/>
            <w:vAlign w:val="center"/>
            <w:hideMark/>
          </w:tcPr>
          <w:p w14:paraId="28A8F405"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3</w:t>
            </w:r>
          </w:p>
        </w:tc>
        <w:tc>
          <w:tcPr>
            <w:tcW w:w="0" w:type="auto"/>
            <w:vAlign w:val="center"/>
            <w:hideMark/>
          </w:tcPr>
          <w:p w14:paraId="74A62321"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3</w:t>
            </w:r>
          </w:p>
        </w:tc>
        <w:tc>
          <w:tcPr>
            <w:tcW w:w="0" w:type="auto"/>
            <w:vAlign w:val="center"/>
            <w:hideMark/>
          </w:tcPr>
          <w:p w14:paraId="249E957D"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9</w:t>
            </w:r>
          </w:p>
        </w:tc>
      </w:tr>
      <w:tr w:rsidR="00010B2B" w:rsidRPr="00010B2B" w14:paraId="258F86A7" w14:textId="77777777" w:rsidTr="00010B2B">
        <w:trPr>
          <w:tblCellSpacing w:w="15" w:type="dxa"/>
        </w:trPr>
        <w:tc>
          <w:tcPr>
            <w:tcW w:w="0" w:type="auto"/>
            <w:vAlign w:val="center"/>
            <w:hideMark/>
          </w:tcPr>
          <w:p w14:paraId="1F88C81B"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Malicious insider</w:t>
            </w:r>
          </w:p>
        </w:tc>
        <w:tc>
          <w:tcPr>
            <w:tcW w:w="0" w:type="auto"/>
            <w:vAlign w:val="center"/>
            <w:hideMark/>
          </w:tcPr>
          <w:p w14:paraId="5D716C3A"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Deletes or modifies customer records</w:t>
            </w:r>
          </w:p>
        </w:tc>
        <w:tc>
          <w:tcPr>
            <w:tcW w:w="0" w:type="auto"/>
            <w:vAlign w:val="center"/>
            <w:hideMark/>
          </w:tcPr>
          <w:p w14:paraId="6351E4A7"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2</w:t>
            </w:r>
          </w:p>
        </w:tc>
        <w:tc>
          <w:tcPr>
            <w:tcW w:w="0" w:type="auto"/>
            <w:vAlign w:val="center"/>
            <w:hideMark/>
          </w:tcPr>
          <w:p w14:paraId="57BDD6F9"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3</w:t>
            </w:r>
          </w:p>
        </w:tc>
        <w:tc>
          <w:tcPr>
            <w:tcW w:w="0" w:type="auto"/>
            <w:vAlign w:val="center"/>
            <w:hideMark/>
          </w:tcPr>
          <w:p w14:paraId="28ECF569"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6</w:t>
            </w:r>
          </w:p>
        </w:tc>
      </w:tr>
      <w:tr w:rsidR="00010B2B" w:rsidRPr="00010B2B" w14:paraId="74D10DA5" w14:textId="77777777" w:rsidTr="00010B2B">
        <w:trPr>
          <w:tblCellSpacing w:w="15" w:type="dxa"/>
        </w:trPr>
        <w:tc>
          <w:tcPr>
            <w:tcW w:w="0" w:type="auto"/>
            <w:vAlign w:val="center"/>
            <w:hideMark/>
          </w:tcPr>
          <w:p w14:paraId="0E2D6F6A"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Phishing attacker</w:t>
            </w:r>
          </w:p>
        </w:tc>
        <w:tc>
          <w:tcPr>
            <w:tcW w:w="0" w:type="auto"/>
            <w:vAlign w:val="center"/>
            <w:hideMark/>
          </w:tcPr>
          <w:p w14:paraId="0017F893"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Gains access through stolen employee credentials</w:t>
            </w:r>
          </w:p>
        </w:tc>
        <w:tc>
          <w:tcPr>
            <w:tcW w:w="0" w:type="auto"/>
            <w:vAlign w:val="center"/>
            <w:hideMark/>
          </w:tcPr>
          <w:p w14:paraId="32A7C252"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2</w:t>
            </w:r>
          </w:p>
        </w:tc>
        <w:tc>
          <w:tcPr>
            <w:tcW w:w="0" w:type="auto"/>
            <w:vAlign w:val="center"/>
            <w:hideMark/>
          </w:tcPr>
          <w:p w14:paraId="68D68FFE"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2</w:t>
            </w:r>
          </w:p>
        </w:tc>
        <w:tc>
          <w:tcPr>
            <w:tcW w:w="0" w:type="auto"/>
            <w:vAlign w:val="center"/>
            <w:hideMark/>
          </w:tcPr>
          <w:p w14:paraId="0A5EE057"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4</w:t>
            </w:r>
          </w:p>
        </w:tc>
      </w:tr>
      <w:tr w:rsidR="00010B2B" w:rsidRPr="00010B2B" w14:paraId="49164F7A" w14:textId="77777777" w:rsidTr="00010B2B">
        <w:trPr>
          <w:tblCellSpacing w:w="15" w:type="dxa"/>
        </w:trPr>
        <w:tc>
          <w:tcPr>
            <w:tcW w:w="0" w:type="auto"/>
            <w:vAlign w:val="center"/>
            <w:hideMark/>
          </w:tcPr>
          <w:p w14:paraId="13055AF2"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Misconfiguration</w:t>
            </w:r>
          </w:p>
        </w:tc>
        <w:tc>
          <w:tcPr>
            <w:tcW w:w="0" w:type="auto"/>
            <w:vAlign w:val="center"/>
            <w:hideMark/>
          </w:tcPr>
          <w:p w14:paraId="4F7EADE3"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Exposes sensitive data due to weak server settings</w:t>
            </w:r>
          </w:p>
        </w:tc>
        <w:tc>
          <w:tcPr>
            <w:tcW w:w="0" w:type="auto"/>
            <w:vAlign w:val="center"/>
            <w:hideMark/>
          </w:tcPr>
          <w:p w14:paraId="49E1AB3D"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1</w:t>
            </w:r>
          </w:p>
        </w:tc>
        <w:tc>
          <w:tcPr>
            <w:tcW w:w="0" w:type="auto"/>
            <w:vAlign w:val="center"/>
            <w:hideMark/>
          </w:tcPr>
          <w:p w14:paraId="717331D4"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kern w:val="0"/>
                <w14:ligatures w14:val="none"/>
              </w:rPr>
              <w:t>3</w:t>
            </w:r>
          </w:p>
        </w:tc>
        <w:tc>
          <w:tcPr>
            <w:tcW w:w="0" w:type="auto"/>
            <w:vAlign w:val="center"/>
            <w:hideMark/>
          </w:tcPr>
          <w:p w14:paraId="6B4B76B8" w14:textId="77777777" w:rsidR="00010B2B" w:rsidRPr="00010B2B" w:rsidRDefault="00010B2B" w:rsidP="00010B2B">
            <w:pPr>
              <w:spacing w:after="0"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3</w:t>
            </w:r>
          </w:p>
        </w:tc>
      </w:tr>
    </w:tbl>
    <w:p w14:paraId="4100D171" w14:textId="77777777" w:rsidR="00010B2B" w:rsidRPr="00010B2B" w:rsidRDefault="00010B2B" w:rsidP="00010B2B">
      <w:pPr>
        <w:spacing w:after="0" w:line="240" w:lineRule="auto"/>
        <w:rPr>
          <w:rFonts w:ascii="Arial" w:eastAsia="Times New Roman" w:hAnsi="Arial" w:cs="Arial"/>
          <w:b/>
          <w:bCs/>
          <w:kern w:val="36"/>
          <w:sz w:val="48"/>
          <w:szCs w:val="48"/>
          <w14:ligatures w14:val="none"/>
        </w:rPr>
      </w:pPr>
    </w:p>
    <w:p w14:paraId="62A6BC26" w14:textId="4D368E60" w:rsidR="00010B2B" w:rsidRPr="00010B2B" w:rsidRDefault="00010B2B" w:rsidP="00010B2B">
      <w:pPr>
        <w:spacing w:after="0" w:line="240" w:lineRule="auto"/>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Approach</w:t>
      </w:r>
    </w:p>
    <w:p w14:paraId="318CDFE3"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The risks were evaluated by reviewing the system’s exposure to the public internet, weak authentication practices, and configuration gaps. The likelihood of each threat was estimated based on common attack patterns against small businesses, including credential attacks and exploitation of open services. Severity was measured using the potential business impact, including downtime, data loss, and damage to customer trust. Risk scores were calculated using:</w:t>
      </w:r>
    </w:p>
    <w:p w14:paraId="0475D864"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Risk = Likelihood × Severity</w:t>
      </w:r>
    </w:p>
    <w:p w14:paraId="37FB2E66"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This quantification helps prioritize remediation efforts toward the most critical issues.</w:t>
      </w:r>
    </w:p>
    <w:p w14:paraId="575049FE" w14:textId="46D4C525" w:rsidR="00010B2B" w:rsidRPr="00010B2B" w:rsidRDefault="00010B2B" w:rsidP="00010B2B">
      <w:pPr>
        <w:spacing w:after="0" w:line="240" w:lineRule="auto"/>
        <w:rPr>
          <w:rFonts w:ascii="Arial" w:eastAsia="Times New Roman" w:hAnsi="Arial" w:cs="Arial"/>
          <w:b/>
          <w:bCs/>
          <w:kern w:val="36"/>
          <w:sz w:val="48"/>
          <w:szCs w:val="48"/>
          <w14:ligatures w14:val="none"/>
        </w:rPr>
      </w:pPr>
      <w:r w:rsidRPr="00010B2B">
        <w:rPr>
          <w:rFonts w:ascii="Arial" w:eastAsia="Times New Roman" w:hAnsi="Arial" w:cs="Arial"/>
          <w:b/>
          <w:bCs/>
          <w:kern w:val="36"/>
          <w:sz w:val="48"/>
          <w:szCs w:val="48"/>
          <w14:ligatures w14:val="none"/>
        </w:rPr>
        <w:t>Remediation Strategy</w:t>
      </w:r>
    </w:p>
    <w:p w14:paraId="3E338478"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To reduce the identified risks, the following security measures are recommended:</w:t>
      </w:r>
    </w:p>
    <w:p w14:paraId="596DB859"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1. Strengthen Access Controls</w:t>
      </w:r>
    </w:p>
    <w:p w14:paraId="6146167B" w14:textId="77777777" w:rsidR="00010B2B" w:rsidRPr="00010B2B" w:rsidRDefault="00010B2B" w:rsidP="00010B2B">
      <w:pPr>
        <w:numPr>
          <w:ilvl w:val="0"/>
          <w:numId w:val="7"/>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Implement multi-factor authentication (MFA) for all administrative accounts.</w:t>
      </w:r>
    </w:p>
    <w:p w14:paraId="58D958F4" w14:textId="77777777" w:rsidR="00010B2B" w:rsidRPr="00010B2B" w:rsidRDefault="00010B2B" w:rsidP="00010B2B">
      <w:pPr>
        <w:numPr>
          <w:ilvl w:val="0"/>
          <w:numId w:val="7"/>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Enforce strong password policies and regular credential rotation.</w:t>
      </w:r>
    </w:p>
    <w:p w14:paraId="2536748A" w14:textId="77777777" w:rsidR="00010B2B" w:rsidRPr="00010B2B" w:rsidRDefault="00010B2B" w:rsidP="00010B2B">
      <w:pPr>
        <w:numPr>
          <w:ilvl w:val="0"/>
          <w:numId w:val="7"/>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Apply role-based access control to limit employee permissions.</w:t>
      </w:r>
    </w:p>
    <w:p w14:paraId="35219B30"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2. Harden Server Configuration</w:t>
      </w:r>
    </w:p>
    <w:p w14:paraId="654B5E19" w14:textId="77777777" w:rsidR="00010B2B" w:rsidRPr="00010B2B" w:rsidRDefault="00010B2B" w:rsidP="00010B2B">
      <w:pPr>
        <w:numPr>
          <w:ilvl w:val="0"/>
          <w:numId w:val="8"/>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Disable unused ports and services to reduce attack surface.</w:t>
      </w:r>
    </w:p>
    <w:p w14:paraId="1765C0DF" w14:textId="77777777" w:rsidR="00010B2B" w:rsidRPr="00010B2B" w:rsidRDefault="00010B2B" w:rsidP="00010B2B">
      <w:pPr>
        <w:numPr>
          <w:ilvl w:val="0"/>
          <w:numId w:val="8"/>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Regularly apply system and application patches.</w:t>
      </w:r>
    </w:p>
    <w:p w14:paraId="35A4F20B" w14:textId="77777777" w:rsidR="00010B2B" w:rsidRPr="00010B2B" w:rsidRDefault="00010B2B" w:rsidP="00010B2B">
      <w:pPr>
        <w:numPr>
          <w:ilvl w:val="0"/>
          <w:numId w:val="8"/>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Configure firewall rules to restrict access only to approved IP ranges.</w:t>
      </w:r>
    </w:p>
    <w:p w14:paraId="13E67155"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3. Protect Sensitive Data</w:t>
      </w:r>
    </w:p>
    <w:p w14:paraId="0A967B7C" w14:textId="77777777" w:rsidR="00010B2B" w:rsidRPr="00010B2B" w:rsidRDefault="00010B2B" w:rsidP="00010B2B">
      <w:pPr>
        <w:numPr>
          <w:ilvl w:val="0"/>
          <w:numId w:val="9"/>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lastRenderedPageBreak/>
        <w:t>Encrypt all data in transit using modern TLS protocols.</w:t>
      </w:r>
    </w:p>
    <w:p w14:paraId="4A0C00F7" w14:textId="77777777" w:rsidR="00010B2B" w:rsidRPr="00010B2B" w:rsidRDefault="00010B2B" w:rsidP="00010B2B">
      <w:pPr>
        <w:numPr>
          <w:ilvl w:val="0"/>
          <w:numId w:val="9"/>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Enable full database encryption at rest.</w:t>
      </w:r>
    </w:p>
    <w:p w14:paraId="498DD10E" w14:textId="77777777" w:rsidR="00010B2B" w:rsidRPr="00010B2B" w:rsidRDefault="00010B2B" w:rsidP="00010B2B">
      <w:pPr>
        <w:numPr>
          <w:ilvl w:val="0"/>
          <w:numId w:val="9"/>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Implement automated secure backups.</w:t>
      </w:r>
    </w:p>
    <w:p w14:paraId="6099F14F"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b/>
          <w:bCs/>
          <w:kern w:val="0"/>
          <w14:ligatures w14:val="none"/>
        </w:rPr>
        <w:t>4. Monitoring &amp; Logging</w:t>
      </w:r>
    </w:p>
    <w:p w14:paraId="0CCB3AC5" w14:textId="77777777" w:rsidR="00010B2B" w:rsidRPr="00010B2B" w:rsidRDefault="00010B2B" w:rsidP="00010B2B">
      <w:pPr>
        <w:numPr>
          <w:ilvl w:val="0"/>
          <w:numId w:val="10"/>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Deploy intrusion detection or SIEM tooling for real-time alerts.</w:t>
      </w:r>
    </w:p>
    <w:p w14:paraId="6B9A4D96" w14:textId="77777777" w:rsidR="00010B2B" w:rsidRPr="00010B2B" w:rsidRDefault="00010B2B" w:rsidP="00010B2B">
      <w:pPr>
        <w:numPr>
          <w:ilvl w:val="0"/>
          <w:numId w:val="10"/>
        </w:num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Review server logs regularly for suspicious activity.</w:t>
      </w:r>
    </w:p>
    <w:p w14:paraId="199F7246" w14:textId="77777777" w:rsidR="00010B2B" w:rsidRPr="00010B2B" w:rsidRDefault="00010B2B" w:rsidP="00010B2B">
      <w:pPr>
        <w:spacing w:before="100" w:beforeAutospacing="1" w:after="100" w:afterAutospacing="1" w:line="240" w:lineRule="auto"/>
        <w:rPr>
          <w:rFonts w:ascii="Arial" w:eastAsia="Times New Roman" w:hAnsi="Arial" w:cs="Arial"/>
          <w:kern w:val="0"/>
          <w14:ligatures w14:val="none"/>
        </w:rPr>
      </w:pPr>
      <w:r w:rsidRPr="00010B2B">
        <w:rPr>
          <w:rFonts w:ascii="Arial" w:eastAsia="Times New Roman" w:hAnsi="Arial" w:cs="Arial"/>
          <w:kern w:val="0"/>
          <w14:ligatures w14:val="none"/>
        </w:rPr>
        <w:t>These improvements will significantly reduce the likelihood of unauthorized access and strengthen the system’s resilience against attacks.</w:t>
      </w:r>
    </w:p>
    <w:p w14:paraId="6D44D0CC" w14:textId="77777777" w:rsidR="008721FF" w:rsidRPr="00010B2B" w:rsidRDefault="008721FF">
      <w:pPr>
        <w:rPr>
          <w:rFonts w:ascii="Arial" w:hAnsi="Arial" w:cs="Arial"/>
        </w:rPr>
      </w:pPr>
    </w:p>
    <w:sectPr w:rsidR="008721FF" w:rsidRPr="00010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236"/>
    <w:multiLevelType w:val="multilevel"/>
    <w:tmpl w:val="0602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A6A8C"/>
    <w:multiLevelType w:val="multilevel"/>
    <w:tmpl w:val="8332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E557E"/>
    <w:multiLevelType w:val="multilevel"/>
    <w:tmpl w:val="028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238E3"/>
    <w:multiLevelType w:val="multilevel"/>
    <w:tmpl w:val="2A2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402B2"/>
    <w:multiLevelType w:val="multilevel"/>
    <w:tmpl w:val="3600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F03584"/>
    <w:multiLevelType w:val="multilevel"/>
    <w:tmpl w:val="92B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10DCD"/>
    <w:multiLevelType w:val="multilevel"/>
    <w:tmpl w:val="4306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20BBA"/>
    <w:multiLevelType w:val="multilevel"/>
    <w:tmpl w:val="20FC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96BD8"/>
    <w:multiLevelType w:val="multilevel"/>
    <w:tmpl w:val="24F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50FF9"/>
    <w:multiLevelType w:val="multilevel"/>
    <w:tmpl w:val="D9AE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070597">
    <w:abstractNumId w:val="4"/>
  </w:num>
  <w:num w:numId="2" w16cid:durableId="1242790670">
    <w:abstractNumId w:val="5"/>
  </w:num>
  <w:num w:numId="3" w16cid:durableId="564148343">
    <w:abstractNumId w:val="0"/>
  </w:num>
  <w:num w:numId="4" w16cid:durableId="1418820059">
    <w:abstractNumId w:val="7"/>
  </w:num>
  <w:num w:numId="5" w16cid:durableId="1473476150">
    <w:abstractNumId w:val="2"/>
  </w:num>
  <w:num w:numId="6" w16cid:durableId="1494683863">
    <w:abstractNumId w:val="6"/>
  </w:num>
  <w:num w:numId="7" w16cid:durableId="747002037">
    <w:abstractNumId w:val="1"/>
  </w:num>
  <w:num w:numId="8" w16cid:durableId="1498572390">
    <w:abstractNumId w:val="8"/>
  </w:num>
  <w:num w:numId="9" w16cid:durableId="1219171041">
    <w:abstractNumId w:val="3"/>
  </w:num>
  <w:num w:numId="10" w16cid:durableId="178587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FF"/>
    <w:rsid w:val="00010B2B"/>
    <w:rsid w:val="00232871"/>
    <w:rsid w:val="00281BA1"/>
    <w:rsid w:val="007D6C9A"/>
    <w:rsid w:val="008721FF"/>
    <w:rsid w:val="00BC5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5AEF"/>
  <w15:chartTrackingRefBased/>
  <w15:docId w15:val="{E4D5E47B-0F2A-564A-88AB-31EF0D3C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FF"/>
    <w:rPr>
      <w:rFonts w:eastAsiaTheme="majorEastAsia" w:cstheme="majorBidi"/>
      <w:color w:val="272727" w:themeColor="text1" w:themeTint="D8"/>
    </w:rPr>
  </w:style>
  <w:style w:type="paragraph" w:styleId="Title">
    <w:name w:val="Title"/>
    <w:basedOn w:val="Normal"/>
    <w:next w:val="Normal"/>
    <w:link w:val="TitleChar"/>
    <w:uiPriority w:val="10"/>
    <w:qFormat/>
    <w:rsid w:val="00872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FF"/>
    <w:pPr>
      <w:spacing w:before="160"/>
      <w:jc w:val="center"/>
    </w:pPr>
    <w:rPr>
      <w:i/>
      <w:iCs/>
      <w:color w:val="404040" w:themeColor="text1" w:themeTint="BF"/>
    </w:rPr>
  </w:style>
  <w:style w:type="character" w:customStyle="1" w:styleId="QuoteChar">
    <w:name w:val="Quote Char"/>
    <w:basedOn w:val="DefaultParagraphFont"/>
    <w:link w:val="Quote"/>
    <w:uiPriority w:val="29"/>
    <w:rsid w:val="008721FF"/>
    <w:rPr>
      <w:i/>
      <w:iCs/>
      <w:color w:val="404040" w:themeColor="text1" w:themeTint="BF"/>
    </w:rPr>
  </w:style>
  <w:style w:type="paragraph" w:styleId="ListParagraph">
    <w:name w:val="List Paragraph"/>
    <w:basedOn w:val="Normal"/>
    <w:uiPriority w:val="34"/>
    <w:qFormat/>
    <w:rsid w:val="008721FF"/>
    <w:pPr>
      <w:ind w:left="720"/>
      <w:contextualSpacing/>
    </w:pPr>
  </w:style>
  <w:style w:type="character" w:styleId="IntenseEmphasis">
    <w:name w:val="Intense Emphasis"/>
    <w:basedOn w:val="DefaultParagraphFont"/>
    <w:uiPriority w:val="21"/>
    <w:qFormat/>
    <w:rsid w:val="008721FF"/>
    <w:rPr>
      <w:i/>
      <w:iCs/>
      <w:color w:val="0F4761" w:themeColor="accent1" w:themeShade="BF"/>
    </w:rPr>
  </w:style>
  <w:style w:type="paragraph" w:styleId="IntenseQuote">
    <w:name w:val="Intense Quote"/>
    <w:basedOn w:val="Normal"/>
    <w:next w:val="Normal"/>
    <w:link w:val="IntenseQuoteChar"/>
    <w:uiPriority w:val="30"/>
    <w:qFormat/>
    <w:rsid w:val="00872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1FF"/>
    <w:rPr>
      <w:i/>
      <w:iCs/>
      <w:color w:val="0F4761" w:themeColor="accent1" w:themeShade="BF"/>
    </w:rPr>
  </w:style>
  <w:style w:type="character" w:styleId="IntenseReference">
    <w:name w:val="Intense Reference"/>
    <w:basedOn w:val="DefaultParagraphFont"/>
    <w:uiPriority w:val="32"/>
    <w:qFormat/>
    <w:rsid w:val="008721FF"/>
    <w:rPr>
      <w:b/>
      <w:bCs/>
      <w:smallCaps/>
      <w:color w:val="0F4761" w:themeColor="accent1" w:themeShade="BF"/>
      <w:spacing w:val="5"/>
    </w:rPr>
  </w:style>
  <w:style w:type="character" w:styleId="Strong">
    <w:name w:val="Strong"/>
    <w:basedOn w:val="DefaultParagraphFont"/>
    <w:uiPriority w:val="22"/>
    <w:qFormat/>
    <w:rsid w:val="008721FF"/>
    <w:rPr>
      <w:b/>
      <w:bCs/>
    </w:rPr>
  </w:style>
  <w:style w:type="paragraph" w:styleId="NormalWeb">
    <w:name w:val="Normal (Web)"/>
    <w:basedOn w:val="Normal"/>
    <w:uiPriority w:val="99"/>
    <w:semiHidden/>
    <w:unhideWhenUsed/>
    <w:rsid w:val="008721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721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851881">
      <w:bodyDiv w:val="1"/>
      <w:marLeft w:val="0"/>
      <w:marRight w:val="0"/>
      <w:marTop w:val="0"/>
      <w:marBottom w:val="0"/>
      <w:divBdr>
        <w:top w:val="none" w:sz="0" w:space="0" w:color="auto"/>
        <w:left w:val="none" w:sz="0" w:space="0" w:color="auto"/>
        <w:bottom w:val="none" w:sz="0" w:space="0" w:color="auto"/>
        <w:right w:val="none" w:sz="0" w:space="0" w:color="auto"/>
      </w:divBdr>
    </w:div>
    <w:div w:id="1463621892">
      <w:bodyDiv w:val="1"/>
      <w:marLeft w:val="0"/>
      <w:marRight w:val="0"/>
      <w:marTop w:val="0"/>
      <w:marBottom w:val="0"/>
      <w:divBdr>
        <w:top w:val="none" w:sz="0" w:space="0" w:color="auto"/>
        <w:left w:val="none" w:sz="0" w:space="0" w:color="auto"/>
        <w:bottom w:val="none" w:sz="0" w:space="0" w:color="auto"/>
        <w:right w:val="none" w:sz="0" w:space="0" w:color="auto"/>
      </w:divBdr>
      <w:divsChild>
        <w:div w:id="1360158580">
          <w:marLeft w:val="0"/>
          <w:marRight w:val="0"/>
          <w:marTop w:val="0"/>
          <w:marBottom w:val="0"/>
          <w:divBdr>
            <w:top w:val="none" w:sz="0" w:space="0" w:color="auto"/>
            <w:left w:val="none" w:sz="0" w:space="0" w:color="auto"/>
            <w:bottom w:val="none" w:sz="0" w:space="0" w:color="auto"/>
            <w:right w:val="none" w:sz="0" w:space="0" w:color="auto"/>
          </w:divBdr>
          <w:divsChild>
            <w:div w:id="541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Parajuli, Samikshya</dc:creator>
  <cp:keywords/>
  <dc:description/>
  <cp:lastModifiedBy>Parajuli, Samikshya</cp:lastModifiedBy>
  <cp:revision>3</cp:revision>
  <dcterms:created xsi:type="dcterms:W3CDTF">2025-11-16T20:46:00Z</dcterms:created>
  <dcterms:modified xsi:type="dcterms:W3CDTF">2025-11-16T20:46:00Z</dcterms:modified>
</cp:coreProperties>
</file>