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8512" from="72pt,131.016998pt" to="540pt,131.016998pt" stroked="true" strokeweight=".3985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pt;margin-top:61.077999pt;width:470pt;height:66pt;mso-position-horizontal-relative:page;mso-position-vertical-relative:page;z-index:-8488" type="#_x0000_t202" filled="false" stroked="false">
            <v:textbox inset="0,0,0,0">
              <w:txbxContent>
                <w:p>
                  <w:pPr>
                    <w:tabs>
                      <w:tab w:pos="3849" w:val="left" w:leader="none"/>
                      <w:tab w:pos="9359" w:val="left" w:leader="none"/>
                    </w:tabs>
                    <w:spacing w:before="117"/>
                    <w:ind w:left="0" w:right="0" w:firstLine="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w w:val="110"/>
                      <w:sz w:val="44"/>
                      <w:u w:val="single"/>
                    </w:rPr>
                    <w:t> </w:t>
                  </w:r>
                  <w:r>
                    <w:rPr>
                      <w:b/>
                      <w:sz w:val="44"/>
                      <w:u w:val="single"/>
                    </w:rPr>
                    <w:tab/>
                  </w:r>
                  <w:r>
                    <w:rPr>
                      <w:b/>
                      <w:spacing w:val="-14"/>
                      <w:sz w:val="44"/>
                      <w:u w:val="single"/>
                    </w:rPr>
                    <w:t>Yue</w:t>
                  </w:r>
                  <w:r>
                    <w:rPr>
                      <w:b/>
                      <w:spacing w:val="18"/>
                      <w:sz w:val="44"/>
                      <w:u w:val="single"/>
                    </w:rPr>
                    <w:t> </w:t>
                  </w:r>
                  <w:r>
                    <w:rPr>
                      <w:b/>
                      <w:sz w:val="44"/>
                      <w:u w:val="single"/>
                    </w:rPr>
                    <w:t>Hu</w:t>
                    <w:tab/>
                  </w:r>
                </w:p>
                <w:p>
                  <w:pPr>
                    <w:pStyle w:val="BodyText"/>
                    <w:spacing w:before="96"/>
                    <w:ind w:left="0"/>
                    <w:jc w:val="center"/>
                  </w:pPr>
                  <w:r>
                    <w:rPr/>
                    <w:t>Mingzhai 114, Qinghua Yuan, Haidian District, Beijing 100084, China</w:t>
                  </w:r>
                </w:p>
                <w:p>
                  <w:pPr>
                    <w:pStyle w:val="BodyText"/>
                    <w:spacing w:before="83"/>
                    <w:ind w:left="0"/>
                    <w:jc w:val="center"/>
                    <w:rPr>
                      <w:rFonts w:ascii="Courier New" w:hAnsi="Courier New"/>
                    </w:rPr>
                  </w:pPr>
                  <w:r>
                    <w:rPr>
                      <w:rFonts w:ascii="Bookman Old Style" w:hAnsi="Bookman Old Style"/>
                      <w:b w:val="0"/>
                      <w:w w:val="240"/>
                    </w:rPr>
                    <w:t> </w:t>
                  </w:r>
                  <w:hyperlink r:id="rId5">
                    <w:r>
                      <w:rPr>
                        <w:rFonts w:ascii="Courier New" w:hAnsi="Courier New"/>
                        <w:color w:val="0000FF"/>
                      </w:rPr>
                      <w:t>yuehu@tsinghua.edu.cn</w:t>
                    </w:r>
                  </w:hyperlink>
                  <w:r>
                    <w:rPr>
                      <w:rFonts w:ascii="Courier New" w:hAnsi="Courier New"/>
                      <w:color w:val="0000FF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w w:val="130"/>
                    </w:rPr>
                    <w:t> </w:t>
                  </w:r>
                  <w:hyperlink r:id="rId6">
                    <w:r>
                      <w:rPr>
                        <w:rFonts w:ascii="Courier New" w:hAnsi="Courier New"/>
                        <w:color w:val="0000FF"/>
                      </w:rPr>
                      <w:t>sammo3182</w:t>
                    </w:r>
                  </w:hyperlink>
                  <w:r>
                    <w:rPr>
                      <w:rFonts w:ascii="Courier New" w:hAnsi="Courier New"/>
                      <w:color w:val="0000FF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w w:val="130"/>
                    </w:rPr>
                    <w:t> </w:t>
                  </w:r>
                  <w:hyperlink r:id="rId7">
                    <w:r>
                      <w:rPr>
                        <w:rFonts w:ascii="Courier New" w:hAnsi="Courier New"/>
                        <w:color w:val="0000FF"/>
                      </w:rPr>
                      <w:t>sammo3182.github.io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130.671997pt;width:384.5pt;height:264.350pt;mso-position-horizontal-relative:page;mso-position-vertical-relative:page;z-index:-8464" type="#_x0000_t202" filled="false" stroked="false">
            <v:textbox inset="0,0,0,0">
              <w:txbxContent>
                <w:p>
                  <w:pPr>
                    <w:spacing w:before="73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bookmarkStart w:name="Education" w:id="1"/>
                  <w:bookmarkEnd w:id="1"/>
                  <w:r>
                    <w:rPr/>
                  </w:r>
                  <w:bookmarkStart w:name="Degree" w:id="2"/>
                  <w:bookmarkEnd w:id="2"/>
                  <w:r>
                    <w:rPr/>
                  </w:r>
                  <w:r>
                    <w:rPr>
                      <w:b/>
                      <w:sz w:val="24"/>
                    </w:rPr>
                    <w:t>Education</w:t>
                  </w:r>
                </w:p>
                <w:p>
                  <w:pPr>
                    <w:spacing w:before="108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Degree</w:t>
                  </w:r>
                </w:p>
                <w:p>
                  <w:pPr>
                    <w:pStyle w:val="BodyText"/>
                    <w:spacing w:before="72"/>
                    <w:ind w:left="335"/>
                  </w:pPr>
                  <w:r>
                    <w:rPr/>
                    <w:t>Ph.D. in Political Science, The University of Iowa, U.S.A.</w:t>
                  </w:r>
                </w:p>
                <w:p>
                  <w:pPr>
                    <w:pStyle w:val="BodyText"/>
                    <w:ind w:left="335"/>
                  </w:pPr>
                  <w:r>
                    <w:rPr/>
                    <w:t>M.A. in Political Science, The University of South Carolina, U.S.A.</w:t>
                  </w:r>
                </w:p>
                <w:p>
                  <w:pPr>
                    <w:pStyle w:val="BodyText"/>
                    <w:spacing w:line="328" w:lineRule="auto"/>
                    <w:ind w:left="335" w:right="1419"/>
                  </w:pPr>
                  <w:r>
                    <w:rPr/>
                    <w:t>M.A. in Political Science, The University of Regina, Canada</w:t>
                  </w:r>
                  <w:bookmarkStart w:name="Additional Training" w:id="3"/>
                  <w:bookmarkEnd w:id="3"/>
                  <w:r>
                    <w:rPr/>
                  </w:r>
                  <w:r>
                    <w:rPr/>
                    <w:t> LL.B. in International Politics, Nankai University, China</w:t>
                  </w:r>
                </w:p>
                <w:p>
                  <w:pPr>
                    <w:spacing w:before="73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Additional Training</w:t>
                  </w:r>
                </w:p>
                <w:p>
                  <w:pPr>
                    <w:pStyle w:val="BodyText"/>
                    <w:spacing w:before="72"/>
                    <w:ind w:left="335"/>
                  </w:pPr>
                  <w:r>
                    <w:rPr/>
                    <w:t>Certificate in Informatics, The University of Iowa, U.S.A.</w:t>
                  </w:r>
                </w:p>
                <w:p>
                  <w:pPr>
                    <w:pStyle w:val="BodyText"/>
                    <w:ind w:left="335"/>
                  </w:pPr>
                  <w:bookmarkStart w:name="Professional Positions" w:id="4"/>
                  <w:bookmarkEnd w:id="4"/>
                  <w:r>
                    <w:rPr/>
                  </w:r>
                  <w:r>
                    <w:rPr/>
                    <w:t>Experimental Methods, National University of Singapore (IPSA), Singapore</w:t>
                  </w:r>
                </w:p>
                <w:p>
                  <w:pPr>
                    <w:spacing w:before="129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 Positions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Assistant Professor, Department of Political Science, Tsinghua University.</w:t>
                  </w:r>
                </w:p>
                <w:p>
                  <w:pPr>
                    <w:pStyle w:val="BodyText"/>
                    <w:ind w:left="635" w:right="231"/>
                    <w:jc w:val="center"/>
                  </w:pPr>
                  <w:r>
                    <w:rPr/>
                    <w:t>Deputy Director, Center on Data and Governance of Tsinghua University.</w:t>
                  </w:r>
                </w:p>
                <w:p>
                  <w:pPr>
                    <w:pStyle w:val="BodyText"/>
                    <w:ind w:left="335"/>
                  </w:pPr>
                  <w:bookmarkStart w:name="Research Interests" w:id="5"/>
                  <w:bookmarkEnd w:id="5"/>
                  <w:r>
                    <w:rPr/>
                  </w:r>
                  <w:r>
                    <w:rPr/>
                    <w:t>Statistical Consultant, Iowa Social Science Research Center, University of Iowa.</w:t>
                  </w:r>
                </w:p>
                <w:p>
                  <w:pPr>
                    <w:spacing w:before="128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Research Interests</w:t>
                  </w:r>
                </w:p>
                <w:p>
                  <w:pPr>
                    <w:spacing w:before="75"/>
                    <w:ind w:left="335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Palatino Linotype"/>
                      <w:i/>
                      <w:sz w:val="21"/>
                    </w:rPr>
                    <w:t>Comparative Politics</w:t>
                  </w:r>
                  <w:r>
                    <w:rPr>
                      <w:sz w:val="21"/>
                    </w:rPr>
                    <w:t>: Language politics, inequality, political communication.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003998pt;margin-top:167.9375pt;width:36.950pt;height:66.05pt;mso-position-horizontal-relative:page;mso-position-vertical-relative:page;z-index:-8440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90"/>
                    </w:rPr>
                    <w:t>2018-05</w:t>
                  </w:r>
                </w:p>
                <w:p>
                  <w:pPr>
                    <w:pStyle w:val="BodyText"/>
                  </w:pPr>
                  <w:r>
                    <w:rPr>
                      <w:w w:val="95"/>
                    </w:rPr>
                    <w:t>2013-12</w:t>
                  </w:r>
                </w:p>
                <w:p>
                  <w:pPr>
                    <w:pStyle w:val="BodyText"/>
                  </w:pPr>
                  <w:r>
                    <w:rPr>
                      <w:w w:val="90"/>
                    </w:rPr>
                    <w:t>2011-06</w:t>
                  </w:r>
                </w:p>
                <w:p>
                  <w:pPr>
                    <w:pStyle w:val="BodyText"/>
                  </w:pPr>
                  <w:r>
                    <w:rPr>
                      <w:w w:val="85"/>
                    </w:rPr>
                    <w:t>2009-06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53998pt;margin-top:254.818497pt;width:52.7pt;height:33.3pt;mso-position-horizontal-relative:page;mso-position-vertical-relative:page;z-index:-8416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  <w:ind w:left="335"/>
                  </w:pPr>
                  <w:r>
                    <w:rPr>
                      <w:w w:val="95"/>
                    </w:rPr>
                    <w:t>2016-12</w:t>
                  </w:r>
                </w:p>
                <w:p>
                  <w:pPr>
                    <w:pStyle w:val="BodyText"/>
                  </w:pPr>
                  <w:r>
                    <w:rPr>
                      <w:w w:val="90"/>
                    </w:rPr>
                    <w:t>2014-06/07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709991pt;margin-top:308.291504pt;width:75.3pt;height:16.9pt;mso-position-horizontal-relative:page;mso-position-vertical-relative:page;z-index:-8392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95"/>
                    </w:rPr>
                    <w:t>2019-01/present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752502pt;margin-top:341.051514pt;width:77.2pt;height:16.9pt;mso-position-horizontal-relative:page;mso-position-vertical-relative:page;z-index:-8368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90"/>
                    </w:rPr>
                    <w:t>2015-08/2018-05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94.523499pt;width:470pt;height:182.3pt;mso-position-horizontal-relative:page;mso-position-vertical-relative:page;z-index:-8344" type="#_x0000_t202" filled="false" stroked="false">
            <v:textbox inset="0,0,0,0">
              <w:txbxContent>
                <w:p>
                  <w:pPr>
                    <w:spacing w:before="36"/>
                    <w:ind w:left="335" w:right="0" w:firstLine="0"/>
                    <w:jc w:val="left"/>
                    <w:rPr>
                      <w:sz w:val="21"/>
                    </w:rPr>
                  </w:pPr>
                  <w:bookmarkStart w:name="Publications" w:id="6"/>
                  <w:bookmarkEnd w:id="6"/>
                  <w:r>
                    <w:rPr/>
                  </w:r>
                  <w:r>
                    <w:rPr>
                      <w:rFonts w:ascii="Palatino Linotype"/>
                      <w:i/>
                      <w:sz w:val="21"/>
                    </w:rPr>
                    <w:t>Political Methodology</w:t>
                  </w:r>
                  <w:r>
                    <w:rPr>
                      <w:sz w:val="21"/>
                    </w:rPr>
                    <w:t>: Political experiment, text analysis, spatial analysis, network analysis.</w:t>
                  </w:r>
                </w:p>
                <w:p>
                  <w:pPr>
                    <w:spacing w:before="111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bookmarkStart w:name="Peer-Reviewed Journal Articles" w:id="7"/>
                  <w:bookmarkEnd w:id="7"/>
                  <w:r>
                    <w:rPr/>
                  </w:r>
                  <w:r>
                    <w:rPr>
                      <w:b/>
                      <w:sz w:val="24"/>
                    </w:rPr>
                    <w:t>Publications</w:t>
                  </w:r>
                </w:p>
                <w:p>
                  <w:pPr>
                    <w:spacing w:before="109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10"/>
                      <w:sz w:val="21"/>
                    </w:rPr>
                    <w:t>Peer-Reviewed Journal Articles</w:t>
                  </w:r>
                </w:p>
                <w:p>
                  <w:pPr>
                    <w:pStyle w:val="BodyText"/>
                    <w:spacing w:line="302" w:lineRule="auto" w:before="72"/>
                    <w:ind w:right="18"/>
                    <w:jc w:val="both"/>
                  </w:pPr>
                  <w:r>
                    <w:rPr/>
                    <w:t>Hu, Yue (2020). “Culture Marker Versus Authority Marker: How Do Language Attitudes Affect Political Trust?” En. In: </w:t>
                  </w:r>
                  <w:r>
                    <w:rPr>
                      <w:rFonts w:ascii="Palatino Linotype" w:hAnsi="Palatino Linotype"/>
                      <w:i/>
                    </w:rPr>
                    <w:t>Political Psychology </w:t>
                  </w:r>
                  <w:r>
                    <w:rPr/>
                    <w:t>Early View, p. Forthcoming. ISSN: 1467-9221. DOI: 10.1111/pops.12646.</w:t>
                  </w:r>
                </w:p>
                <w:p>
                  <w:pPr>
                    <w:pStyle w:val="BodyText"/>
                    <w:spacing w:line="302" w:lineRule="auto" w:before="144"/>
                    <w:ind w:right="17"/>
                    <w:jc w:val="both"/>
                  </w:pPr>
                  <w:r>
                    <w:rPr/>
                    <w:t>Hu,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and Amy H. Liu (2020). “The Effects of </w:t>
                  </w:r>
                  <w:r>
                    <w:rPr>
                      <w:spacing w:val="-3"/>
                    </w:rPr>
                    <w:t>Foreign </w:t>
                  </w:r>
                  <w:r>
                    <w:rPr/>
                    <w:t>Language Proficiency on Public </w:t>
                  </w:r>
                  <w:r>
                    <w:rPr>
                      <w:spacing w:val="-3"/>
                    </w:rPr>
                    <w:t>Attitudes: </w:t>
                  </w:r>
                  <w:r>
                    <w:rPr/>
                    <w:t>Evidence from the Chinese-Speaking </w:t>
                  </w:r>
                  <w:r>
                    <w:rPr>
                      <w:spacing w:val="-7"/>
                    </w:rPr>
                    <w:t>World”.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</w:rPr>
                    <w:t>Journal of East </w:t>
                  </w:r>
                  <w:r>
                    <w:rPr>
                      <w:rFonts w:ascii="Palatino Linotype" w:hAnsi="Palatino Linotype"/>
                      <w:i/>
                      <w:spacing w:val="-3"/>
                    </w:rPr>
                    <w:t>Asian </w:t>
                  </w:r>
                  <w:r>
                    <w:rPr>
                      <w:rFonts w:ascii="Palatino Linotype" w:hAnsi="Palatino Linotype"/>
                      <w:i/>
                    </w:rPr>
                    <w:t>Studies </w:t>
                  </w:r>
                  <w:r>
                    <w:rPr/>
                    <w:t>20.1, pp. 1–23.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ISSN: 1598-2408, 2234-6643. DOI: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10.1017/jea.2019.41.</w:t>
                  </w:r>
                </w:p>
                <w:p>
                  <w:pPr>
                    <w:pStyle w:val="BodyText"/>
                    <w:spacing w:before="144"/>
                    <w:jc w:val="both"/>
                  </w:pPr>
                  <w:r>
                    <w:rPr/>
                    <w:t>Hu,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6"/>
                    </w:rPr>
                    <w:t>Yue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(2019a).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“Are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Informal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Education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Facilities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Generating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Political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Support?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76.310486pt;width:96.8pt;height:72pt;mso-position-horizontal-relative:page;mso-position-vertical-relative:page;z-index:-8320" type="#_x0000_t202" filled="false" stroked="false">
            <v:textbox inset="0,0,0,0">
              <w:txbxContent>
                <w:p>
                  <w:pPr>
                    <w:pStyle w:val="BodyText"/>
                    <w:spacing w:line="328" w:lineRule="auto" w:before="64"/>
                  </w:pPr>
                  <w:r>
                    <w:rPr/>
                    <w:t>A Spatial Analysis”. 10.1111/ssqu.12589.</w:t>
                  </w:r>
                </w:p>
                <w:p>
                  <w:pPr>
                    <w:pStyle w:val="BodyText"/>
                    <w:spacing w:before="121"/>
                  </w:pPr>
                  <w:r>
                    <w:rPr/>
                    <w:t>Hu, Yue (2019b).</w:t>
                  </w:r>
                </w:p>
                <w:p>
                  <w:pPr>
                    <w:pStyle w:val="BodyText"/>
                  </w:pPr>
                  <w:r>
                    <w:rPr/>
                    <w:t>Political Language”.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915497pt;margin-top:576.310486pt;width:369.05pt;height:16.9pt;mso-position-horizontal-relative:page;mso-position-vertical-relative:page;z-index:-8296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En. In: </w:t>
                  </w:r>
                  <w:r>
                    <w:rPr>
                      <w:rFonts w:ascii="Palatino Linotype" w:hAnsi="Palatino Linotype"/>
                      <w:i/>
                      <w:sz w:val="21"/>
                    </w:rPr>
                    <w:t>Social Science Quarterly </w:t>
                  </w:r>
                  <w:r>
                    <w:rPr>
                      <w:sz w:val="21"/>
                    </w:rPr>
                    <w:t>100.3, pp. 701–724. ISSN: 1540-6237. DOI: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17007pt;margin-top:615.047485pt;width:367.55pt;height:16.9pt;mso-position-horizontal-relative:page;mso-position-vertical-relative:page;z-index:-82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74" w:val="left" w:leader="none"/>
                    </w:tabs>
                    <w:spacing w:before="64"/>
                  </w:pPr>
                  <w:r>
                    <w:rPr/>
                    <w:t>“Refocusing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Democracy:</w:t>
                    <w:tab/>
                    <w:t>The Chinese Government’s </w:t>
                  </w:r>
                  <w:r>
                    <w:rPr>
                      <w:spacing w:val="-3"/>
                    </w:rPr>
                    <w:t>Framing </w:t>
                  </w:r>
                  <w:r>
                    <w:rPr/>
                    <w:t>Strategy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21051pt;margin-top:631.42749pt;width:17.9pt;height:16.9pt;mso-position-horizontal-relative:page;mso-position-vertical-relative:page;z-index:-8248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/>
                    <w:t>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492508pt;margin-top:631.42749pt;width:197.4pt;height:16.9pt;mso-position-horizontal-relative:page;mso-position-vertical-relative:page;z-index:-8224" type="#_x0000_t202" filled="false" stroked="false">
            <v:textbox inset="0,0,0,0">
              <w:txbxContent>
                <w:p>
                  <w:pPr>
                    <w:tabs>
                      <w:tab w:pos="493" w:val="left" w:leader="none"/>
                    </w:tabs>
                    <w:spacing w:before="3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In:</w:t>
                    <w:tab/>
                  </w:r>
                  <w:r>
                    <w:rPr>
                      <w:rFonts w:ascii="Palatino Linotype" w:hAnsi="Palatino Linotype"/>
                      <w:i/>
                      <w:sz w:val="21"/>
                    </w:rPr>
                    <w:t>Democratization </w:t>
                  </w:r>
                  <w:r>
                    <w:rPr>
                      <w:sz w:val="21"/>
                    </w:rPr>
                    <w:t>72.2, pp.</w:t>
                  </w:r>
                  <w:r>
                    <w:rPr>
                      <w:spacing w:val="4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302–320.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97516pt;margin-top:631.42749pt;width:83.4pt;height:16.9pt;mso-position-horizontal-relative:page;mso-position-vertical-relative:page;z-index:-8200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/>
                    <w:t>ISSN: 1351-0347.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099487pt;margin-top:631.42749pt;width:24.9pt;height:16.9pt;mso-position-horizontal-relative:page;mso-position-vertical-relative:page;z-index:-8176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/>
                    <w:t>DOI: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47.807495pt;width:470pt;height:72pt;mso-position-horizontal-relative:page;mso-position-vertical-relative:page;z-index:-8152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/>
                    <w:t>10.1080/13510347.2019.1690461.</w:t>
                  </w:r>
                </w:p>
                <w:p>
                  <w:pPr>
                    <w:pStyle w:val="BodyText"/>
                    <w:spacing w:line="328" w:lineRule="exact" w:before="139"/>
                    <w:ind w:right="17"/>
                    <w:jc w:val="both"/>
                  </w:pPr>
                  <w:r>
                    <w:rPr/>
                    <w:t>Claypool, Vicki Hesli, William Reisinger, Marina Zaloznaya,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Hu, et al. (2018). </w:t>
                  </w:r>
                  <w:r>
                    <w:rPr>
                      <w:spacing w:val="-4"/>
                    </w:rPr>
                    <w:t>“Tsar </w:t>
                  </w:r>
                  <w:r>
                    <w:rPr/>
                    <w:t>Putin and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‘Corruption’ Thorn in His Side: The Demobilization of </w:t>
                  </w:r>
                  <w:r>
                    <w:rPr>
                      <w:spacing w:val="-4"/>
                    </w:rPr>
                    <w:t>Votes </w:t>
                  </w:r>
                  <w:r>
                    <w:rPr/>
                    <w:t>in a Competitive Authoritarian </w:t>
                  </w:r>
                  <w:r>
                    <w:rPr>
                      <w:spacing w:val="-4"/>
                    </w:rPr>
                    <w:t>Regime”.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  <w:spacing w:val="-3"/>
                    </w:rPr>
                    <w:t>Electoral </w:t>
                  </w:r>
                  <w:r>
                    <w:rPr>
                      <w:rFonts w:ascii="Palatino Linotype" w:hAnsi="Palatino Linotype"/>
                      <w:i/>
                    </w:rPr>
                    <w:t>Studies </w:t>
                  </w:r>
                  <w:r>
                    <w:rPr/>
                    <w:t>54, pp.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182–204.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419006pt;margin-top:741.58197pt;width:44.65pt;height:11.25pt;mso-position-horizontal-relative:page;mso-position-vertical-relative:page;z-index:-812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10"/>
                      <w:sz w:val="13"/>
                    </w:rPr>
                    <w:t>Yue Hu - 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810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30"/>
                      <w:sz w:val="13"/>
                    </w:rPr>
                    <w:t>1/</w:t>
                  </w:r>
                  <w:hyperlink w:history="true" w:anchor="_bookmark0">
                    <w:r>
                      <w:rPr>
                        <w:rFonts w:ascii="Palatino Linotype"/>
                        <w:w w:val="130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76.091980pt;width:198.4pt;height:12pt;mso-position-horizontal-relative:page;mso-position-vertical-relative:page;z-index:-80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890015pt;margin-top:76.091980pt;width:19.55pt;height:12pt;mso-position-horizontal-relative:page;mso-position-vertical-relative:page;z-index:-80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3.764008pt;margin-top:76.091980pt;width:206.25pt;height:12pt;mso-position-horizontal-relative:page;mso-position-vertical-relative:page;z-index:-80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120.016998pt;width:468pt;height:12pt;mso-position-horizontal-relative:page;mso-position-vertical-relative:page;z-index:-80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220" w:bottom="280" w:left="1200" w:right="1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69.129501pt;width:469.95pt;height:198.65pt;mso-position-horizontal-relative:page;mso-position-vertical-relative:page;z-index:-7984" type="#_x0000_t202" filled="false" stroked="false">
            <v:textbox inset="0,0,0,0">
              <w:txbxContent>
                <w:p>
                  <w:pPr>
                    <w:pStyle w:val="BodyText"/>
                    <w:spacing w:line="302" w:lineRule="auto" w:before="64"/>
                    <w:ind w:right="17"/>
                    <w:jc w:val="both"/>
                  </w:pPr>
                  <w:r>
                    <w:rPr/>
                    <w:t>Solt, Frederick, Yue Hu, Kevan Hudson, Jungmin Song, et al. (2017). “Economic Inequality and Class Consciousness”. En. In: </w:t>
                  </w:r>
                  <w:r>
                    <w:rPr>
                      <w:rFonts w:ascii="Palatino Linotype" w:hAnsi="Palatino Linotype"/>
                      <w:i/>
                    </w:rPr>
                    <w:t>The Journal of Politics </w:t>
                  </w:r>
                  <w:r>
                    <w:rPr/>
                    <w:t>79.3, pp. 1079–1083. ISSN: 0022-3816, 1468-2508. DOI: 10.1086/690971.</w:t>
                  </w:r>
                </w:p>
                <w:p>
                  <w:pPr>
                    <w:pStyle w:val="BodyText"/>
                    <w:spacing w:line="302" w:lineRule="auto" w:before="144"/>
                    <w:ind w:right="17"/>
                    <w:jc w:val="both"/>
                  </w:pPr>
                  <w:r>
                    <w:rPr/>
                    <w:t>Solt, </w:t>
                  </w:r>
                  <w:r>
                    <w:rPr>
                      <w:spacing w:val="-3"/>
                    </w:rPr>
                    <w:t>Frederick,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Hu, </w:t>
                  </w:r>
                  <w:r>
                    <w:rPr>
                      <w:spacing w:val="-3"/>
                    </w:rPr>
                    <w:t>Kevan </w:t>
                  </w:r>
                  <w:r>
                    <w:rPr/>
                    <w:t>Hudson, Jungmin Song, et al. (2016).  “Economic Inequality and Belief in Meritocracy in the United </w:t>
                  </w:r>
                  <w:r>
                    <w:rPr>
                      <w:spacing w:val="-4"/>
                    </w:rPr>
                    <w:t>States”.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  <w:spacing w:val="-5"/>
                    </w:rPr>
                    <w:t>Research </w:t>
                  </w:r>
                  <w:r>
                    <w:rPr>
                      <w:rFonts w:ascii="Palatino Linotype" w:hAnsi="Palatino Linotype"/>
                      <w:i/>
                    </w:rPr>
                    <w:t>&amp; Politics </w:t>
                  </w:r>
                  <w:r>
                    <w:rPr/>
                    <w:t>3.4, pp. 1–7. DOI: </w:t>
                  </w:r>
                  <w:r>
                    <w:rPr>
                      <w:w w:val="95"/>
                    </w:rPr>
                    <w:t>10.1177/2053168016672101. eprint:</w:t>
                  </w:r>
                  <w:r>
                    <w:rPr>
                      <w:spacing w:val="15"/>
                      <w:w w:val="95"/>
                    </w:rPr>
                    <w:t> </w:t>
                  </w:r>
                  <w:hyperlink r:id="rId8">
                    <w:r>
                      <w:rPr>
                        <w:color w:val="0000FF"/>
                        <w:w w:val="95"/>
                      </w:rPr>
                      <w:t>http://rap.sagepub.com/content/3/4/2053168016672101.full.pdf</w:t>
                    </w:r>
                  </w:hyperlink>
                  <w:r>
                    <w:rPr>
                      <w:w w:val="95"/>
                    </w:rPr>
                    <w:t>.</w:t>
                  </w:r>
                </w:p>
                <w:p>
                  <w:pPr>
                    <w:pStyle w:val="BodyText"/>
                    <w:spacing w:line="302" w:lineRule="auto" w:before="144"/>
                    <w:ind w:right="17"/>
                    <w:jc w:val="both"/>
                  </w:pPr>
                  <w:r>
                    <w:rPr/>
                    <w:t>Tang, Wenfang, Yue Hu, and Shuai Jin (2016). “Aﬀirmative Inaction: Language Education and Labor Mobility among China’s Muslim Minorities”. En. In: </w:t>
                  </w:r>
                  <w:r>
                    <w:rPr>
                      <w:rFonts w:ascii="Palatino Linotype" w:hAnsi="Palatino Linotype"/>
                      <w:i/>
                    </w:rPr>
                    <w:t>Chinese Sociological Review </w:t>
                  </w:r>
                  <w:r>
                    <w:rPr/>
                    <w:t>48.4, pp. 346–366.</w:t>
                  </w:r>
                </w:p>
                <w:p>
                  <w:pPr>
                    <w:pStyle w:val="BodyText"/>
                    <w:spacing w:line="302" w:lineRule="auto" w:before="117"/>
                    <w:ind w:right="17"/>
                    <w:jc w:val="both"/>
                  </w:pPr>
                  <w:r>
                    <w:rPr/>
                    <w:t>Hu, Yue (2013). “Institutional Difference and Cultural Difference: A Comparative Study of Canadian and Chinese Cultural Diplomacy”. En. In: </w:t>
                  </w:r>
                  <w:r>
                    <w:rPr>
                      <w:rFonts w:ascii="Palatino Linotype" w:hAnsi="Palatino Linotype"/>
                      <w:i/>
                    </w:rPr>
                    <w:t>Journal of American-East Asian Relations </w:t>
                  </w:r>
                  <w:r>
                    <w:rPr/>
                    <w:t>20.2-3, pp. 256– 268. DOI: 10.1163/18765610-02003011.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577003pt;margin-top:288.624512pt;width:475.4pt;height:176.25pt;mso-position-horizontal-relative:page;mso-position-vertical-relative:page;z-index:-7960" type="#_x0000_t202" filled="false" stroked="false">
            <v:textbox inset="0,0,0,0">
              <w:txbxContent>
                <w:p>
                  <w:pPr>
                    <w:spacing w:before="35"/>
                    <w:ind w:left="128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bookmarkStart w:name="Journal Articles in Chinese" w:id="8"/>
                  <w:bookmarkEnd w:id="8"/>
                  <w:r>
                    <w:rPr/>
                  </w: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Journal Articles in Chinese</w:t>
                  </w:r>
                </w:p>
                <w:p>
                  <w:pPr>
                    <w:spacing w:line="297" w:lineRule="auto" w:before="73"/>
                    <w:ind w:left="128" w:right="17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Yue Hu and Yuchao Zhu. “ ‘Issue-Oriented’ vs. ‘Ism-Oriented’: Indigenizing Political Science in China?”.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Tianjin  Social  Science </w:t>
                  </w:r>
                  <w:r>
                    <w:rPr>
                      <w:sz w:val="21"/>
                    </w:rPr>
                    <w:t>3 (2011),  pp. 46-50.  (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胡悦和朱毓朝：《</w:t>
                  </w:r>
                  <w:r>
                    <w:rPr>
                      <w:sz w:val="21"/>
                    </w:rPr>
                    <w:t>“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问题与主义</w:t>
                  </w:r>
                  <w:r>
                    <w:rPr>
                      <w:sz w:val="21"/>
                    </w:rPr>
                    <w:t>”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导向之争</w:t>
                  </w:r>
                  <w:r>
                    <w:rPr>
                      <w:sz w:val="21"/>
                    </w:rPr>
                    <w:t>: 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西方比较政治学沿革及其借鉴意义》，载《天津社会科学》，</w:t>
                  </w:r>
                  <w:r>
                    <w:rPr>
                      <w:sz w:val="21"/>
                    </w:rPr>
                    <w:t>2011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年第 </w:t>
                  </w:r>
                  <w:r>
                    <w:rPr>
                      <w:sz w:val="21"/>
                    </w:rPr>
                    <w:t>3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期，第 </w:t>
                  </w:r>
                  <w:r>
                    <w:rPr>
                      <w:sz w:val="21"/>
                    </w:rPr>
                    <w:t>46-50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页。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spacing w:line="295" w:lineRule="auto" w:before="109"/>
                    <w:ind w:left="128" w:right="17" w:firstLine="0"/>
                    <w:jc w:val="left"/>
                    <w:rPr>
                      <w:rFonts w:ascii="宋体" w:hAnsi="宋体" w:eastAsia="宋体" w:hint="eastAsia"/>
                      <w:sz w:val="20"/>
                    </w:rPr>
                  </w:pPr>
                  <w:r>
                    <w:rPr>
                      <w:spacing w:val="-3"/>
                      <w:sz w:val="21"/>
                    </w:rPr>
                    <w:t>Tongshun </w:t>
                  </w:r>
                  <w:r>
                    <w:rPr>
                      <w:sz w:val="21"/>
                    </w:rPr>
                    <w:t>Cheng and </w:t>
                  </w:r>
                  <w:r>
                    <w:rPr>
                      <w:spacing w:val="-6"/>
                      <w:sz w:val="21"/>
                    </w:rPr>
                    <w:t>Yue  </w:t>
                  </w:r>
                  <w:r>
                    <w:rPr>
                      <w:sz w:val="21"/>
                    </w:rPr>
                    <w:t>Hu.  “The  Cultural  Props  of  </w:t>
                  </w:r>
                  <w:r>
                    <w:rPr>
                      <w:spacing w:val="-3"/>
                      <w:sz w:val="21"/>
                    </w:rPr>
                    <w:t>Foreign  </w:t>
                  </w:r>
                  <w:r>
                    <w:rPr>
                      <w:spacing w:val="-5"/>
                      <w:sz w:val="21"/>
                    </w:rPr>
                    <w:t>Policy”.  </w:t>
                  </w:r>
                  <w:r>
                    <w:rPr>
                      <w:rFonts w:ascii="Palatino Linotype" w:hAnsi="Palatino Linotype" w:eastAsia="Palatino Linotype"/>
                      <w:i/>
                      <w:spacing w:val="-3"/>
                      <w:sz w:val="21"/>
                    </w:rPr>
                    <w:t>Tribune 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of  Study  </w:t>
                  </w:r>
                  <w:r>
                    <w:rPr>
                      <w:sz w:val="21"/>
                    </w:rPr>
                    <w:t>(2010), pp.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33–37.</w:t>
                  </w:r>
                  <w:r>
                    <w:rPr>
                      <w:spacing w:val="-1"/>
                      <w:sz w:val="21"/>
                    </w:rPr>
                    <w:t> (</w:t>
                  </w:r>
                  <w:r>
                    <w:rPr>
                      <w:rFonts w:ascii="宋体" w:hAnsi="宋体" w:eastAsia="宋体" w:hint="eastAsia"/>
                      <w:spacing w:val="-14"/>
                      <w:sz w:val="20"/>
                    </w:rPr>
                    <w:t>程同顺和胡悦：《对外政策的文化道具：浅析文明冲突论的工具性》，载《学习论坛》</w:t>
                  </w:r>
                  <w:r>
                    <w:rPr>
                      <w:sz w:val="21"/>
                    </w:rPr>
                    <w:t>2010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rFonts w:ascii="宋体" w:hAnsi="宋体" w:eastAsia="宋体" w:hint="eastAsia"/>
                      <w:spacing w:val="-7"/>
                      <w:sz w:val="20"/>
                    </w:rPr>
                    <w:t>年第</w:t>
                  </w:r>
                </w:p>
                <w:p>
                  <w:pPr>
                    <w:spacing w:before="12"/>
                    <w:ind w:left="12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26 </w:t>
                  </w:r>
                  <w:r>
                    <w:rPr>
                      <w:rFonts w:ascii="宋体" w:eastAsia="宋体" w:hint="eastAsia"/>
                      <w:sz w:val="20"/>
                    </w:rPr>
                    <w:t>期，第 </w:t>
                  </w:r>
                  <w:r>
                    <w:rPr>
                      <w:sz w:val="21"/>
                    </w:rPr>
                    <w:t>33-37 </w:t>
                  </w:r>
                  <w:r>
                    <w:rPr>
                      <w:rFonts w:ascii="宋体" w:eastAsia="宋体" w:hint="eastAsia"/>
                      <w:sz w:val="20"/>
                    </w:rPr>
                    <w:t>页。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spacing w:line="278" w:lineRule="auto" w:before="171"/>
                    <w:ind w:left="128" w:right="17" w:firstLine="0"/>
                    <w:jc w:val="left"/>
                    <w:rPr>
                      <w:rFonts w:ascii="宋体" w:hAnsi="宋体" w:eastAsia="宋体" w:hint="eastAsia"/>
                      <w:sz w:val="20"/>
                    </w:rPr>
                  </w:pP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Hu. “An Analysis of Politics Fixed Position of CPPCC from the Political Scientific </w:t>
                  </w:r>
                  <w:r>
                    <w:rPr>
                      <w:spacing w:val="-5"/>
                      <w:sz w:val="21"/>
                    </w:rPr>
                    <w:t>Angle”.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Journal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of</w:t>
                  </w:r>
                  <w:r>
                    <w:rPr>
                      <w:rFonts w:ascii="Palatino Linotype" w:hAnsi="Palatino Linotype" w:eastAsia="Palatino Linotype"/>
                      <w:i/>
                      <w:spacing w:val="45"/>
                      <w:sz w:val="21"/>
                    </w:rPr>
                    <w:t>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Tianjin</w:t>
                  </w:r>
                  <w:r>
                    <w:rPr>
                      <w:rFonts w:ascii="Palatino Linotype" w:hAnsi="Palatino Linotype" w:eastAsia="Palatino Linotype"/>
                      <w:i/>
                      <w:spacing w:val="45"/>
                      <w:sz w:val="21"/>
                    </w:rPr>
                    <w:t>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Institute</w:t>
                  </w:r>
                  <w:r>
                    <w:rPr>
                      <w:rFonts w:ascii="Palatino Linotype" w:hAnsi="Palatino Linotype" w:eastAsia="Palatino Linotype"/>
                      <w:i/>
                      <w:spacing w:val="45"/>
                      <w:sz w:val="21"/>
                    </w:rPr>
                    <w:t>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of</w:t>
                  </w:r>
                  <w:r>
                    <w:rPr>
                      <w:rFonts w:ascii="Palatino Linotype" w:hAnsi="Palatino Linotype" w:eastAsia="Palatino Linotype"/>
                      <w:i/>
                      <w:spacing w:val="46"/>
                      <w:sz w:val="21"/>
                    </w:rPr>
                    <w:t> </w:t>
                  </w:r>
                  <w:r>
                    <w:rPr>
                      <w:rFonts w:ascii="Palatino Linotype" w:hAnsi="Palatino Linotype" w:eastAsia="Palatino Linotype"/>
                      <w:i/>
                      <w:sz w:val="21"/>
                    </w:rPr>
                    <w:t>Socialism</w:t>
                  </w:r>
                  <w:r>
                    <w:rPr>
                      <w:rFonts w:ascii="Palatino Linotype" w:hAnsi="Palatino Linotype" w:eastAsia="Palatino Linotype"/>
                      <w:i/>
                      <w:spacing w:val="4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(2009),</w:t>
                  </w:r>
                  <w:r>
                    <w:rPr>
                      <w:spacing w:val="4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pp.</w:t>
                  </w:r>
                  <w:r>
                    <w:rPr>
                      <w:spacing w:val="4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19–23.</w:t>
                  </w:r>
                  <w:r>
                    <w:rPr>
                      <w:spacing w:val="21"/>
                      <w:sz w:val="21"/>
                    </w:rPr>
                    <w:t> (</w:t>
                  </w:r>
                  <w:r>
                    <w:rPr>
                      <w:rFonts w:ascii="宋体" w:hAnsi="宋体" w:eastAsia="宋体" w:hint="eastAsia"/>
                      <w:spacing w:val="-4"/>
                      <w:sz w:val="20"/>
                    </w:rPr>
                    <w:t>《从政治科学角度分析人民政协的政治定位》，载</w:t>
                  </w:r>
                </w:p>
                <w:p>
                  <w:pPr>
                    <w:spacing w:before="18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《天津市社会主义学院学报》</w:t>
                  </w:r>
                  <w:r>
                    <w:rPr>
                      <w:sz w:val="21"/>
                    </w:rPr>
                    <w:t>2009 </w:t>
                  </w:r>
                  <w:r>
                    <w:rPr>
                      <w:rFonts w:ascii="宋体" w:eastAsia="宋体" w:hint="eastAsia"/>
                      <w:sz w:val="20"/>
                    </w:rPr>
                    <w:t>年第 </w:t>
                  </w:r>
                  <w:r>
                    <w:rPr>
                      <w:sz w:val="21"/>
                    </w:rPr>
                    <w:t>1 </w:t>
                  </w:r>
                  <w:r>
                    <w:rPr>
                      <w:rFonts w:ascii="宋体" w:eastAsia="宋体" w:hint="eastAsia"/>
                      <w:sz w:val="20"/>
                    </w:rPr>
                    <w:t>期，第 </w:t>
                  </w:r>
                  <w:r>
                    <w:rPr>
                      <w:sz w:val="21"/>
                    </w:rPr>
                    <w:t>19-23 </w:t>
                  </w:r>
                  <w:r>
                    <w:rPr>
                      <w:rFonts w:ascii="宋体" w:eastAsia="宋体" w:hint="eastAsia"/>
                      <w:sz w:val="20"/>
                    </w:rPr>
                    <w:t>页。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85.741486pt;width:470pt;height:176.25pt;mso-position-horizontal-relative:page;mso-position-vertical-relative:page;z-index:-7936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bookmarkStart w:name="Software" w:id="9"/>
                  <w:bookmarkEnd w:id="9"/>
                  <w:r>
                    <w:rPr/>
                  </w: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Software</w:t>
                  </w:r>
                </w:p>
                <w:p>
                  <w:pPr>
                    <w:spacing w:line="314" w:lineRule="auto" w:before="45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Frederick and Yue Hu (2016). </w:t>
                  </w:r>
                  <w:r>
                    <w:rPr>
                      <w:rFonts w:ascii="Palatino Linotype"/>
                      <w:i/>
                      <w:sz w:val="21"/>
                    </w:rPr>
                    <w:t>Pewdata: Reproducible Retrieval of Pew Research Center Datasets</w:t>
                  </w:r>
                  <w:r>
                    <w:rPr>
                      <w:sz w:val="21"/>
                    </w:rPr>
                    <w:t>. Available at The Comprehensive R Archive Network (CRAN). </w:t>
                  </w:r>
                  <w:hyperlink r:id="rId9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r>
                    <w:rPr>
                      <w:color w:val="0000FF"/>
                      <w:sz w:val="21"/>
                    </w:rPr>
                    <w:t> </w:t>
                  </w:r>
                  <w:hyperlink r:id="rId9">
                    <w:r>
                      <w:rPr>
                        <w:color w:val="0000FF"/>
                        <w:sz w:val="21"/>
                      </w:rPr>
                      <w:t>pewdata</w:t>
                    </w:r>
                  </w:hyperlink>
                  <w:r>
                    <w:rPr>
                      <w:sz w:val="21"/>
                    </w:rPr>
                    <w:t>.</w:t>
                  </w:r>
                </w:p>
                <w:p>
                  <w:pPr>
                    <w:spacing w:line="312" w:lineRule="auto" w:before="106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</w:t>
                  </w:r>
                  <w:r>
                    <w:rPr>
                      <w:spacing w:val="-3"/>
                      <w:sz w:val="21"/>
                    </w:rPr>
                    <w:t>Frederick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 (2015a).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Dotwhisker: Dot-and-Whisker  Plots  of  </w:t>
                  </w:r>
                  <w:r>
                    <w:rPr>
                      <w:rFonts w:ascii="Palatino Linotype" w:eastAsia="Palatino Linotype"/>
                      <w:i/>
                      <w:spacing w:val="-4"/>
                      <w:sz w:val="21"/>
                    </w:rPr>
                    <w:t>Regression 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Results</w:t>
                  </w:r>
                  <w:r>
                    <w:rPr>
                      <w:sz w:val="21"/>
                    </w:rPr>
                    <w:t>.  </w:t>
                  </w:r>
                  <w:r>
                    <w:rPr>
                      <w:spacing w:val="-5"/>
                      <w:sz w:val="21"/>
                    </w:rPr>
                    <w:t>Available </w:t>
                  </w:r>
                  <w:r>
                    <w:rPr>
                      <w:sz w:val="21"/>
                    </w:rPr>
                    <w:t>at The Comprehensive R Archive Network (CRAN). </w:t>
                  </w:r>
                  <w:hyperlink r:id="rId10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r>
                    <w:rPr>
                      <w:color w:val="0000FF"/>
                      <w:sz w:val="21"/>
                    </w:rPr>
                    <w:t> </w:t>
                  </w:r>
                  <w:hyperlink r:id="rId10">
                    <w:r>
                      <w:rPr>
                        <w:color w:val="0000FF"/>
                        <w:sz w:val="21"/>
                      </w:rPr>
                      <w:t>dotwhisker </w:t>
                    </w:r>
                  </w:hyperlink>
                  <w:r>
                    <w:rPr>
                      <w:sz w:val="21"/>
                    </w:rPr>
                    <w:t>(visited on 9 </w:t>
                  </w:r>
                  <w:r>
                    <w:rPr>
                      <w:rFonts w:asci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. 20,</w:t>
                  </w:r>
                  <w:r>
                    <w:rPr>
                      <w:spacing w:val="-2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2016).</w:t>
                  </w:r>
                </w:p>
                <w:p>
                  <w:pPr>
                    <w:spacing w:line="328" w:lineRule="exact" w:before="49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</w:t>
                  </w:r>
                  <w:r>
                    <w:rPr>
                      <w:spacing w:val="-3"/>
                      <w:sz w:val="21"/>
                    </w:rPr>
                    <w:t>Frederick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 (2015b).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Interplot: Plot the Effects of Variables  in  Interaction  </w:t>
                  </w:r>
                  <w:r>
                    <w:rPr>
                      <w:rFonts w:ascii="Palatino Linotype" w:eastAsia="Palatino Linotype"/>
                      <w:i/>
                      <w:spacing w:val="-3"/>
                      <w:sz w:val="21"/>
                    </w:rPr>
                    <w:t>Terms</w:t>
                  </w:r>
                  <w:r>
                    <w:rPr>
                      <w:spacing w:val="-3"/>
                      <w:sz w:val="21"/>
                    </w:rPr>
                    <w:t>.  </w:t>
                  </w:r>
                  <w:r>
                    <w:rPr>
                      <w:spacing w:val="-5"/>
                      <w:sz w:val="21"/>
                    </w:rPr>
                    <w:t>Available </w:t>
                  </w:r>
                  <w:r>
                    <w:rPr>
                      <w:sz w:val="21"/>
                    </w:rPr>
                    <w:t>at The Comprehensive R Archive Network (CRAN). </w:t>
                  </w:r>
                  <w:hyperlink r:id="rId11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r>
                    <w:rPr>
                      <w:color w:val="0000FF"/>
                      <w:sz w:val="21"/>
                    </w:rPr>
                    <w:t> </w:t>
                  </w:r>
                  <w:hyperlink r:id="rId11">
                    <w:r>
                      <w:rPr>
                        <w:color w:val="0000FF"/>
                        <w:sz w:val="21"/>
                      </w:rPr>
                      <w:t>interplot </w:t>
                    </w:r>
                  </w:hyperlink>
                  <w:r>
                    <w:rPr>
                      <w:sz w:val="21"/>
                    </w:rPr>
                    <w:t>(visited on 9 </w:t>
                  </w:r>
                  <w:r>
                    <w:rPr>
                      <w:rFonts w:asci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. 19,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2016).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79.382019pt;width:79.45pt;height:36.1pt;mso-position-horizontal-relative:page;mso-position-vertical-relative:page;z-index:-7912" type="#_x0000_t202" filled="false" stroked="false">
            <v:textbox inset="0,0,0,0">
              <w:txbxContent>
                <w:p>
                  <w:pPr>
                    <w:spacing w:before="73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bookmarkStart w:name="Invited Talks" w:id="10"/>
                  <w:bookmarkEnd w:id="10"/>
                  <w:r>
                    <w:rPr/>
                  </w:r>
                  <w:r>
                    <w:rPr>
                      <w:b/>
                      <w:sz w:val="24"/>
                    </w:rPr>
                    <w:t>Invited</w:t>
                  </w:r>
                  <w:r>
                    <w:rPr>
                      <w:b/>
                      <w:spacing w:val="-26"/>
                      <w:sz w:val="24"/>
                    </w:rPr>
                    <w:t> </w:t>
                  </w:r>
                  <w:r>
                    <w:rPr>
                      <w:b/>
                      <w:spacing w:val="-5"/>
                      <w:sz w:val="24"/>
                    </w:rPr>
                    <w:t>Talks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2018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419006pt;margin-top:741.58197pt;width:44.65pt;height:11.25pt;mso-position-horizontal-relative:page;mso-position-vertical-relative:page;z-index:-788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10"/>
                      <w:sz w:val="13"/>
                    </w:rPr>
                    <w:t>Yue Hu - 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86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30"/>
                      <w:sz w:val="13"/>
                    </w:rPr>
                    <w:t>2/</w:t>
                  </w:r>
                  <w:hyperlink w:history="true" w:anchor="_bookmark0">
                    <w:r>
                      <w:rPr>
                        <w:rFonts w:ascii="Palatino Linotype"/>
                        <w:w w:val="130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380" w:bottom="280" w:left="1200" w:right="1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69.129501pt;width:470pt;height:642.8pt;mso-position-horizontal-relative:page;mso-position-vertical-relative:page;z-index:-7840" type="#_x0000_t202" filled="false" stroked="false">
            <v:textbox inset="0,0,0,0">
              <w:txbxContent>
                <w:p>
                  <w:pPr>
                    <w:pStyle w:val="BodyText"/>
                    <w:spacing w:line="328" w:lineRule="auto" w:before="64"/>
                    <w:ind w:left="650"/>
                  </w:pPr>
                  <w:r>
                    <w:rPr/>
                    <w:t>“Culture Marker vs. Authority Marker: How Does Language Attitude Affect Political Trust?” Sun Yat-Sen University, Guangzhou, Jan., 3.</w:t>
                  </w:r>
                </w:p>
                <w:p>
                  <w:pPr>
                    <w:pStyle w:val="BodyText"/>
                    <w:spacing w:before="1"/>
                    <w:ind w:left="335"/>
                  </w:pPr>
                  <w:r>
                    <w:rPr/>
                    <w:t>2017</w:t>
                  </w:r>
                </w:p>
                <w:p>
                  <w:pPr>
                    <w:pStyle w:val="BodyText"/>
                    <w:spacing w:line="328" w:lineRule="auto"/>
                    <w:ind w:left="650"/>
                  </w:pPr>
                  <w:r>
                    <w:rPr/>
                    <w:t>“Investigating Inequality with Real-Life Data: Research Strategies and Methods.” Nankai Uni-</w:t>
                  </w:r>
                  <w:bookmarkStart w:name="Conferences" w:id="11"/>
                  <w:bookmarkEnd w:id="11"/>
                  <w:r>
                    <w:rPr/>
                  </w:r>
                  <w:r>
                    <w:rPr/>
                    <w:t> versity, Tianjin, Jun., 25.</w:t>
                  </w:r>
                </w:p>
                <w:p>
                  <w:pPr>
                    <w:spacing w:before="41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Conferences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2019</w:t>
                  </w:r>
                </w:p>
                <w:p>
                  <w:pPr>
                    <w:pStyle w:val="BodyText"/>
                    <w:ind w:left="650"/>
                  </w:pPr>
                  <w:r>
                    <w:rPr/>
                    <w:t>“Breaking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Linguistic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Barrier: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Role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Migration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Decisions.”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American Political Science Association (APSA) Annual Meeting, Washington D.C., Aug. 29–Sep. 01.</w:t>
                  </w:r>
                </w:p>
                <w:p>
                  <w:pPr>
                    <w:pStyle w:val="BodyText"/>
                    <w:spacing w:before="103"/>
                    <w:ind w:left="650"/>
                  </w:pPr>
                  <w:r>
                    <w:rPr/>
                    <w:t>“Visualization and Going Against P-Hacking.”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China R Conference, Beijing, May 25–26.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2018</w:t>
                  </w:r>
                </w:p>
                <w:p>
                  <w:pPr>
                    <w:pStyle w:val="BodyText"/>
                    <w:ind w:left="650"/>
                  </w:pPr>
                  <w:r>
                    <w:rPr/>
                    <w:t>“Measuring the Influence of Language in Political Science Research.”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/>
                      <w:sz w:val="15"/>
                    </w:rPr>
                  </w:pPr>
                  <w:r>
                    <w:rPr>
                      <w:rFonts w:ascii="Century"/>
                      <w:sz w:val="15"/>
                    </w:rPr>
                    <w:t>St. Louis Area Methods Meeting (SLAMM), Ames, Iowa, Apr. 20.</w:t>
                  </w:r>
                </w:p>
                <w:p>
                  <w:pPr>
                    <w:pStyle w:val="BodyText"/>
                    <w:spacing w:before="103"/>
                    <w:ind w:left="650"/>
                  </w:pPr>
                  <w:r>
                    <w:rPr/>
                    <w:t>“Rebuilding the Tower of Babel? The Influence of Language Policy on Political Trust.”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Convention, Chicago, Illinois, Apr. 5–8.</w:t>
                  </w:r>
                </w:p>
                <w:p>
                  <w:pPr>
                    <w:pStyle w:val="BodyText"/>
                    <w:spacing w:before="103"/>
                    <w:ind w:left="335"/>
                  </w:pPr>
                  <w:r>
                    <w:rPr/>
                    <w:t>2017</w:t>
                  </w:r>
                </w:p>
                <w:p>
                  <w:pPr>
                    <w:pStyle w:val="BodyText"/>
                    <w:ind w:left="650"/>
                  </w:pPr>
                  <w:r>
                    <w:rPr/>
                    <w:t>“Cultural Accent vs. Authority Accent: How Does Language Attitude Affect Political Trust.”</w:t>
                  </w:r>
                </w:p>
                <w:p>
                  <w:pPr>
                    <w:spacing w:line="312" w:lineRule="auto" w:before="40"/>
                    <w:ind w:left="965" w:right="1501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Association of Chinese Political Science (ACPS) Annual Meeting, Tianjin, China, Jun., 9–11. Chinese Political Science and Methods Workshop, Shanghai, China, Jul., 8–9.</w:t>
                  </w:r>
                </w:p>
                <w:p>
                  <w:pPr>
                    <w:spacing w:line="179" w:lineRule="exact" w:before="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Political Culture, Psychology, and Behavior Research Workshop, Nanjing, China, Jul., 9–11.</w:t>
                  </w:r>
                </w:p>
                <w:p>
                  <w:pPr>
                    <w:pStyle w:val="BodyText"/>
                    <w:spacing w:line="320" w:lineRule="atLeast" w:before="21"/>
                    <w:ind w:left="650"/>
                  </w:pPr>
                  <w:r>
                    <w:rPr/>
                    <w:t>“The Weight of History: Explaining the Anti-Japanese Sentiments in the Chinese Circle” (with Amy Liu).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Convention, Chicago, Illinois, Apr. 7–9.</w:t>
                  </w:r>
                </w:p>
                <w:p>
                  <w:pPr>
                    <w:pStyle w:val="BodyText"/>
                    <w:spacing w:line="320" w:lineRule="atLeast" w:before="21"/>
                    <w:ind w:left="650"/>
                  </w:pPr>
                  <w:r>
                    <w:rPr/>
                    <w:t>“The Popularity of Political Propaganda in Modern China: A Model of Demands” (with Zijie Shao).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Convention, Chicago, Illinois, Apr. 7–9.</w:t>
                  </w:r>
                </w:p>
                <w:p>
                  <w:pPr>
                    <w:pStyle w:val="BodyText"/>
                    <w:spacing w:before="102"/>
                    <w:ind w:left="650"/>
                  </w:pPr>
                  <w:r>
                    <w:rPr/>
                    <w:t>“The Logic of Peaceful Rise” (with Ray Ou-Yang).</w:t>
                  </w:r>
                </w:p>
                <w:p>
                  <w:pPr>
                    <w:spacing w:line="312" w:lineRule="auto" w:before="40"/>
                    <w:ind w:left="965" w:right="1501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Convention, Chicago, Illinois, Apr. 7–9. International Studies Association (ISA) Annual Convention, Baltimore, Maryland, Feb. 22–25.</w:t>
                  </w:r>
                </w:p>
                <w:p>
                  <w:pPr>
                    <w:pStyle w:val="BodyText"/>
                    <w:spacing w:before="48"/>
                    <w:ind w:left="335"/>
                  </w:pPr>
                  <w:r>
                    <w:rPr/>
                    <w:t>2016</w:t>
                  </w:r>
                </w:p>
                <w:p>
                  <w:pPr>
                    <w:pStyle w:val="BodyText"/>
                    <w:spacing w:line="320" w:lineRule="atLeast" w:before="8"/>
                    <w:ind w:left="650"/>
                  </w:pPr>
                  <w:r>
                    <w:rPr/>
                    <w:t>“Measure Political Desirability: A List Experimental Method” (with Wenfang Tang); “Propaganda with Museums: A Spatial Analysis of Patriotic Educational Demonstration Bases in China”.</w:t>
                  </w:r>
                </w:p>
                <w:p>
                  <w:pPr>
                    <w:spacing w:before="55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Association of Chinese Political Science (ACPS) Annual Meeting, Monterey, California, Oct, 10–11.</w:t>
                  </w:r>
                </w:p>
                <w:p>
                  <w:pPr>
                    <w:pStyle w:val="BodyText"/>
                    <w:spacing w:line="320" w:lineRule="atLeast" w:before="21"/>
                    <w:ind w:left="650" w:right="13"/>
                  </w:pPr>
                  <w:r>
                    <w:rPr>
                      <w:spacing w:val="-3"/>
                    </w:rPr>
                    <w:t>“Value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Promotion,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Justification,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Mobilization?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Dynamic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Discourse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Democracy in Modern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</w:rPr>
                    <w:t>China.”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Century"/>
                      <w:sz w:val="15"/>
                    </w:rPr>
                  </w:pPr>
                  <w:r>
                    <w:rPr>
                      <w:rFonts w:ascii="Century"/>
                      <w:sz w:val="15"/>
                    </w:rPr>
                    <w:t>Midwest Political Science Association (MPSA) Annual Conference, Chicago, Apr., 7-10.</w:t>
                  </w:r>
                </w:p>
                <w:p>
                  <w:pPr>
                    <w:pStyle w:val="BodyText"/>
                    <w:spacing w:before="103"/>
                    <w:ind w:left="335"/>
                  </w:pPr>
                  <w:r>
                    <w:rPr/>
                    <w:t>2015</w:t>
                  </w:r>
                </w:p>
                <w:p>
                  <w:pPr>
                    <w:pStyle w:val="BodyText"/>
                    <w:spacing w:line="328" w:lineRule="auto"/>
                    <w:ind w:left="650"/>
                  </w:pPr>
                  <w:r>
                    <w:rPr/>
                    <w:t>“Aﬀirmative Inaction: Education, Social Mobility, and Ethnic Inequality in China” (with Wen- fang Tang and Shuai Jin).</w:t>
                  </w:r>
                </w:p>
                <w:p>
                  <w:pPr>
                    <w:pStyle w:val="BodyText"/>
                    <w:spacing w:before="1"/>
                    <w:ind w:left="650"/>
                  </w:pPr>
                  <w:r>
                    <w:rPr/>
                    <w:t>“Language and Political Trust.”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Conference, Chicago, Apr., 16–19.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419006pt;margin-top:741.58197pt;width:44.65pt;height:11.25pt;mso-position-horizontal-relative:page;mso-position-vertical-relative:page;z-index:-781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10"/>
                      <w:sz w:val="13"/>
                    </w:rPr>
                    <w:t>Yue Hu - 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79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30"/>
                      <w:sz w:val="13"/>
                    </w:rPr>
                    <w:t>3/</w:t>
                  </w:r>
                  <w:hyperlink w:history="true" w:anchor="_bookmark0">
                    <w:r>
                      <w:rPr>
                        <w:rFonts w:ascii="Palatino Linotype"/>
                        <w:w w:val="130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380" w:bottom="280" w:left="1200" w:right="1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69.129501pt;width:470pt;height:175.65pt;mso-position-horizontal-relative:page;mso-position-vertical-relative:page;z-index:-7768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  <w:ind w:left="335"/>
                  </w:pPr>
                  <w:bookmarkStart w:name="_bookmark0" w:id="12"/>
                  <w:bookmarkEnd w:id="12"/>
                  <w:r>
                    <w:rPr/>
                  </w:r>
                  <w:r>
                    <w:rPr/>
                    <w:t>2013</w:t>
                  </w:r>
                </w:p>
                <w:p>
                  <w:pPr>
                    <w:pStyle w:val="BodyText"/>
                    <w:spacing w:line="320" w:lineRule="atLeast" w:before="7"/>
                    <w:ind w:left="650"/>
                  </w:pPr>
                  <w:r>
                    <w:rPr/>
                    <w:t>“Connecting Nationalism and Political Transition:A Study of Nationalist Influence on Political Transition based on the China Case.”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Century"/>
                      <w:sz w:val="15"/>
                    </w:rPr>
                  </w:pPr>
                  <w:r>
                    <w:rPr>
                      <w:rFonts w:ascii="Century"/>
                      <w:sz w:val="15"/>
                    </w:rPr>
                    <w:t>University of South Carolina Inaugural Graduate Student Conference, Columbia, South Carolina.</w:t>
                  </w:r>
                </w:p>
                <w:p>
                  <w:pPr>
                    <w:pStyle w:val="BodyText"/>
                    <w:spacing w:before="103"/>
                    <w:ind w:left="335"/>
                  </w:pPr>
                  <w:r>
                    <w:rPr/>
                    <w:t>2012</w:t>
                  </w:r>
                </w:p>
                <w:p>
                  <w:pPr>
                    <w:pStyle w:val="BodyText"/>
                    <w:spacing w:line="320" w:lineRule="atLeast" w:before="7"/>
                    <w:ind w:left="650"/>
                  </w:pPr>
                  <w:r>
                    <w:rPr/>
                    <w:t>“Twofold-Affecting Model: A Cultural Pattern of Social Change from a Comparative Study between the China and Russia Cases.”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Century"/>
                      <w:sz w:val="15"/>
                    </w:rPr>
                  </w:pPr>
                  <w:bookmarkStart w:name="Researching Program" w:id="13"/>
                  <w:bookmarkEnd w:id="13"/>
                  <w:r>
                    <w:rPr/>
                  </w:r>
                  <w:r>
                    <w:rPr>
                      <w:rFonts w:ascii="Century"/>
                      <w:sz w:val="15"/>
                    </w:rPr>
                    <w:t>American Association for Chinese Studies (AACS) Annual Conference, Atlanta, Georgia, Oct. 12-14.</w:t>
                  </w:r>
                </w:p>
                <w:p>
                  <w:pPr>
                    <w:spacing w:before="142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Researching Program</w:t>
                  </w:r>
                </w:p>
                <w:p>
                  <w:pPr>
                    <w:pStyle w:val="BodyText"/>
                    <w:spacing w:line="320" w:lineRule="atLeast" w:before="21"/>
                    <w:ind w:left="335" w:right="5"/>
                  </w:pPr>
                  <w:r>
                    <w:rPr>
                      <w:spacing w:val="-4"/>
                    </w:rPr>
                    <w:t>Youth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National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Social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Science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Foundation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China: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Assessing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Improving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Political Ecology of Grassroots </w:t>
                  </w:r>
                  <w:r>
                    <w:rPr>
                      <w:spacing w:val="-3"/>
                    </w:rPr>
                    <w:t>Party </w:t>
                  </w:r>
                  <w:r>
                    <w:rPr/>
                    <w:t>Organizations (ID: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17CZZ041).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244.281494pt;width:307pt;height:351.55pt;mso-position-horizontal-relative:page;mso-position-vertical-relative:page;z-index:-7744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  <w:ind w:left="650"/>
                  </w:pPr>
                  <w:bookmarkStart w:name="Teaching Experience" w:id="14"/>
                  <w:bookmarkEnd w:id="14"/>
                  <w:r>
                    <w:rPr/>
                  </w:r>
                  <w:r>
                    <w:rPr/>
                    <w:t>Principal Investigator and Methodology Director</w:t>
                  </w:r>
                </w:p>
                <w:p>
                  <w:pPr>
                    <w:spacing w:before="128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bookmarkStart w:name="University of Tsinghua" w:id="15"/>
                  <w:bookmarkEnd w:id="15"/>
                  <w:r>
                    <w:rPr/>
                  </w:r>
                  <w:r>
                    <w:rPr>
                      <w:b/>
                      <w:sz w:val="24"/>
                    </w:rPr>
                    <w:t>Teaching Experience</w:t>
                  </w:r>
                </w:p>
                <w:p>
                  <w:pPr>
                    <w:spacing w:before="108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University of Tsinghua</w:t>
                  </w:r>
                </w:p>
                <w:p>
                  <w:pPr>
                    <w:pStyle w:val="BodyText"/>
                    <w:spacing w:before="73"/>
                    <w:ind w:left="335"/>
                  </w:pPr>
                  <w:r>
                    <w:rPr/>
                    <w:t>Analysis of Political Data</w:t>
                  </w:r>
                </w:p>
                <w:p>
                  <w:pPr>
                    <w:pStyle w:val="BodyText"/>
                    <w:spacing w:line="328" w:lineRule="auto"/>
                    <w:ind w:left="335"/>
                  </w:pPr>
                  <w:r>
                    <w:rPr/>
                    <w:t>Analysis of Public Policy: Perspectives and Methods</w:t>
                  </w:r>
                  <w:bookmarkStart w:name="University of Iowa" w:id="16"/>
                  <w:bookmarkEnd w:id="16"/>
                  <w:r>
                    <w:rPr/>
                  </w:r>
                  <w:r>
                    <w:rPr/>
                    <w:t> Governmental Big Data</w:t>
                  </w:r>
                </w:p>
                <w:p>
                  <w:pPr>
                    <w:spacing w:before="73"/>
                    <w:ind w:left="2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University of Iowa</w:t>
                  </w:r>
                </w:p>
                <w:p>
                  <w:pPr>
                    <w:pStyle w:val="BodyText"/>
                    <w:spacing w:before="72"/>
                    <w:ind w:left="335"/>
                  </w:pPr>
                  <w:r>
                    <w:rPr/>
                    <w:t>Designing Political</w:t>
                  </w:r>
                  <w:r>
                    <w:rPr>
                      <w:spacing w:val="-39"/>
                    </w:rPr>
                    <w:t> </w:t>
                  </w:r>
                  <w:r>
                    <w:rPr/>
                    <w:t>Research</w:t>
                  </w:r>
                </w:p>
                <w:p>
                  <w:pPr>
                    <w:pStyle w:val="BodyText"/>
                    <w:spacing w:line="328" w:lineRule="auto"/>
                    <w:ind w:left="335" w:right="1068"/>
                  </w:pPr>
                  <w:r>
                    <w:rPr/>
                    <w:t>Math Camp for Incoming Graduate </w:t>
                  </w:r>
                  <w:r>
                    <w:rPr>
                      <w:spacing w:val="-4"/>
                    </w:rPr>
                    <w:t>Students</w:t>
                  </w:r>
                  <w:bookmarkStart w:name="Grants" w:id="17"/>
                  <w:bookmarkEnd w:id="17"/>
                  <w:r>
                    <w:rPr>
                      <w:spacing w:val="-4"/>
                    </w:rPr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“Hello, R!” </w:t>
                  </w:r>
                  <w:r>
                    <w:rPr>
                      <w:spacing w:val="-3"/>
                    </w:rPr>
                    <w:t>Workshop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Series</w:t>
                  </w:r>
                </w:p>
                <w:p>
                  <w:pPr>
                    <w:spacing w:before="41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Grants</w:t>
                  </w:r>
                </w:p>
                <w:p>
                  <w:pPr>
                    <w:pStyle w:val="BodyText"/>
                    <w:spacing w:line="328" w:lineRule="auto" w:before="102"/>
                    <w:ind w:left="335" w:right="2313"/>
                  </w:pPr>
                  <w:r>
                    <w:rPr/>
                    <w:t>Ballard and Seashore Fellowship Post-Comprehensive Research Award</w:t>
                  </w:r>
                </w:p>
                <w:p>
                  <w:pPr>
                    <w:pStyle w:val="BodyText"/>
                    <w:spacing w:before="1"/>
                    <w:ind w:left="335"/>
                  </w:pPr>
                  <w:bookmarkStart w:name="Professional Affiliation" w:id="18"/>
                  <w:bookmarkEnd w:id="18"/>
                  <w:r>
                    <w:rPr/>
                  </w:r>
                  <w:r>
                    <w:rPr/>
                    <w:t>T. Anne Cleary International Dissertation Research Fellowship</w:t>
                  </w:r>
                </w:p>
                <w:p>
                  <w:pPr>
                    <w:spacing w:before="129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 Aﬀiliation</w:t>
                  </w:r>
                </w:p>
                <w:p>
                  <w:pPr>
                    <w:pStyle w:val="BodyText"/>
                    <w:spacing w:line="328" w:lineRule="auto" w:before="102"/>
                    <w:ind w:left="335" w:right="439"/>
                  </w:pPr>
                  <w:r>
                    <w:rPr/>
                    <w:t>Member of American Political Science Association. Member of Midwest Political Science Association. Member of Association of Chinese Political Science</w:t>
                  </w:r>
                  <w:bookmarkStart w:name="Skills" w:id="19"/>
                  <w:bookmarkEnd w:id="19"/>
                  <w:r>
                    <w:rPr/>
                  </w:r>
                  <w:r>
                    <w:rPr/>
                    <w:t> Member of American Association for Chinese Studies.</w:t>
                  </w:r>
                </w:p>
                <w:p>
                  <w:pPr>
                    <w:spacing w:before="42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003998pt;margin-top:244.281494pt;width:78.95pt;height:16.9pt;mso-position-horizontal-relative:page;mso-position-vertical-relative:page;z-index:-7720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90"/>
                    </w:rPr>
                    <w:t>2017/06-2020/06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pt;margin-top:439.806488pt;width:23pt;height:49.65pt;mso-position-horizontal-relative:page;mso-position-vertical-relative:page;z-index:-7696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95"/>
                    </w:rPr>
                    <w:t>2017</w:t>
                  </w:r>
                </w:p>
                <w:p>
                  <w:pPr>
                    <w:pStyle w:val="BodyText"/>
                  </w:pPr>
                  <w:r>
                    <w:rPr>
                      <w:w w:val="95"/>
                    </w:rPr>
                    <w:t>2016</w:t>
                  </w:r>
                </w:p>
                <w:p>
                  <w:pPr>
                    <w:pStyle w:val="BodyText"/>
                  </w:pPr>
                  <w:r>
                    <w:rPr>
                      <w:w w:val="95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75pt;margin-top:595.892517pt;width:431.9pt;height:49.65pt;mso-position-horizontal-relative:page;mso-position-vertical-relative:page;z-index:-7672" type="#_x0000_t202" filled="false" stroked="false">
            <v:textbox inset="0,0,0,0">
              <w:txbxContent>
                <w:p>
                  <w:pPr>
                    <w:pStyle w:val="BodyText"/>
                    <w:spacing w:before="64"/>
                  </w:pPr>
                  <w:r>
                    <w:rPr>
                      <w:w w:val="105"/>
                    </w:rPr>
                    <w:t>Analysis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&amp;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Programming: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Stata,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Python,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C++,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Mathematica,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NetLogo,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JAGS,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UCINET.</w:t>
                  </w:r>
                </w:p>
                <w:p>
                  <w:pPr>
                    <w:pStyle w:val="BodyText"/>
                    <w:spacing w:line="278" w:lineRule="auto"/>
                    <w:ind w:right="3513"/>
                  </w:pPr>
                  <w:r>
                    <w:rPr>
                      <w:w w:val="98"/>
                    </w:rPr>
                    <w:t>Application:</w:t>
                  </w:r>
                  <w:r>
                    <w:rPr/>
                    <w:t>  </w:t>
                  </w:r>
                  <w:r>
                    <w:rPr>
                      <w:spacing w:val="-76"/>
                      <w:w w:val="103"/>
                    </w:rPr>
                    <w:t>L</w:t>
                  </w:r>
                  <w:r>
                    <w:rPr>
                      <w:rFonts w:ascii="Palatino Linotype"/>
                      <w:spacing w:val="-32"/>
                      <w:w w:val="107"/>
                      <w:position w:val="4"/>
                      <w:sz w:val="14"/>
                    </w:rPr>
                    <w:t>A</w:t>
                  </w:r>
                  <w:r>
                    <w:rPr>
                      <w:spacing w:val="-35"/>
                      <w:w w:val="116"/>
                    </w:rPr>
                    <w:t>T</w:t>
                  </w:r>
                  <w:r>
                    <w:rPr>
                      <w:spacing w:val="-27"/>
                      <w:w w:val="104"/>
                      <w:position w:val="-4"/>
                    </w:rPr>
                    <w:t>E</w:t>
                  </w:r>
                  <w:r>
                    <w:rPr>
                      <w:w w:val="104"/>
                    </w:rPr>
                    <w:t>X,</w:t>
                  </w:r>
                  <w:r>
                    <w:rPr/>
                    <w:t> </w:t>
                  </w:r>
                  <w:r>
                    <w:rPr>
                      <w:w w:val="97"/>
                    </w:rPr>
                    <w:t>Markd</w:t>
                  </w:r>
                  <w:r>
                    <w:rPr>
                      <w:spacing w:val="-6"/>
                      <w:w w:val="97"/>
                    </w:rPr>
                    <w:t>o</w:t>
                  </w:r>
                  <w:r>
                    <w:rPr>
                      <w:w w:val="97"/>
                    </w:rPr>
                    <w:t>wn,</w:t>
                  </w:r>
                  <w:r>
                    <w:rPr/>
                    <w:t> </w:t>
                  </w:r>
                  <w:r>
                    <w:rPr>
                      <w:spacing w:val="-2"/>
                      <w:w w:val="102"/>
                    </w:rPr>
                    <w:t>Git(GitHub).</w:t>
                  </w:r>
                  <w:r>
                    <w:rPr>
                      <w:w w:val="102"/>
                    </w:rPr>
                    <w:t> </w:t>
                  </w:r>
                  <w:r>
                    <w:rPr/>
                    <w:t>Language: English, Chinese (Mandarin)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419006pt;margin-top:741.58197pt;width:44.65pt;height:11.25pt;mso-position-horizontal-relative:page;mso-position-vertical-relative:page;z-index:-764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10"/>
                      <w:sz w:val="13"/>
                    </w:rPr>
                    <w:t>Yue Hu - 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62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Palatino Linotype"/>
                      <w:sz w:val="13"/>
                    </w:rPr>
                  </w:pPr>
                  <w:r>
                    <w:rPr>
                      <w:rFonts w:ascii="Palatino Linotype"/>
                      <w:w w:val="130"/>
                      <w:sz w:val="13"/>
                    </w:rPr>
                    <w:t>4/</w:t>
                  </w:r>
                  <w:hyperlink w:history="true" w:anchor="_bookmark0">
                    <w:r>
                      <w:rPr>
                        <w:rFonts w:ascii="Palatino Linotype"/>
                        <w:w w:val="130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sectPr>
      <w:pgSz w:w="12240" w:h="15840"/>
      <w:pgMar w:top="1380" w:bottom="280" w:left="12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89"/>
      <w:ind w:left="20"/>
    </w:pPr>
    <w:rPr>
      <w:rFonts w:ascii="Georgia" w:hAnsi="Georgia" w:eastAsia="Georgia" w:cs="Georgia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uehu@tsinghua.edu.cn" TargetMode="External"/><Relationship Id="rId6" Type="http://schemas.openxmlformats.org/officeDocument/2006/relationships/hyperlink" Target="http://github.com/sammo3182" TargetMode="External"/><Relationship Id="rId7" Type="http://schemas.openxmlformats.org/officeDocument/2006/relationships/hyperlink" Target="http://sammo3182.github.io/" TargetMode="External"/><Relationship Id="rId8" Type="http://schemas.openxmlformats.org/officeDocument/2006/relationships/hyperlink" Target="http://rap.sagepub.com/content/3/4/2053168016672101.full.pdf" TargetMode="External"/><Relationship Id="rId9" Type="http://schemas.openxmlformats.org/officeDocument/2006/relationships/hyperlink" Target="http://CRAN.R-project.org/package%3Dpewdata" TargetMode="External"/><Relationship Id="rId10" Type="http://schemas.openxmlformats.org/officeDocument/2006/relationships/hyperlink" Target="http://CRAN.R-project.org/package%3Ddotwhisker" TargetMode="External"/><Relationship Id="rId11" Type="http://schemas.openxmlformats.org/officeDocument/2006/relationships/hyperlink" Target="http://CRAN.R-project.org/package%3Dinterplo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 Hu</dc:creator>
  <dc:title>Yue Hu: CV (Curriculum Vitae)</dc:title>
  <dcterms:created xsi:type="dcterms:W3CDTF">2020-08-25T06:10:26Z</dcterms:created>
  <dcterms:modified xsi:type="dcterms:W3CDTF">2020-08-25T06:10:26Z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2020-04-22T00:00:00Z</vt:filetime>
  </property>
</Properties>
</file>