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6DD1" w14:textId="77777777" w:rsidR="002615D1" w:rsidRPr="001A2FFA" w:rsidRDefault="002615D1"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b/>
          <w:bCs/>
          <w:color w:val="424242"/>
          <w:kern w:val="0"/>
          <w:sz w:val="22"/>
          <w:szCs w:val="22"/>
          <w:lang w:val="fr-FR" w:eastAsia="nl-NL"/>
          <w14:ligatures w14:val="none"/>
        </w:rPr>
        <w:t>ECT passe à la reconnaissance faciale via la CargoCard</w:t>
      </w:r>
    </w:p>
    <w:p w14:paraId="63D4ACDC" w14:textId="77777777" w:rsidR="002615D1" w:rsidRPr="001A2FFA" w:rsidRDefault="002615D1"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color w:val="424242"/>
          <w:kern w:val="0"/>
          <w:sz w:val="22"/>
          <w:szCs w:val="22"/>
          <w:lang w:val="fr-FR" w:eastAsia="nl-NL"/>
          <w14:ligatures w14:val="none"/>
        </w:rPr>
        <w:t>ECT passera cette année à la reconnaissance faciale comme nouveau moyen de contrôle biométrique pour les chauffeurs de camion. Les appareils existants, qui utilisent la technologie de la veine digitale, seront progressivement remplacés par des appareils modernes utilisant la technologie de reconnaissance faciale sur puce (FROC).</w:t>
      </w:r>
    </w:p>
    <w:p w14:paraId="70F86E21" w14:textId="77777777" w:rsidR="002615D1" w:rsidRPr="001A2FFA" w:rsidRDefault="002615D1"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color w:val="424242"/>
          <w:kern w:val="0"/>
          <w:sz w:val="22"/>
          <w:szCs w:val="22"/>
          <w:lang w:val="fr-FR" w:eastAsia="nl-NL"/>
          <w14:ligatures w14:val="none"/>
        </w:rPr>
        <w:t>Ce changement fait partie d'une rénovation plus large de l'infrastructure de sécurité d'ECT et s'inscrit dans notre ambition d'optimiser à la fois la sécurité et le flux de trafic. La reconnaissance faciale est rapide, sans contact et fiable, et contribue à un processus d'accès pérenne.</w:t>
      </w:r>
    </w:p>
    <w:p w14:paraId="05A5CBA6" w14:textId="77777777" w:rsidR="002615D1" w:rsidRPr="001A2FFA" w:rsidRDefault="002615D1"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color w:val="424242"/>
          <w:kern w:val="0"/>
          <w:sz w:val="22"/>
          <w:szCs w:val="22"/>
          <w:lang w:val="fr-FR" w:eastAsia="nl-NL"/>
          <w14:ligatures w14:val="none"/>
        </w:rPr>
        <w:t>Le déploiement des nouveaux équipements FROC commencera au terminal ECT Euromax, où le premier appareil sera installé dans l'une des voies de sécurité fin mai/début juin. Ensuite, les trois autres voies du terminal Euromax seront également équipées de la technologie FROC. Le terminal ECT Delta suivra ensuite.</w:t>
      </w:r>
    </w:p>
    <w:p w14:paraId="448242E5" w14:textId="77777777" w:rsidR="002615D1" w:rsidRPr="001A2FFA" w:rsidRDefault="002615D1" w:rsidP="001A2FFA">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b/>
          <w:bCs/>
          <w:color w:val="424242"/>
          <w:kern w:val="0"/>
          <w:sz w:val="22"/>
          <w:szCs w:val="22"/>
          <w:lang w:val="fr-FR" w:eastAsia="nl-NL"/>
          <w14:ligatures w14:val="none"/>
        </w:rPr>
        <w:t>Qu'est-ce que cela signifie pour les utilisateurs de CargoCard ?</w:t>
      </w:r>
    </w:p>
    <w:p w14:paraId="544D2FBF" w14:textId="77777777" w:rsidR="002615D1" w:rsidRPr="001A2FFA" w:rsidRDefault="002615D1"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color w:val="424242"/>
          <w:kern w:val="0"/>
          <w:sz w:val="22"/>
          <w:szCs w:val="22"/>
          <w:lang w:val="fr-FR" w:eastAsia="nl-NL"/>
          <w14:ligatures w14:val="none"/>
        </w:rPr>
        <w:t>Pour conserver l'accès aux terminaux après le déploiement de ces nouveaux équipements, il est essentiel que tous les chauffeurs ajoutent la reconnaissance faciale à leur CargoCard. Sans une CargoCard avec reconnaissance faciale, l'accès aux terminaux ne sera plus possible à terme. La technologie de la veine digitale sera progressivement supprimée.</w:t>
      </w:r>
    </w:p>
    <w:p w14:paraId="302D8316" w14:textId="77777777" w:rsidR="002615D1" w:rsidRPr="001A2FFA" w:rsidRDefault="002615D1"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b/>
          <w:bCs/>
          <w:color w:val="424242"/>
          <w:kern w:val="0"/>
          <w:sz w:val="22"/>
          <w:szCs w:val="22"/>
          <w:lang w:val="fr-FR" w:eastAsia="nl-NL"/>
          <w14:ligatures w14:val="none"/>
        </w:rPr>
        <w:t>Étapes importantes à suivre :</w:t>
      </w:r>
    </w:p>
    <w:p w14:paraId="5D0AAE85" w14:textId="77777777" w:rsidR="002615D1" w:rsidRPr="001A2FFA" w:rsidRDefault="002615D1" w:rsidP="002615D1">
      <w:pPr>
        <w:numPr>
          <w:ilvl w:val="0"/>
          <w:numId w:val="1"/>
        </w:numPr>
        <w:shd w:val="clear" w:color="auto" w:fill="FAFAFA"/>
        <w:spacing w:before="100" w:beforeAutospacing="1" w:after="100" w:afterAutospacing="1"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color w:val="424242"/>
          <w:kern w:val="0"/>
          <w:sz w:val="22"/>
          <w:szCs w:val="22"/>
          <w:lang w:val="fr-FR" w:eastAsia="nl-NL"/>
          <w14:ligatures w14:val="none"/>
        </w:rPr>
        <w:t>Si la reconnaissance faciale n'a pas encore été ajoutée à la CargoCard, les chauffeurs doivent mettre à jour leur CargoCard avec la reconnaissance faciale dans les plus brefs délais.</w:t>
      </w:r>
    </w:p>
    <w:p w14:paraId="7DD601C0" w14:textId="77777777" w:rsidR="002615D1" w:rsidRPr="001A2FFA" w:rsidRDefault="002615D1" w:rsidP="002615D1">
      <w:pPr>
        <w:numPr>
          <w:ilvl w:val="0"/>
          <w:numId w:val="1"/>
        </w:numPr>
        <w:shd w:val="clear" w:color="auto" w:fill="FAFAFA"/>
        <w:spacing w:before="100" w:beforeAutospacing="1" w:after="100" w:afterAutospacing="1"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color w:val="424242"/>
          <w:kern w:val="0"/>
          <w:sz w:val="22"/>
          <w:szCs w:val="22"/>
          <w:lang w:val="fr-FR" w:eastAsia="nl-NL"/>
          <w14:ligatures w14:val="none"/>
        </w:rPr>
        <w:t xml:space="preserve">Cela peut être fait chez Secure Logistics, l'émetteur de la CargoCard. Le bureau de Secure Logistics se trouve à </w:t>
      </w:r>
      <w:r w:rsidRPr="001A2FFA">
        <w:rPr>
          <w:rFonts w:ascii="Calibri" w:eastAsia="Times New Roman" w:hAnsi="Calibri" w:cs="Calibri"/>
          <w:color w:val="424242"/>
          <w:kern w:val="0"/>
          <w:sz w:val="22"/>
          <w:szCs w:val="22"/>
          <w:u w:val="single"/>
          <w:lang w:val="fr-FR" w:eastAsia="nl-NL"/>
          <w14:ligatures w14:val="none"/>
        </w:rPr>
        <w:t>Hormuzstraat 50, 3199 KW Rotterdam (Maasvlakte) à Maasvlakte Plaza</w:t>
      </w:r>
      <w:r w:rsidRPr="001A2FFA">
        <w:rPr>
          <w:rFonts w:ascii="Calibri" w:eastAsia="Times New Roman" w:hAnsi="Calibri" w:cs="Calibri"/>
          <w:color w:val="424242"/>
          <w:kern w:val="0"/>
          <w:sz w:val="22"/>
          <w:szCs w:val="22"/>
          <w:lang w:val="fr-FR" w:eastAsia="nl-NL"/>
          <w14:ligatures w14:val="none"/>
        </w:rPr>
        <w:t>.</w:t>
      </w:r>
    </w:p>
    <w:p w14:paraId="160E1000" w14:textId="77777777" w:rsidR="002615D1" w:rsidRPr="001A2FFA" w:rsidRDefault="002615D1" w:rsidP="002615D1">
      <w:pPr>
        <w:numPr>
          <w:ilvl w:val="0"/>
          <w:numId w:val="1"/>
        </w:numPr>
        <w:shd w:val="clear" w:color="auto" w:fill="FAFAFA"/>
        <w:spacing w:before="100" w:beforeAutospacing="1" w:after="100" w:afterAutospacing="1"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color w:val="424242"/>
          <w:kern w:val="0"/>
          <w:sz w:val="22"/>
          <w:szCs w:val="22"/>
          <w:lang w:val="fr-FR" w:eastAsia="nl-NL"/>
          <w14:ligatures w14:val="none"/>
        </w:rPr>
        <w:t>Notez qu'il y aura une période de transition pendant laquelle les deux systèmes biométriques pourront fonctionner temporairement côte à côte, mais la reconnaissance faciale deviendra finalement prédominante.</w:t>
      </w:r>
    </w:p>
    <w:p w14:paraId="34887D2F" w14:textId="4A5941CE" w:rsidR="002615D1" w:rsidRPr="001A2FFA" w:rsidRDefault="002615D1"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color w:val="424242"/>
          <w:kern w:val="0"/>
          <w:sz w:val="22"/>
          <w:szCs w:val="22"/>
          <w:lang w:val="fr-FR" w:eastAsia="nl-NL"/>
          <w14:ligatures w14:val="none"/>
        </w:rPr>
        <w:t>Sur la page d'accueil d'ECT, </w:t>
      </w:r>
      <w:hyperlink r:id="rId5" w:history="1">
        <w:r w:rsidRPr="00653184">
          <w:rPr>
            <w:rStyle w:val="Hyperlink"/>
            <w:rFonts w:ascii="Calibri" w:eastAsia="Times New Roman" w:hAnsi="Calibri" w:cs="Calibri"/>
            <w:kern w:val="0"/>
            <w:sz w:val="22"/>
            <w:szCs w:val="22"/>
            <w:lang w:val="fr-FR" w:eastAsia="nl-NL"/>
            <w14:ligatures w14:val="none"/>
          </w:rPr>
          <w:t>www.ect.nl</w:t>
        </w:r>
      </w:hyperlink>
      <w:r w:rsidRPr="001A2FFA">
        <w:rPr>
          <w:rFonts w:ascii="Calibri" w:eastAsia="Times New Roman" w:hAnsi="Calibri" w:cs="Calibri"/>
          <w:color w:val="424242"/>
          <w:kern w:val="0"/>
          <w:sz w:val="22"/>
          <w:szCs w:val="22"/>
          <w:lang w:val="fr-FR" w:eastAsia="nl-NL"/>
          <w14:ligatures w14:val="none"/>
        </w:rPr>
        <w:t>, un dossier intitulé « Reconnaissance faciale chez ECT » sera bientôt publié, où des informations actualisées sur ce sujet seront disponibles en plusieurs langues, y compris une section « Questions fréquemment posées ».</w:t>
      </w:r>
    </w:p>
    <w:p w14:paraId="73373BDA" w14:textId="77777777" w:rsidR="002615D1" w:rsidRPr="001A2FFA" w:rsidRDefault="002615D1" w:rsidP="002615D1">
      <w:pPr>
        <w:shd w:val="clear" w:color="auto" w:fill="FAFAFA"/>
        <w:spacing w:before="90" w:after="150" w:line="240" w:lineRule="auto"/>
        <w:rPr>
          <w:rFonts w:ascii="Calibri" w:eastAsia="Times New Roman" w:hAnsi="Calibri" w:cs="Calibri"/>
          <w:color w:val="424242"/>
          <w:kern w:val="0"/>
          <w:sz w:val="22"/>
          <w:szCs w:val="22"/>
          <w:lang w:val="fr-FR" w:eastAsia="nl-NL"/>
          <w14:ligatures w14:val="none"/>
        </w:rPr>
      </w:pPr>
      <w:r w:rsidRPr="001A2FFA">
        <w:rPr>
          <w:rFonts w:ascii="Calibri" w:eastAsia="Times New Roman" w:hAnsi="Calibri" w:cs="Calibri"/>
          <w:color w:val="424242"/>
          <w:kern w:val="0"/>
          <w:sz w:val="22"/>
          <w:szCs w:val="22"/>
          <w:lang w:val="fr-FR" w:eastAsia="nl-NL"/>
          <w14:ligatures w14:val="none"/>
        </w:rPr>
        <w:t>Nous comptons sur la coopération de tous pour cette transition et nous vous tiendrons bien sûr informés des progrès.</w:t>
      </w:r>
    </w:p>
    <w:p w14:paraId="571F16CC" w14:textId="77777777" w:rsidR="00B03398" w:rsidRPr="001A2FFA" w:rsidRDefault="00B03398" w:rsidP="002615D1">
      <w:pPr>
        <w:rPr>
          <w:rFonts w:ascii="Calibri" w:hAnsi="Calibri" w:cs="Calibri"/>
          <w:sz w:val="22"/>
          <w:szCs w:val="22"/>
          <w:lang w:val="fr-FR"/>
        </w:rPr>
      </w:pPr>
    </w:p>
    <w:sectPr w:rsidR="00B03398" w:rsidRPr="001A2F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62A05"/>
    <w:multiLevelType w:val="multilevel"/>
    <w:tmpl w:val="54A2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440879"/>
    <w:multiLevelType w:val="hybridMultilevel"/>
    <w:tmpl w:val="78A028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34449967">
    <w:abstractNumId w:val="0"/>
  </w:num>
  <w:num w:numId="2" w16cid:durableId="1305310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2C"/>
    <w:rsid w:val="001435DE"/>
    <w:rsid w:val="001A2FFA"/>
    <w:rsid w:val="002615D1"/>
    <w:rsid w:val="00653184"/>
    <w:rsid w:val="00932CA7"/>
    <w:rsid w:val="00957A34"/>
    <w:rsid w:val="0099098D"/>
    <w:rsid w:val="00B03398"/>
    <w:rsid w:val="00EB6E45"/>
    <w:rsid w:val="00EE25BC"/>
    <w:rsid w:val="00FC542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52028"/>
  <w15:chartTrackingRefBased/>
  <w15:docId w15:val="{03581881-BB9D-40DB-855D-44416C9F2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398"/>
    <w:rPr>
      <w:rFonts w:eastAsiaTheme="majorEastAsia" w:cstheme="majorBidi"/>
      <w:color w:val="272727" w:themeColor="text1" w:themeTint="D8"/>
    </w:rPr>
  </w:style>
  <w:style w:type="paragraph" w:styleId="Title">
    <w:name w:val="Title"/>
    <w:basedOn w:val="Normal"/>
    <w:next w:val="Normal"/>
    <w:link w:val="TitleChar"/>
    <w:uiPriority w:val="10"/>
    <w:qFormat/>
    <w:rsid w:val="00B03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398"/>
    <w:pPr>
      <w:spacing w:before="160"/>
      <w:jc w:val="center"/>
    </w:pPr>
    <w:rPr>
      <w:i/>
      <w:iCs/>
      <w:color w:val="404040" w:themeColor="text1" w:themeTint="BF"/>
    </w:rPr>
  </w:style>
  <w:style w:type="character" w:customStyle="1" w:styleId="QuoteChar">
    <w:name w:val="Quote Char"/>
    <w:basedOn w:val="DefaultParagraphFont"/>
    <w:link w:val="Quote"/>
    <w:uiPriority w:val="29"/>
    <w:rsid w:val="00B03398"/>
    <w:rPr>
      <w:i/>
      <w:iCs/>
      <w:color w:val="404040" w:themeColor="text1" w:themeTint="BF"/>
    </w:rPr>
  </w:style>
  <w:style w:type="paragraph" w:styleId="ListParagraph">
    <w:name w:val="List Paragraph"/>
    <w:basedOn w:val="Normal"/>
    <w:uiPriority w:val="34"/>
    <w:qFormat/>
    <w:rsid w:val="00B03398"/>
    <w:pPr>
      <w:ind w:left="720"/>
      <w:contextualSpacing/>
    </w:pPr>
  </w:style>
  <w:style w:type="character" w:styleId="IntenseEmphasis">
    <w:name w:val="Intense Emphasis"/>
    <w:basedOn w:val="DefaultParagraphFont"/>
    <w:uiPriority w:val="21"/>
    <w:qFormat/>
    <w:rsid w:val="00B03398"/>
    <w:rPr>
      <w:i/>
      <w:iCs/>
      <w:color w:val="0F4761" w:themeColor="accent1" w:themeShade="BF"/>
    </w:rPr>
  </w:style>
  <w:style w:type="paragraph" w:styleId="IntenseQuote">
    <w:name w:val="Intense Quote"/>
    <w:basedOn w:val="Normal"/>
    <w:next w:val="Normal"/>
    <w:link w:val="IntenseQuoteChar"/>
    <w:uiPriority w:val="30"/>
    <w:qFormat/>
    <w:rsid w:val="00B03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398"/>
    <w:rPr>
      <w:i/>
      <w:iCs/>
      <w:color w:val="0F4761" w:themeColor="accent1" w:themeShade="BF"/>
    </w:rPr>
  </w:style>
  <w:style w:type="character" w:styleId="IntenseReference">
    <w:name w:val="Intense Reference"/>
    <w:basedOn w:val="DefaultParagraphFont"/>
    <w:uiPriority w:val="32"/>
    <w:qFormat/>
    <w:rsid w:val="00B03398"/>
    <w:rPr>
      <w:b/>
      <w:bCs/>
      <w:smallCaps/>
      <w:color w:val="0F4761" w:themeColor="accent1" w:themeShade="BF"/>
      <w:spacing w:val="5"/>
    </w:rPr>
  </w:style>
  <w:style w:type="paragraph" w:styleId="NormalWeb">
    <w:name w:val="Normal (Web)"/>
    <w:basedOn w:val="Normal"/>
    <w:uiPriority w:val="99"/>
    <w:semiHidden/>
    <w:unhideWhenUsed/>
    <w:rsid w:val="00FC542C"/>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Strong">
    <w:name w:val="Strong"/>
    <w:basedOn w:val="DefaultParagraphFont"/>
    <w:uiPriority w:val="22"/>
    <w:qFormat/>
    <w:rsid w:val="00FC542C"/>
    <w:rPr>
      <w:b/>
      <w:bCs/>
    </w:rPr>
  </w:style>
  <w:style w:type="character" w:styleId="Hyperlink">
    <w:name w:val="Hyperlink"/>
    <w:basedOn w:val="DefaultParagraphFont"/>
    <w:uiPriority w:val="99"/>
    <w:unhideWhenUsed/>
    <w:rsid w:val="0099098D"/>
    <w:rPr>
      <w:color w:val="467886" w:themeColor="hyperlink"/>
      <w:u w:val="single"/>
    </w:rPr>
  </w:style>
  <w:style w:type="character" w:styleId="UnresolvedMention">
    <w:name w:val="Unresolved Mention"/>
    <w:basedOn w:val="DefaultParagraphFont"/>
    <w:uiPriority w:val="99"/>
    <w:semiHidden/>
    <w:unhideWhenUsed/>
    <w:rsid w:val="00990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579852">
      <w:bodyDiv w:val="1"/>
      <w:marLeft w:val="0"/>
      <w:marRight w:val="0"/>
      <w:marTop w:val="0"/>
      <w:marBottom w:val="0"/>
      <w:divBdr>
        <w:top w:val="none" w:sz="0" w:space="0" w:color="auto"/>
        <w:left w:val="none" w:sz="0" w:space="0" w:color="auto"/>
        <w:bottom w:val="none" w:sz="0" w:space="0" w:color="auto"/>
        <w:right w:val="none" w:sz="0" w:space="0" w:color="auto"/>
      </w:divBdr>
    </w:div>
    <w:div w:id="1185441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www.ect.n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370</Words>
  <Characters>2036</Characters>
  <Application>Microsoft Office Word</Application>
  <DocSecurity>0</DocSecurity>
  <Lines>16</Lines>
  <Paragraphs>4</Paragraphs>
  <ScaleCrop>false</ScaleCrop>
  <Company>HutchisonPorts ECT Rotterdam</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Bagchus, Rob</dc:creator>
  <cp:keywords/>
  <dc:description/>
  <cp:lastModifiedBy>Bagchus, Rob</cp:lastModifiedBy>
  <cp:revision>7</cp:revision>
  <dcterms:created xsi:type="dcterms:W3CDTF">2025-04-07T13:37:00Z</dcterms:created>
  <dcterms:modified xsi:type="dcterms:W3CDTF">2025-04-22T08:21:00Z</dcterms:modified>
</cp:coreProperties>
</file>