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C180" w14:textId="64136E8D" w:rsidR="00D9483D" w:rsidRPr="003D756D" w:rsidRDefault="00180819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3D756D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E</w:t>
      </w:r>
      <w:r w:rsidR="00D9483D" w:rsidRPr="003D756D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CT przechodzi na rozpoznawanie twarzy za pomocą CargoCard</w:t>
      </w:r>
    </w:p>
    <w:p w14:paraId="51D0268A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ECT w ciągu tego roku przejdzie na rozpoznawanie twarzy jako nowe biometryczne narzędzie kontroli dla kierowców ciężarówek. Istniejące urządzenia, które wykorzystują technologię fingervein, będą stopniowo zastępowane nowoczesnymi urządzeniami działającymi w oparciu o technologię Facial Recognition on Chip (FROC).</w:t>
      </w:r>
    </w:p>
    <w:p w14:paraId="39634A35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Ta zmiana jest częścią szerszej modernizacji infrastruktury bezpieczeństwa ECT i wpisuje się w naszą ambicję optymalizacji zarówno bezpieczeństwa, jak i przepływu ruchu. Rozpoznawanie twarzy jest szybkie, bezdotykowe i niezawodne, co przyczynia się do przyszłościowego procesu dostępu.</w:t>
      </w:r>
    </w:p>
    <w:p w14:paraId="3122B76F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Wdrożenie nowego sprzętu FROC rozpocznie się na terminalu ECT Euromax, gdzie pod koniec maja/początkiem czerwca pierwsze urządzenie zostanie zainstalowane w jednej z alejek bezpieczeństwa. Następnie pozostałe trzy alejki na terminalu Euromax zostaną wyposażone w technologię FROC. Następnie nastąpi terminal ECT Delta.</w:t>
      </w:r>
    </w:p>
    <w:p w14:paraId="1BE3F18C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Co to oznacza dla użytkowników CargoCard?</w:t>
      </w:r>
    </w:p>
    <w:p w14:paraId="12B641A2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Aby zachować dostęp do terminali po wdrożeniu nowego sprzętu, konieczne jest, aby wszyscy kierowcy dodali rozpoznawanie twarzy do swojej CargoCard. Bez CargoCard z rozpoznawaniem twarzy dostęp do terminali nie będzie możliwy w przyszłości. Technologia fingervein zostanie stopniowo wycofana.</w:t>
      </w:r>
    </w:p>
    <w:p w14:paraId="7500990C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pl-PL" w:eastAsia="nl-NL"/>
          <w14:ligatures w14:val="none"/>
        </w:rPr>
        <w:t>Ważne kroki do podjęcia:</w:t>
      </w:r>
    </w:p>
    <w:p w14:paraId="32FC6037" w14:textId="77777777" w:rsidR="00D9483D" w:rsidRPr="00BB3A54" w:rsidRDefault="00D9483D" w:rsidP="00D9483D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Jeśli rozpoznawanie twarzy nie zostało jeszcze dodane do CargoCard, kierowcy muszą jak najszybciej zaktualizować swoją CargoCard o rozpoznawanie twarzy.</w:t>
      </w:r>
    </w:p>
    <w:p w14:paraId="1703E564" w14:textId="77777777" w:rsidR="00D9483D" w:rsidRPr="00BB3A54" w:rsidRDefault="00D9483D" w:rsidP="00D9483D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 xml:space="preserve">Można to zrobić w Secure Logistics, wydawcy CargoCard. Biuro Secure Logistics znajduje się przy </w:t>
      </w: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pl-PL" w:eastAsia="nl-NL"/>
          <w14:ligatures w14:val="none"/>
        </w:rPr>
        <w:t>Hormuzstraat 50, 3199 KW Rotterdam (Maasvlakte) w Maasvlakte Plaza</w:t>
      </w: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.</w:t>
      </w:r>
    </w:p>
    <w:p w14:paraId="0B83E4C7" w14:textId="77777777" w:rsidR="00D9483D" w:rsidRPr="00BB3A54" w:rsidRDefault="00D9483D" w:rsidP="00D9483D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Należy pamiętać, że będzie okres przejściowy, w którym oba systemy biometryczne mogą tymczasowo działać równolegle, ale ostatecznie rozpoznawanie twarzy będzie dominujące.</w:t>
      </w:r>
    </w:p>
    <w:p w14:paraId="5DEC69A7" w14:textId="290F3682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Na stronie głównej ECT, </w:t>
      </w:r>
      <w:hyperlink r:id="rId5" w:history="1">
        <w:r w:rsidRPr="002019BC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pl-PL" w:eastAsia="nl-NL"/>
            <w14:ligatures w14:val="none"/>
          </w:rPr>
          <w:t>www.ect.nl</w:t>
        </w:r>
      </w:hyperlink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, wkrótce zostanie opublikowany dossier zatytułowany „Rozpoznawanie twarzy w ECT”, gdzie będą dostępne aktualne informacje na ten temat w kilku językach, w tym sekcja „Najczęściej zadawane pytania”.</w:t>
      </w:r>
    </w:p>
    <w:p w14:paraId="519E10D2" w14:textId="77777777" w:rsidR="00D9483D" w:rsidRPr="00BB3A54" w:rsidRDefault="00D9483D" w:rsidP="00D9483D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</w:pPr>
      <w:r w:rsidRPr="00BB3A54">
        <w:rPr>
          <w:rFonts w:ascii="Calibri" w:eastAsia="Times New Roman" w:hAnsi="Calibri" w:cs="Calibri"/>
          <w:color w:val="424242"/>
          <w:kern w:val="0"/>
          <w:sz w:val="22"/>
          <w:szCs w:val="22"/>
          <w:lang w:val="pl-PL" w:eastAsia="nl-NL"/>
          <w14:ligatures w14:val="none"/>
        </w:rPr>
        <w:t>Liczymy na współpracę wszystkich przy tej zmianie i oczywiście będziemy informować o dalszych postępach.</w:t>
      </w:r>
    </w:p>
    <w:p w14:paraId="591078D2" w14:textId="78E74D7E" w:rsidR="00B03398" w:rsidRPr="00BB3A54" w:rsidRDefault="00B03398" w:rsidP="00D9483D">
      <w:pPr>
        <w:rPr>
          <w:rFonts w:ascii="Calibri" w:hAnsi="Calibri" w:cs="Calibri"/>
          <w:sz w:val="22"/>
          <w:szCs w:val="22"/>
          <w:lang w:val="pl-PL"/>
        </w:rPr>
      </w:pPr>
    </w:p>
    <w:sectPr w:rsidR="00B03398" w:rsidRPr="00BB3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41A42"/>
    <w:multiLevelType w:val="multilevel"/>
    <w:tmpl w:val="0A4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748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A7"/>
    <w:rsid w:val="00055625"/>
    <w:rsid w:val="00180819"/>
    <w:rsid w:val="002019BC"/>
    <w:rsid w:val="003D756D"/>
    <w:rsid w:val="00810E52"/>
    <w:rsid w:val="00932CA7"/>
    <w:rsid w:val="00A714A7"/>
    <w:rsid w:val="00B03398"/>
    <w:rsid w:val="00BA49C7"/>
    <w:rsid w:val="00BB3A54"/>
    <w:rsid w:val="00D9483D"/>
    <w:rsid w:val="00EB6E45"/>
    <w:rsid w:val="00EE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CC130"/>
  <w15:chartTrackingRefBased/>
  <w15:docId w15:val="{44947F59-D806-4187-9435-8404AE87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Strong">
    <w:name w:val="Strong"/>
    <w:basedOn w:val="DefaultParagraphFont"/>
    <w:uiPriority w:val="22"/>
    <w:qFormat/>
    <w:rsid w:val="00A714A7"/>
    <w:rPr>
      <w:b/>
      <w:bCs/>
    </w:rPr>
  </w:style>
  <w:style w:type="character" w:styleId="Hyperlink">
    <w:name w:val="Hyperlink"/>
    <w:basedOn w:val="DefaultParagraphFont"/>
    <w:uiPriority w:val="99"/>
    <w:unhideWhenUsed/>
    <w:rsid w:val="00A71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2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www.ect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1855</Characters>
  <Application>Microsoft Office Word</Application>
  <DocSecurity>0</DocSecurity>
  <Lines>15</Lines>
  <Paragraphs>4</Paragraphs>
  <ScaleCrop>false</ScaleCrop>
  <Company>HutchisonPorts ECT Rotterdam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Bagchus, Rob</dc:creator>
  <cp:keywords/>
  <dc:description/>
  <cp:lastModifiedBy>Bagchus, Rob</cp:lastModifiedBy>
  <cp:revision>9</cp:revision>
  <dcterms:created xsi:type="dcterms:W3CDTF">2025-04-07T13:39:00Z</dcterms:created>
  <dcterms:modified xsi:type="dcterms:W3CDTF">2025-04-22T08:22:00Z</dcterms:modified>
</cp:coreProperties>
</file>