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6DD1" w14:textId="47725A60"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b/>
          <w:bCs/>
          <w:color w:val="424242"/>
          <w:kern w:val="0"/>
          <w:sz w:val="22"/>
          <w:szCs w:val="22"/>
          <w:lang w:val="fr-FR" w:eastAsia="nl-NL"/>
          <w14:ligatures w14:val="none"/>
        </w:rPr>
        <w:t xml:space="preserve">ECT passe à la reconnaissance faciale via la </w:t>
      </w:r>
      <w:proofErr w:type="spellStart"/>
      <w:r w:rsidRPr="001A2FFA">
        <w:rPr>
          <w:rFonts w:ascii="Calibri" w:eastAsia="Times New Roman" w:hAnsi="Calibri" w:cs="Calibri"/>
          <w:b/>
          <w:bCs/>
          <w:color w:val="424242"/>
          <w:kern w:val="0"/>
          <w:sz w:val="22"/>
          <w:szCs w:val="22"/>
          <w:lang w:val="fr-FR" w:eastAsia="nl-NL"/>
          <w14:ligatures w14:val="none"/>
        </w:rPr>
        <w:t>CargoCard</w:t>
      </w:r>
      <w:proofErr w:type="spellEnd"/>
      <w:r w:rsidR="00F77A8B">
        <w:rPr>
          <w:rFonts w:ascii="Calibri" w:eastAsia="Times New Roman" w:hAnsi="Calibri" w:cs="Calibri"/>
          <w:b/>
          <w:bCs/>
          <w:color w:val="424242"/>
          <w:kern w:val="0"/>
          <w:sz w:val="22"/>
          <w:szCs w:val="22"/>
          <w:lang w:val="fr-FR" w:eastAsia="nl-NL"/>
          <w14:ligatures w14:val="none"/>
        </w:rPr>
        <w:t>; l</w:t>
      </w:r>
      <w:r w:rsidR="00F77A8B" w:rsidRPr="00F77A8B">
        <w:rPr>
          <w:rFonts w:ascii="Calibri" w:eastAsia="Times New Roman" w:hAnsi="Calibri" w:cs="Calibri"/>
          <w:b/>
          <w:bCs/>
          <w:color w:val="424242"/>
          <w:kern w:val="0"/>
          <w:sz w:val="22"/>
          <w:szCs w:val="22"/>
          <w:lang w:val="fr-FR" w:eastAsia="nl-NL"/>
          <w14:ligatures w14:val="none"/>
        </w:rPr>
        <w:t>ancement prévu le 8 septembre</w:t>
      </w:r>
    </w:p>
    <w:p w14:paraId="63D4ACDC" w14:textId="04A05ED1" w:rsidR="002615D1" w:rsidRPr="001A2FFA" w:rsidRDefault="004439DF"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Pr>
          <w:rFonts w:ascii="Calibri" w:eastAsia="Times New Roman" w:hAnsi="Calibri" w:cs="Calibri"/>
          <w:color w:val="424242"/>
          <w:kern w:val="0"/>
          <w:sz w:val="22"/>
          <w:szCs w:val="22"/>
          <w:lang w:val="fr-FR" w:eastAsia="nl-NL"/>
          <w14:ligatures w14:val="none"/>
        </w:rPr>
        <w:t xml:space="preserve">A partir du 8 septembre, </w:t>
      </w:r>
      <w:r w:rsidR="002615D1" w:rsidRPr="001A2FFA">
        <w:rPr>
          <w:rFonts w:ascii="Calibri" w:eastAsia="Times New Roman" w:hAnsi="Calibri" w:cs="Calibri"/>
          <w:color w:val="424242"/>
          <w:kern w:val="0"/>
          <w:sz w:val="22"/>
          <w:szCs w:val="22"/>
          <w:lang w:val="fr-FR" w:eastAsia="nl-NL"/>
          <w14:ligatures w14:val="none"/>
        </w:rPr>
        <w:t xml:space="preserve">ECT </w:t>
      </w:r>
      <w:r>
        <w:rPr>
          <w:rFonts w:ascii="Calibri" w:eastAsia="Times New Roman" w:hAnsi="Calibri" w:cs="Calibri"/>
          <w:color w:val="424242"/>
          <w:kern w:val="0"/>
          <w:sz w:val="22"/>
          <w:szCs w:val="22"/>
          <w:lang w:val="fr-FR" w:eastAsia="nl-NL"/>
          <w14:ligatures w14:val="none"/>
        </w:rPr>
        <w:t>adoptera</w:t>
      </w:r>
      <w:r w:rsidR="002615D1" w:rsidRPr="001A2FFA">
        <w:rPr>
          <w:rFonts w:ascii="Calibri" w:eastAsia="Times New Roman" w:hAnsi="Calibri" w:cs="Calibri"/>
          <w:color w:val="424242"/>
          <w:kern w:val="0"/>
          <w:sz w:val="22"/>
          <w:szCs w:val="22"/>
          <w:lang w:val="fr-FR" w:eastAsia="nl-NL"/>
          <w14:ligatures w14:val="none"/>
        </w:rPr>
        <w:t xml:space="preserve"> la reconnaissance faciale comme nouveau moyen de contrôle biométrique pour les chauffeurs de camion. Les appareils existants, qui utilisent la technologie de la veine digitale, seront progressivement remplacés par des appareils modernes utilisant la technologie de reconnaissance faciale sur puce (FROC).</w:t>
      </w:r>
    </w:p>
    <w:p w14:paraId="70F86E21"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Ce changement fait partie d'une rénovation plus large de l'infrastructure de sécurité d'ECT et s'inscrit dans notre ambition d'optimiser à la fois la sécurité et le flux de trafic. La reconnaissance faciale est rapide, sans contact et fiable, et contribue à un processus d'accès pérenne.</w:t>
      </w:r>
    </w:p>
    <w:p w14:paraId="05A5CBA6" w14:textId="740DEBE5" w:rsidR="002615D1" w:rsidRPr="001A2FFA" w:rsidRDefault="00F77A8B"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F77A8B">
        <w:rPr>
          <w:rFonts w:ascii="Calibri" w:eastAsia="Times New Roman" w:hAnsi="Calibri" w:cs="Calibri"/>
          <w:color w:val="424242"/>
          <w:kern w:val="0"/>
          <w:sz w:val="22"/>
          <w:szCs w:val="22"/>
          <w:lang w:val="fr-FR" w:eastAsia="nl-NL"/>
          <w14:ligatures w14:val="none"/>
        </w:rPr>
        <w:t xml:space="preserve">Le déploiement du nouvel équipement FROC commencera le </w:t>
      </w:r>
      <w:r w:rsidRPr="00F77A8B">
        <w:rPr>
          <w:rFonts w:ascii="Calibri" w:eastAsia="Times New Roman" w:hAnsi="Calibri" w:cs="Calibri"/>
          <w:b/>
          <w:bCs/>
          <w:color w:val="424242"/>
          <w:kern w:val="0"/>
          <w:sz w:val="22"/>
          <w:szCs w:val="22"/>
          <w:lang w:val="fr-FR" w:eastAsia="nl-NL"/>
          <w14:ligatures w14:val="none"/>
        </w:rPr>
        <w:t>lundi 8 septembre</w:t>
      </w:r>
      <w:r w:rsidRPr="00F77A8B">
        <w:rPr>
          <w:rFonts w:ascii="Calibri" w:eastAsia="Times New Roman" w:hAnsi="Calibri" w:cs="Calibri"/>
          <w:color w:val="424242"/>
          <w:kern w:val="0"/>
          <w:sz w:val="22"/>
          <w:szCs w:val="22"/>
          <w:lang w:val="fr-FR" w:eastAsia="nl-NL"/>
          <w14:ligatures w14:val="none"/>
        </w:rPr>
        <w:t xml:space="preserve"> au terminal </w:t>
      </w:r>
      <w:r w:rsidRPr="00F77A8B">
        <w:rPr>
          <w:rFonts w:ascii="Calibri" w:eastAsia="Times New Roman" w:hAnsi="Calibri" w:cs="Calibri"/>
          <w:b/>
          <w:bCs/>
          <w:color w:val="424242"/>
          <w:kern w:val="0"/>
          <w:sz w:val="22"/>
          <w:szCs w:val="22"/>
          <w:lang w:val="fr-FR" w:eastAsia="nl-NL"/>
          <w14:ligatures w14:val="none"/>
        </w:rPr>
        <w:t>ECT Euromax</w:t>
      </w:r>
      <w:r w:rsidRPr="00F77A8B">
        <w:rPr>
          <w:rFonts w:ascii="Calibri" w:eastAsia="Times New Roman" w:hAnsi="Calibri" w:cs="Calibri"/>
          <w:color w:val="424242"/>
          <w:kern w:val="0"/>
          <w:sz w:val="22"/>
          <w:szCs w:val="22"/>
          <w:lang w:val="fr-FR" w:eastAsia="nl-NL"/>
          <w14:ligatures w14:val="none"/>
        </w:rPr>
        <w:t>, où le premier appareil sera opérationnel dans l’une des voies d’accès de sécurité</w:t>
      </w:r>
      <w:r w:rsidR="00101C13">
        <w:rPr>
          <w:rFonts w:ascii="Calibri" w:eastAsia="Times New Roman" w:hAnsi="Calibri" w:cs="Calibri"/>
          <w:color w:val="424242"/>
          <w:kern w:val="0"/>
          <w:sz w:val="22"/>
          <w:szCs w:val="22"/>
          <w:lang w:val="fr-FR" w:eastAsia="nl-NL"/>
          <w14:ligatures w14:val="none"/>
        </w:rPr>
        <w:t xml:space="preserve"> (voie 8, à droite)</w:t>
      </w:r>
      <w:r w:rsidRPr="00F77A8B">
        <w:rPr>
          <w:rFonts w:ascii="Calibri" w:eastAsia="Times New Roman" w:hAnsi="Calibri" w:cs="Calibri"/>
          <w:color w:val="424242"/>
          <w:kern w:val="0"/>
          <w:sz w:val="22"/>
          <w:szCs w:val="22"/>
          <w:lang w:val="fr-FR" w:eastAsia="nl-NL"/>
          <w14:ligatures w14:val="none"/>
        </w:rPr>
        <w:t xml:space="preserve">. Par la suite, les trois autres voies du terminal </w:t>
      </w:r>
      <w:r w:rsidR="000567EB">
        <w:rPr>
          <w:rFonts w:ascii="Calibri" w:eastAsia="Times New Roman" w:hAnsi="Calibri" w:cs="Calibri"/>
          <w:color w:val="424242"/>
          <w:kern w:val="0"/>
          <w:sz w:val="22"/>
          <w:szCs w:val="22"/>
          <w:lang w:val="fr-FR" w:eastAsia="nl-NL"/>
          <w14:ligatures w14:val="none"/>
        </w:rPr>
        <w:t xml:space="preserve">ECT </w:t>
      </w:r>
      <w:r w:rsidRPr="00F77A8B">
        <w:rPr>
          <w:rFonts w:ascii="Calibri" w:eastAsia="Times New Roman" w:hAnsi="Calibri" w:cs="Calibri"/>
          <w:color w:val="424242"/>
          <w:kern w:val="0"/>
          <w:sz w:val="22"/>
          <w:szCs w:val="22"/>
          <w:lang w:val="fr-FR" w:eastAsia="nl-NL"/>
          <w14:ligatures w14:val="none"/>
        </w:rPr>
        <w:t>Euromax seront également équipées de la technologie FROC.</w:t>
      </w:r>
      <w:r>
        <w:rPr>
          <w:rFonts w:ascii="Calibri" w:eastAsia="Times New Roman" w:hAnsi="Calibri" w:cs="Calibri"/>
          <w:color w:val="424242"/>
          <w:kern w:val="0"/>
          <w:sz w:val="22"/>
          <w:szCs w:val="22"/>
          <w:lang w:val="fr-FR" w:eastAsia="nl-NL"/>
          <w14:ligatures w14:val="none"/>
        </w:rPr>
        <w:t xml:space="preserve"> </w:t>
      </w:r>
      <w:r w:rsidR="002615D1" w:rsidRPr="001A2FFA">
        <w:rPr>
          <w:rFonts w:ascii="Calibri" w:eastAsia="Times New Roman" w:hAnsi="Calibri" w:cs="Calibri"/>
          <w:color w:val="424242"/>
          <w:kern w:val="0"/>
          <w:sz w:val="22"/>
          <w:szCs w:val="22"/>
          <w:lang w:val="fr-FR" w:eastAsia="nl-NL"/>
          <w14:ligatures w14:val="none"/>
        </w:rPr>
        <w:t>Le terminal ECT Delta suivra ensuite.</w:t>
      </w:r>
    </w:p>
    <w:p w14:paraId="448242E5" w14:textId="77777777" w:rsidR="002615D1" w:rsidRPr="001A2FFA" w:rsidRDefault="002615D1" w:rsidP="001A2FFA">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b/>
          <w:bCs/>
          <w:color w:val="424242"/>
          <w:kern w:val="0"/>
          <w:sz w:val="22"/>
          <w:szCs w:val="22"/>
          <w:lang w:val="fr-FR" w:eastAsia="nl-NL"/>
          <w14:ligatures w14:val="none"/>
        </w:rPr>
        <w:t xml:space="preserve">Qu'est-ce que cela signifie pour les utilisateurs de </w:t>
      </w:r>
      <w:proofErr w:type="spellStart"/>
      <w:r w:rsidRPr="001A2FFA">
        <w:rPr>
          <w:rFonts w:ascii="Calibri" w:eastAsia="Times New Roman" w:hAnsi="Calibri" w:cs="Calibri"/>
          <w:b/>
          <w:bCs/>
          <w:color w:val="424242"/>
          <w:kern w:val="0"/>
          <w:sz w:val="22"/>
          <w:szCs w:val="22"/>
          <w:lang w:val="fr-FR" w:eastAsia="nl-NL"/>
          <w14:ligatures w14:val="none"/>
        </w:rPr>
        <w:t>CargoCard</w:t>
      </w:r>
      <w:proofErr w:type="spellEnd"/>
      <w:r w:rsidRPr="001A2FFA">
        <w:rPr>
          <w:rFonts w:ascii="Calibri" w:eastAsia="Times New Roman" w:hAnsi="Calibri" w:cs="Calibri"/>
          <w:b/>
          <w:bCs/>
          <w:color w:val="424242"/>
          <w:kern w:val="0"/>
          <w:sz w:val="22"/>
          <w:szCs w:val="22"/>
          <w:lang w:val="fr-FR" w:eastAsia="nl-NL"/>
          <w14:ligatures w14:val="none"/>
        </w:rPr>
        <w:t xml:space="preserve"> ?</w:t>
      </w:r>
    </w:p>
    <w:p w14:paraId="544D2FBF"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 xml:space="preserve">Pour conserver l'accès aux terminaux après le déploiement de ces nouveaux équipements, il est essentiel que tous les chauffeurs ajoutent la reconnaissance faciale à leur </w:t>
      </w:r>
      <w:proofErr w:type="spellStart"/>
      <w:r w:rsidRPr="001A2FFA">
        <w:rPr>
          <w:rFonts w:ascii="Calibri" w:eastAsia="Times New Roman" w:hAnsi="Calibri" w:cs="Calibri"/>
          <w:color w:val="424242"/>
          <w:kern w:val="0"/>
          <w:sz w:val="22"/>
          <w:szCs w:val="22"/>
          <w:lang w:val="fr-FR" w:eastAsia="nl-NL"/>
          <w14:ligatures w14:val="none"/>
        </w:rPr>
        <w:t>CargoCard</w:t>
      </w:r>
      <w:proofErr w:type="spellEnd"/>
      <w:r w:rsidRPr="001A2FFA">
        <w:rPr>
          <w:rFonts w:ascii="Calibri" w:eastAsia="Times New Roman" w:hAnsi="Calibri" w:cs="Calibri"/>
          <w:color w:val="424242"/>
          <w:kern w:val="0"/>
          <w:sz w:val="22"/>
          <w:szCs w:val="22"/>
          <w:lang w:val="fr-FR" w:eastAsia="nl-NL"/>
          <w14:ligatures w14:val="none"/>
        </w:rPr>
        <w:t xml:space="preserve">. Sans une </w:t>
      </w:r>
      <w:proofErr w:type="spellStart"/>
      <w:r w:rsidRPr="001A2FFA">
        <w:rPr>
          <w:rFonts w:ascii="Calibri" w:eastAsia="Times New Roman" w:hAnsi="Calibri" w:cs="Calibri"/>
          <w:color w:val="424242"/>
          <w:kern w:val="0"/>
          <w:sz w:val="22"/>
          <w:szCs w:val="22"/>
          <w:lang w:val="fr-FR" w:eastAsia="nl-NL"/>
          <w14:ligatures w14:val="none"/>
        </w:rPr>
        <w:t>CargoCard</w:t>
      </w:r>
      <w:proofErr w:type="spellEnd"/>
      <w:r w:rsidRPr="001A2FFA">
        <w:rPr>
          <w:rFonts w:ascii="Calibri" w:eastAsia="Times New Roman" w:hAnsi="Calibri" w:cs="Calibri"/>
          <w:color w:val="424242"/>
          <w:kern w:val="0"/>
          <w:sz w:val="22"/>
          <w:szCs w:val="22"/>
          <w:lang w:val="fr-FR" w:eastAsia="nl-NL"/>
          <w14:ligatures w14:val="none"/>
        </w:rPr>
        <w:t xml:space="preserve"> avec reconnaissance faciale, l'accès aux terminaux ne sera plus possible à terme. La technologie de la veine digitale sera progressivement supprimée.</w:t>
      </w:r>
    </w:p>
    <w:p w14:paraId="302D8316"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b/>
          <w:bCs/>
          <w:color w:val="424242"/>
          <w:kern w:val="0"/>
          <w:sz w:val="22"/>
          <w:szCs w:val="22"/>
          <w:lang w:val="fr-FR" w:eastAsia="nl-NL"/>
          <w14:ligatures w14:val="none"/>
        </w:rPr>
        <w:t>Étapes importantes à suivre :</w:t>
      </w:r>
    </w:p>
    <w:p w14:paraId="5D0AAE85" w14:textId="77777777" w:rsidR="002615D1" w:rsidRPr="001A2FFA" w:rsidRDefault="002615D1" w:rsidP="002615D1">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 xml:space="preserve">Si la reconnaissance faciale n'a pas encore été ajoutée à la </w:t>
      </w:r>
      <w:proofErr w:type="spellStart"/>
      <w:r w:rsidRPr="001A2FFA">
        <w:rPr>
          <w:rFonts w:ascii="Calibri" w:eastAsia="Times New Roman" w:hAnsi="Calibri" w:cs="Calibri"/>
          <w:color w:val="424242"/>
          <w:kern w:val="0"/>
          <w:sz w:val="22"/>
          <w:szCs w:val="22"/>
          <w:lang w:val="fr-FR" w:eastAsia="nl-NL"/>
          <w14:ligatures w14:val="none"/>
        </w:rPr>
        <w:t>CargoCard</w:t>
      </w:r>
      <w:proofErr w:type="spellEnd"/>
      <w:r w:rsidRPr="001A2FFA">
        <w:rPr>
          <w:rFonts w:ascii="Calibri" w:eastAsia="Times New Roman" w:hAnsi="Calibri" w:cs="Calibri"/>
          <w:color w:val="424242"/>
          <w:kern w:val="0"/>
          <w:sz w:val="22"/>
          <w:szCs w:val="22"/>
          <w:lang w:val="fr-FR" w:eastAsia="nl-NL"/>
          <w14:ligatures w14:val="none"/>
        </w:rPr>
        <w:t xml:space="preserve">, les chauffeurs doivent mettre à jour leur </w:t>
      </w:r>
      <w:proofErr w:type="spellStart"/>
      <w:r w:rsidRPr="001A2FFA">
        <w:rPr>
          <w:rFonts w:ascii="Calibri" w:eastAsia="Times New Roman" w:hAnsi="Calibri" w:cs="Calibri"/>
          <w:color w:val="424242"/>
          <w:kern w:val="0"/>
          <w:sz w:val="22"/>
          <w:szCs w:val="22"/>
          <w:lang w:val="fr-FR" w:eastAsia="nl-NL"/>
          <w14:ligatures w14:val="none"/>
        </w:rPr>
        <w:t>CargoCard</w:t>
      </w:r>
      <w:proofErr w:type="spellEnd"/>
      <w:r w:rsidRPr="001A2FFA">
        <w:rPr>
          <w:rFonts w:ascii="Calibri" w:eastAsia="Times New Roman" w:hAnsi="Calibri" w:cs="Calibri"/>
          <w:color w:val="424242"/>
          <w:kern w:val="0"/>
          <w:sz w:val="22"/>
          <w:szCs w:val="22"/>
          <w:lang w:val="fr-FR" w:eastAsia="nl-NL"/>
          <w14:ligatures w14:val="none"/>
        </w:rPr>
        <w:t xml:space="preserve"> avec la reconnaissance faciale dans les plus brefs délais.</w:t>
      </w:r>
    </w:p>
    <w:p w14:paraId="7DD601C0" w14:textId="77777777" w:rsidR="002615D1" w:rsidRPr="001A2FFA" w:rsidRDefault="002615D1" w:rsidP="002615D1">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 xml:space="preserve">Cela peut être fait chez Secure </w:t>
      </w:r>
      <w:proofErr w:type="spellStart"/>
      <w:r w:rsidRPr="001A2FFA">
        <w:rPr>
          <w:rFonts w:ascii="Calibri" w:eastAsia="Times New Roman" w:hAnsi="Calibri" w:cs="Calibri"/>
          <w:color w:val="424242"/>
          <w:kern w:val="0"/>
          <w:sz w:val="22"/>
          <w:szCs w:val="22"/>
          <w:lang w:val="fr-FR" w:eastAsia="nl-NL"/>
          <w14:ligatures w14:val="none"/>
        </w:rPr>
        <w:t>Logistics</w:t>
      </w:r>
      <w:proofErr w:type="spellEnd"/>
      <w:r w:rsidRPr="001A2FFA">
        <w:rPr>
          <w:rFonts w:ascii="Calibri" w:eastAsia="Times New Roman" w:hAnsi="Calibri" w:cs="Calibri"/>
          <w:color w:val="424242"/>
          <w:kern w:val="0"/>
          <w:sz w:val="22"/>
          <w:szCs w:val="22"/>
          <w:lang w:val="fr-FR" w:eastAsia="nl-NL"/>
          <w14:ligatures w14:val="none"/>
        </w:rPr>
        <w:t xml:space="preserve">, l'émetteur de la </w:t>
      </w:r>
      <w:proofErr w:type="spellStart"/>
      <w:r w:rsidRPr="001A2FFA">
        <w:rPr>
          <w:rFonts w:ascii="Calibri" w:eastAsia="Times New Roman" w:hAnsi="Calibri" w:cs="Calibri"/>
          <w:color w:val="424242"/>
          <w:kern w:val="0"/>
          <w:sz w:val="22"/>
          <w:szCs w:val="22"/>
          <w:lang w:val="fr-FR" w:eastAsia="nl-NL"/>
          <w14:ligatures w14:val="none"/>
        </w:rPr>
        <w:t>CargoCard</w:t>
      </w:r>
      <w:proofErr w:type="spellEnd"/>
      <w:r w:rsidRPr="001A2FFA">
        <w:rPr>
          <w:rFonts w:ascii="Calibri" w:eastAsia="Times New Roman" w:hAnsi="Calibri" w:cs="Calibri"/>
          <w:color w:val="424242"/>
          <w:kern w:val="0"/>
          <w:sz w:val="22"/>
          <w:szCs w:val="22"/>
          <w:lang w:val="fr-FR" w:eastAsia="nl-NL"/>
          <w14:ligatures w14:val="none"/>
        </w:rPr>
        <w:t xml:space="preserve">. Le bureau de Secure </w:t>
      </w:r>
      <w:proofErr w:type="spellStart"/>
      <w:r w:rsidRPr="001A2FFA">
        <w:rPr>
          <w:rFonts w:ascii="Calibri" w:eastAsia="Times New Roman" w:hAnsi="Calibri" w:cs="Calibri"/>
          <w:color w:val="424242"/>
          <w:kern w:val="0"/>
          <w:sz w:val="22"/>
          <w:szCs w:val="22"/>
          <w:lang w:val="fr-FR" w:eastAsia="nl-NL"/>
          <w14:ligatures w14:val="none"/>
        </w:rPr>
        <w:t>Logistics</w:t>
      </w:r>
      <w:proofErr w:type="spellEnd"/>
      <w:r w:rsidRPr="001A2FFA">
        <w:rPr>
          <w:rFonts w:ascii="Calibri" w:eastAsia="Times New Roman" w:hAnsi="Calibri" w:cs="Calibri"/>
          <w:color w:val="424242"/>
          <w:kern w:val="0"/>
          <w:sz w:val="22"/>
          <w:szCs w:val="22"/>
          <w:lang w:val="fr-FR" w:eastAsia="nl-NL"/>
          <w14:ligatures w14:val="none"/>
        </w:rPr>
        <w:t xml:space="preserve"> se trouve à </w:t>
      </w:r>
      <w:proofErr w:type="spellStart"/>
      <w:r w:rsidRPr="001A2FFA">
        <w:rPr>
          <w:rFonts w:ascii="Calibri" w:eastAsia="Times New Roman" w:hAnsi="Calibri" w:cs="Calibri"/>
          <w:color w:val="424242"/>
          <w:kern w:val="0"/>
          <w:sz w:val="22"/>
          <w:szCs w:val="22"/>
          <w:u w:val="single"/>
          <w:lang w:val="fr-FR" w:eastAsia="nl-NL"/>
          <w14:ligatures w14:val="none"/>
        </w:rPr>
        <w:t>Hormuzstraat</w:t>
      </w:r>
      <w:proofErr w:type="spellEnd"/>
      <w:r w:rsidRPr="001A2FFA">
        <w:rPr>
          <w:rFonts w:ascii="Calibri" w:eastAsia="Times New Roman" w:hAnsi="Calibri" w:cs="Calibri"/>
          <w:color w:val="424242"/>
          <w:kern w:val="0"/>
          <w:sz w:val="22"/>
          <w:szCs w:val="22"/>
          <w:u w:val="single"/>
          <w:lang w:val="fr-FR" w:eastAsia="nl-NL"/>
          <w14:ligatures w14:val="none"/>
        </w:rPr>
        <w:t xml:space="preserve"> 50, 3199 KW Rotterdam (</w:t>
      </w:r>
      <w:proofErr w:type="spellStart"/>
      <w:r w:rsidRPr="001A2FFA">
        <w:rPr>
          <w:rFonts w:ascii="Calibri" w:eastAsia="Times New Roman" w:hAnsi="Calibri" w:cs="Calibri"/>
          <w:color w:val="424242"/>
          <w:kern w:val="0"/>
          <w:sz w:val="22"/>
          <w:szCs w:val="22"/>
          <w:u w:val="single"/>
          <w:lang w:val="fr-FR" w:eastAsia="nl-NL"/>
          <w14:ligatures w14:val="none"/>
        </w:rPr>
        <w:t>Maasvlakte</w:t>
      </w:r>
      <w:proofErr w:type="spellEnd"/>
      <w:r w:rsidRPr="001A2FFA">
        <w:rPr>
          <w:rFonts w:ascii="Calibri" w:eastAsia="Times New Roman" w:hAnsi="Calibri" w:cs="Calibri"/>
          <w:color w:val="424242"/>
          <w:kern w:val="0"/>
          <w:sz w:val="22"/>
          <w:szCs w:val="22"/>
          <w:u w:val="single"/>
          <w:lang w:val="fr-FR" w:eastAsia="nl-NL"/>
          <w14:ligatures w14:val="none"/>
        </w:rPr>
        <w:t xml:space="preserve">) à </w:t>
      </w:r>
      <w:proofErr w:type="spellStart"/>
      <w:r w:rsidRPr="001A2FFA">
        <w:rPr>
          <w:rFonts w:ascii="Calibri" w:eastAsia="Times New Roman" w:hAnsi="Calibri" w:cs="Calibri"/>
          <w:color w:val="424242"/>
          <w:kern w:val="0"/>
          <w:sz w:val="22"/>
          <w:szCs w:val="22"/>
          <w:u w:val="single"/>
          <w:lang w:val="fr-FR" w:eastAsia="nl-NL"/>
          <w14:ligatures w14:val="none"/>
        </w:rPr>
        <w:t>Maasvlakte</w:t>
      </w:r>
      <w:proofErr w:type="spellEnd"/>
      <w:r w:rsidRPr="001A2FFA">
        <w:rPr>
          <w:rFonts w:ascii="Calibri" w:eastAsia="Times New Roman" w:hAnsi="Calibri" w:cs="Calibri"/>
          <w:color w:val="424242"/>
          <w:kern w:val="0"/>
          <w:sz w:val="22"/>
          <w:szCs w:val="22"/>
          <w:u w:val="single"/>
          <w:lang w:val="fr-FR" w:eastAsia="nl-NL"/>
          <w14:ligatures w14:val="none"/>
        </w:rPr>
        <w:t xml:space="preserve"> Plaza</w:t>
      </w:r>
      <w:r w:rsidRPr="001A2FFA">
        <w:rPr>
          <w:rFonts w:ascii="Calibri" w:eastAsia="Times New Roman" w:hAnsi="Calibri" w:cs="Calibri"/>
          <w:color w:val="424242"/>
          <w:kern w:val="0"/>
          <w:sz w:val="22"/>
          <w:szCs w:val="22"/>
          <w:lang w:val="fr-FR" w:eastAsia="nl-NL"/>
          <w14:ligatures w14:val="none"/>
        </w:rPr>
        <w:t>.</w:t>
      </w:r>
    </w:p>
    <w:p w14:paraId="160E1000" w14:textId="77777777" w:rsidR="002615D1" w:rsidRPr="001A2FFA" w:rsidRDefault="002615D1" w:rsidP="002615D1">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Notez qu'il y aura une période de transition pendant laquelle les deux systèmes biométriques pourront fonctionner temporairement côte à côte, mais la reconnaissance faciale deviendra finalement prédominante.</w:t>
      </w:r>
    </w:p>
    <w:p w14:paraId="34887D2F" w14:textId="39F65C69" w:rsidR="002615D1" w:rsidRPr="001A2FFA" w:rsidRDefault="00F77A8B"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F77A8B">
        <w:rPr>
          <w:rFonts w:ascii="Calibri" w:eastAsia="Times New Roman" w:hAnsi="Calibri" w:cs="Calibri"/>
          <w:color w:val="424242"/>
          <w:kern w:val="0"/>
          <w:sz w:val="22"/>
          <w:szCs w:val="22"/>
          <w:lang w:val="fr-FR" w:eastAsia="nl-NL"/>
          <w14:ligatures w14:val="none"/>
        </w:rPr>
        <w:t xml:space="preserve">Sur la page d’accueil du site ECT, </w:t>
      </w:r>
      <w:hyperlink r:id="rId5" w:history="1">
        <w:r w:rsidRPr="00F77A8B">
          <w:rPr>
            <w:rStyle w:val="Hyperlink"/>
            <w:rFonts w:ascii="Calibri" w:eastAsia="Times New Roman" w:hAnsi="Calibri" w:cs="Calibri"/>
            <w:kern w:val="0"/>
            <w:sz w:val="22"/>
            <w:szCs w:val="22"/>
            <w:lang w:val="fr-FR" w:eastAsia="nl-NL"/>
            <w14:ligatures w14:val="none"/>
          </w:rPr>
          <w:t>www.ect.nl</w:t>
        </w:r>
      </w:hyperlink>
      <w:r w:rsidRPr="00F77A8B">
        <w:rPr>
          <w:rFonts w:ascii="Calibri" w:eastAsia="Times New Roman" w:hAnsi="Calibri" w:cs="Calibri"/>
          <w:color w:val="424242"/>
          <w:kern w:val="0"/>
          <w:sz w:val="22"/>
          <w:szCs w:val="22"/>
          <w:lang w:val="fr-FR" w:eastAsia="nl-NL"/>
          <w14:ligatures w14:val="none"/>
        </w:rPr>
        <w:t xml:space="preserve">, un dossier intitulé « Reconnaissance faciale via </w:t>
      </w:r>
      <w:proofErr w:type="spellStart"/>
      <w:r w:rsidRPr="00F77A8B">
        <w:rPr>
          <w:rFonts w:ascii="Calibri" w:eastAsia="Times New Roman" w:hAnsi="Calibri" w:cs="Calibri"/>
          <w:color w:val="424242"/>
          <w:kern w:val="0"/>
          <w:sz w:val="22"/>
          <w:szCs w:val="22"/>
          <w:lang w:val="fr-FR" w:eastAsia="nl-NL"/>
          <w14:ligatures w14:val="none"/>
        </w:rPr>
        <w:t>CargoCard</w:t>
      </w:r>
      <w:proofErr w:type="spellEnd"/>
      <w:r w:rsidRPr="00F77A8B">
        <w:rPr>
          <w:rFonts w:ascii="Calibri" w:eastAsia="Times New Roman" w:hAnsi="Calibri" w:cs="Calibri"/>
          <w:color w:val="424242"/>
          <w:kern w:val="0"/>
          <w:sz w:val="22"/>
          <w:szCs w:val="22"/>
          <w:lang w:val="fr-FR" w:eastAsia="nl-NL"/>
          <w14:ligatures w14:val="none"/>
        </w:rPr>
        <w:t xml:space="preserve"> » a été mis en ligne, contenant des informations actualisées sur ce sujet en plusieurs langues</w:t>
      </w:r>
      <w:r>
        <w:rPr>
          <w:rFonts w:ascii="Calibri" w:eastAsia="Times New Roman" w:hAnsi="Calibri" w:cs="Calibri"/>
          <w:color w:val="424242"/>
          <w:kern w:val="0"/>
          <w:sz w:val="22"/>
          <w:szCs w:val="22"/>
          <w:lang w:val="fr-FR" w:eastAsia="nl-NL"/>
          <w14:ligatures w14:val="none"/>
        </w:rPr>
        <w:t xml:space="preserve">, </w:t>
      </w:r>
      <w:r w:rsidR="002615D1" w:rsidRPr="001A2FFA">
        <w:rPr>
          <w:rFonts w:ascii="Calibri" w:eastAsia="Times New Roman" w:hAnsi="Calibri" w:cs="Calibri"/>
          <w:color w:val="424242"/>
          <w:kern w:val="0"/>
          <w:sz w:val="22"/>
          <w:szCs w:val="22"/>
          <w:lang w:val="fr-FR" w:eastAsia="nl-NL"/>
          <w14:ligatures w14:val="none"/>
        </w:rPr>
        <w:t>y compris une section « Questions fréquemment posées ».</w:t>
      </w:r>
    </w:p>
    <w:p w14:paraId="73373BDA"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Nous comptons sur la coopération de tous pour cette transition et nous vous tiendrons bien sûr informés des progrès.</w:t>
      </w:r>
    </w:p>
    <w:p w14:paraId="571F16CC" w14:textId="77777777" w:rsidR="00B03398" w:rsidRPr="001A2FFA" w:rsidRDefault="00B03398" w:rsidP="002615D1">
      <w:pPr>
        <w:rPr>
          <w:rFonts w:ascii="Calibri" w:hAnsi="Calibri" w:cs="Calibri"/>
          <w:sz w:val="22"/>
          <w:szCs w:val="22"/>
          <w:lang w:val="fr-FR"/>
        </w:rPr>
      </w:pPr>
    </w:p>
    <w:sectPr w:rsidR="00B03398" w:rsidRPr="001A2F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62A05"/>
    <w:multiLevelType w:val="multilevel"/>
    <w:tmpl w:val="54A2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440879"/>
    <w:multiLevelType w:val="hybridMultilevel"/>
    <w:tmpl w:val="78A028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34449967">
    <w:abstractNumId w:val="0"/>
  </w:num>
  <w:num w:numId="2" w16cid:durableId="1305310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C"/>
    <w:rsid w:val="0001472C"/>
    <w:rsid w:val="000567EB"/>
    <w:rsid w:val="00101C13"/>
    <w:rsid w:val="001435DE"/>
    <w:rsid w:val="001A2FFA"/>
    <w:rsid w:val="002215A4"/>
    <w:rsid w:val="002615D1"/>
    <w:rsid w:val="002646FC"/>
    <w:rsid w:val="004439DF"/>
    <w:rsid w:val="00653184"/>
    <w:rsid w:val="00932CA7"/>
    <w:rsid w:val="00957A34"/>
    <w:rsid w:val="0099098D"/>
    <w:rsid w:val="00A66559"/>
    <w:rsid w:val="00B03398"/>
    <w:rsid w:val="00C15213"/>
    <w:rsid w:val="00EB6E45"/>
    <w:rsid w:val="00EE25BC"/>
    <w:rsid w:val="00F77A8B"/>
    <w:rsid w:val="00FC54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2028"/>
  <w15:chartTrackingRefBased/>
  <w15:docId w15:val="{03581881-BB9D-40DB-855D-44416C9F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98"/>
    <w:rPr>
      <w:rFonts w:eastAsiaTheme="majorEastAsia" w:cstheme="majorBidi"/>
      <w:color w:val="272727" w:themeColor="text1" w:themeTint="D8"/>
    </w:rPr>
  </w:style>
  <w:style w:type="paragraph" w:styleId="Title">
    <w:name w:val="Title"/>
    <w:basedOn w:val="Normal"/>
    <w:next w:val="Normal"/>
    <w:link w:val="TitleChar"/>
    <w:uiPriority w:val="10"/>
    <w:qFormat/>
    <w:rsid w:val="00B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398"/>
    <w:rPr>
      <w:i/>
      <w:iCs/>
      <w:color w:val="404040" w:themeColor="text1" w:themeTint="BF"/>
    </w:rPr>
  </w:style>
  <w:style w:type="paragraph" w:styleId="ListParagraph">
    <w:name w:val="List Paragraph"/>
    <w:basedOn w:val="Normal"/>
    <w:uiPriority w:val="34"/>
    <w:qFormat/>
    <w:rsid w:val="00B03398"/>
    <w:pPr>
      <w:ind w:left="720"/>
      <w:contextualSpacing/>
    </w:pPr>
  </w:style>
  <w:style w:type="character" w:styleId="IntenseEmphasis">
    <w:name w:val="Intense Emphasis"/>
    <w:basedOn w:val="DefaultParagraphFont"/>
    <w:uiPriority w:val="21"/>
    <w:qFormat/>
    <w:rsid w:val="00B03398"/>
    <w:rPr>
      <w:i/>
      <w:iCs/>
      <w:color w:val="0F4761" w:themeColor="accent1" w:themeShade="BF"/>
    </w:rPr>
  </w:style>
  <w:style w:type="paragraph" w:styleId="IntenseQuote">
    <w:name w:val="Intense Quote"/>
    <w:basedOn w:val="Normal"/>
    <w:next w:val="Normal"/>
    <w:link w:val="IntenseQuoteChar"/>
    <w:uiPriority w:val="30"/>
    <w:qFormat/>
    <w:rsid w:val="00B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98"/>
    <w:rPr>
      <w:i/>
      <w:iCs/>
      <w:color w:val="0F4761" w:themeColor="accent1" w:themeShade="BF"/>
    </w:rPr>
  </w:style>
  <w:style w:type="character" w:styleId="IntenseReference">
    <w:name w:val="Intense Reference"/>
    <w:basedOn w:val="DefaultParagraphFont"/>
    <w:uiPriority w:val="32"/>
    <w:qFormat/>
    <w:rsid w:val="00B03398"/>
    <w:rPr>
      <w:b/>
      <w:bCs/>
      <w:smallCaps/>
      <w:color w:val="0F4761" w:themeColor="accent1" w:themeShade="BF"/>
      <w:spacing w:val="5"/>
    </w:rPr>
  </w:style>
  <w:style w:type="paragraph" w:styleId="NormalWeb">
    <w:name w:val="Normal (Web)"/>
    <w:basedOn w:val="Normal"/>
    <w:uiPriority w:val="99"/>
    <w:semiHidden/>
    <w:unhideWhenUsed/>
    <w:rsid w:val="00FC542C"/>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FC542C"/>
    <w:rPr>
      <w:b/>
      <w:bCs/>
    </w:rPr>
  </w:style>
  <w:style w:type="character" w:styleId="Hyperlink">
    <w:name w:val="Hyperlink"/>
    <w:basedOn w:val="DefaultParagraphFont"/>
    <w:uiPriority w:val="99"/>
    <w:unhideWhenUsed/>
    <w:rsid w:val="0099098D"/>
    <w:rPr>
      <w:color w:val="467886" w:themeColor="hyperlink"/>
      <w:u w:val="single"/>
    </w:rPr>
  </w:style>
  <w:style w:type="character" w:styleId="UnresolvedMention">
    <w:name w:val="Unresolved Mention"/>
    <w:basedOn w:val="DefaultParagraphFont"/>
    <w:uiPriority w:val="99"/>
    <w:semiHidden/>
    <w:unhideWhenUsed/>
    <w:rsid w:val="00990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579852">
      <w:bodyDiv w:val="1"/>
      <w:marLeft w:val="0"/>
      <w:marRight w:val="0"/>
      <w:marTop w:val="0"/>
      <w:marBottom w:val="0"/>
      <w:divBdr>
        <w:top w:val="none" w:sz="0" w:space="0" w:color="auto"/>
        <w:left w:val="none" w:sz="0" w:space="0" w:color="auto"/>
        <w:bottom w:val="none" w:sz="0" w:space="0" w:color="auto"/>
        <w:right w:val="none" w:sz="0" w:space="0" w:color="auto"/>
      </w:divBdr>
    </w:div>
    <w:div w:id="118544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ect.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382</Words>
  <Characters>2104</Characters>
  <Application>Microsoft Office Word</Application>
  <DocSecurity>0</DocSecurity>
  <Lines>17</Lines>
  <Paragraphs>4</Paragraphs>
  <ScaleCrop>false</ScaleCrop>
  <Company>HutchisonPorts ECT Rotterdam</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Bagchus, Rob</dc:creator>
  <cp:keywords/>
  <dc:description/>
  <cp:lastModifiedBy>Bagchus, Rob</cp:lastModifiedBy>
  <cp:revision>6</cp:revision>
  <dcterms:created xsi:type="dcterms:W3CDTF">2025-08-25T12:38:00Z</dcterms:created>
  <dcterms:modified xsi:type="dcterms:W3CDTF">2025-08-27T10:01:00Z</dcterms:modified>
</cp:coreProperties>
</file>