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00"/>
        <w:jc w:val="center"/>
      </w:pPr>
      <w:r>
        <w:rPr>
          <w:rFonts w:ascii="Calibri" w:cs="Calibri" w:eastAsia="Calibri" w:hAnsi="Calibri"/>
          <w:b/>
          <w:bCs/>
          <w:color w:val="1F4E79"/>
          <w:sz w:val="72"/>
          <w:szCs w:val="72"/>
        </w:rPr>
        <w:t xml:space="preserve">SupplyGuard</w:t>
      </w:r>
    </w:p>
    <w:p>
      <w:pPr>
        <w:spacing w:after="100"/>
        <w:jc w:val="center"/>
      </w:pPr>
      <w:r>
        <w:rPr>
          <w:rFonts w:ascii="Calibri" w:cs="Calibri" w:eastAsia="Calibri" w:hAnsi="Calibri"/>
          <w:color w:val="666666"/>
          <w:sz w:val="32"/>
          <w:szCs w:val="32"/>
        </w:rPr>
        <w:t xml:space="preserve">AI-Powered Supplier Risk &amp; Due Diligence Tracker</w:t>
      </w:r>
    </w:p>
    <w:p>
      <w:pPr>
        <w:pBdr>
          <w:bottom w:val="single" w:color="1F4E79" w:sz="6" w:space="1"/>
        </w:pBdr>
        <w:spacing w:after="600"/>
        <w:jc w:val="center"/>
      </w:pPr>
    </w:p>
    <w:p>
      <w:pPr>
        <w:spacing w:after="120"/>
        <w:jc w:val="center"/>
      </w:pPr>
      <w:r>
        <w:rPr>
          <w:rFonts w:ascii="Calibri" w:cs="Calibri" w:eastAsia="Calibri" w:hAnsi="Calibri"/>
          <w:b w:val="false"/>
          <w:bCs w:val="false"/>
          <w:i w:val="false"/>
          <w:iCs w:val="false"/>
          <w:color w:val="333333"/>
          <w:sz w:val="26"/>
          <w:szCs w:val="26"/>
        </w:rPr>
        <w:t xml:space="preserve">A Full-Stack Enterprise Web Application</w:t>
      </w:r>
    </w:p>
    <w:p>
      <w:pPr>
        <w:spacing w:after="400"/>
        <w:jc w:val="center"/>
      </w:pPr>
      <w:r>
        <w:rPr>
          <w:rFonts w:ascii="Calibri" w:cs="Calibri" w:eastAsia="Calibri" w:hAnsi="Calibri"/>
          <w:b w:val="false"/>
          <w:bCs w:val="false"/>
          <w:i w:val="false"/>
          <w:iCs w:val="false"/>
          <w:color w:val="333333"/>
          <w:sz w:val="26"/>
          <w:szCs w:val="26"/>
        </w:rPr>
        <w:t xml:space="preserve">for Procurement &amp; Compliance Teams</w:t>
      </w:r>
    </w:p>
    <w:p>
      <w:pPr>
        <w:spacing w:after="120"/>
        <w:jc w:val="center"/>
      </w:pPr>
      <w:r>
        <w:rPr>
          <w:rFonts w:ascii="Calibri" w:cs="Calibri" w:eastAsia="Calibri" w:hAnsi="Calibri"/>
          <w:b/>
          <w:bCs/>
          <w:i w:val="false"/>
          <w:iCs w:val="false"/>
          <w:color w:val="333333"/>
          <w:sz w:val="28"/>
          <w:szCs w:val="28"/>
        </w:rPr>
        <w:t xml:space="preserve">Sameer Saxena</w:t>
      </w:r>
    </w:p>
    <w:p>
      <w:pPr>
        <w:spacing w:after="120"/>
        <w:jc w:val="center"/>
      </w:pPr>
      <w:r>
        <w:rPr>
          <w:rFonts w:ascii="Calibri" w:cs="Calibri" w:eastAsia="Calibri" w:hAnsi="Calibri"/>
          <w:b w:val="false"/>
          <w:bCs w:val="false"/>
          <w:i w:val="false"/>
          <w:iCs w:val="false"/>
          <w:color w:val="666666"/>
          <w:sz w:val="24"/>
          <w:szCs w:val="24"/>
        </w:rPr>
        <w:t xml:space="preserve">University of Maryland</w:t>
      </w:r>
    </w:p>
    <w:p>
      <w:pPr>
        <w:spacing w:after="120"/>
        <w:jc w:val="center"/>
      </w:pPr>
      <w:r>
        <w:rPr>
          <w:rFonts w:ascii="Calibri" w:cs="Calibri" w:eastAsia="Calibri" w:hAnsi="Calibri"/>
          <w:b w:val="false"/>
          <w:bCs w:val="false"/>
          <w:i w:val="false"/>
          <w:iCs w:val="false"/>
          <w:color w:val="666666"/>
          <w:sz w:val="24"/>
          <w:szCs w:val="24"/>
        </w:rPr>
        <w:t xml:space="preserve">April 2026</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2"/>
          <w:szCs w:val="32"/>
        </w:rPr>
        <w:t xml:space="preserve">1. The Supply Chain Problem</w:t>
      </w:r>
    </w:p>
    <w:p>
      <w:pPr>
        <w:spacing w:after="120"/>
        <w:jc w:val="left"/>
      </w:pPr>
      <w:r>
        <w:rPr>
          <w:rFonts w:ascii="Calibri" w:cs="Calibri" w:eastAsia="Calibri" w:hAnsi="Calibri"/>
          <w:b w:val="false"/>
          <w:bCs w:val="false"/>
          <w:i w:val="false"/>
          <w:iCs w:val="false"/>
          <w:color w:val="333333"/>
          <w:sz w:val="22"/>
          <w:szCs w:val="22"/>
        </w:rPr>
        <w:t xml:space="preserve">Global supply chains are under unprecedented pressure. Procurement and compliance teams manage hundreds of suppliers across geographies, tracking regulatory compliance, monitoring sanctions, and assessing risk — often with spreadsheets and manual processes.</w:t>
      </w:r>
    </w:p>
    <w:p>
      <w:pPr>
        <w:spacing w:after="60"/>
      </w:pPr>
    </w:p>
    <w:p>
      <w:pPr>
        <w:spacing w:after="120"/>
        <w:jc w:val="left"/>
      </w:pPr>
      <w:r>
        <w:rPr>
          <w:rFonts w:ascii="Calibri" w:cs="Calibri" w:eastAsia="Calibri" w:hAnsi="Calibri"/>
          <w:b/>
          <w:bCs/>
          <w:i w:val="false"/>
          <w:iCs w:val="false"/>
          <w:color w:val="333333"/>
          <w:sz w:val="22"/>
          <w:szCs w:val="22"/>
        </w:rPr>
        <w:t xml:space="preserve">The four key problem areas in supply chain management: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D32" w:sz="12"/>
              <w:bottom w:val="single" w:color="BBBBBB" w:sz="1"/>
              <w:right w:val="single" w:color="BBBBBB" w:sz="1"/>
            </w:tcBorders>
            <w:shd w:fill="E8F5E9" w:val="clear"/>
            <w:tcMar>
              <w:top w:type="dxa" w:w="100"/>
              <w:left w:type="dxa" w:w="140"/>
              <w:bottom w:type="dxa" w:w="100"/>
              <w:right w:type="dxa" w:w="140"/>
            </w:tcMar>
          </w:tcPr>
          <w:p>
            <w:pPr>
              <w:spacing w:after="40"/>
            </w:pPr>
            <w:r>
              <w:rPr>
                <w:rFonts w:ascii="Calibri" w:cs="Calibri" w:eastAsia="Calibri" w:hAnsi="Calibri"/>
                <w:b/>
                <w:bCs/>
                <w:color w:val="2E7D32"/>
                <w:sz w:val="18"/>
                <w:szCs w:val="18"/>
              </w:rPr>
              <w:t xml:space="preserve">✓ IN SCOPE  —  </w:t>
            </w:r>
            <w:r>
              <w:rPr>
                <w:rFonts w:ascii="Calibri" w:cs="Calibri" w:eastAsia="Calibri" w:hAnsi="Calibri"/>
                <w:b/>
                <w:bCs/>
                <w:color w:val="333333"/>
                <w:sz w:val="22"/>
                <w:szCs w:val="22"/>
              </w:rPr>
              <w:t xml:space="preserve">Compliance &amp; Due Diligence</w:t>
            </w:r>
          </w:p>
          <w:p>
            <w:r>
              <w:rPr>
                <w:rFonts w:ascii="Calibri" w:cs="Calibri" w:eastAsia="Calibri" w:hAnsi="Calibri"/>
                <w:color w:val="666666"/>
                <w:sz w:val="20"/>
                <w:szCs w:val="20"/>
              </w:rPr>
              <w:t xml:space="preserve">Tracking expiring documents (ISO certifications, insurance, sanctions declarations), audit schedules, and regulatory requirements across 150+ suppliers. Manual processes are error-prone, inconsistent, and don’t scale.</w:t>
            </w:r>
          </w:p>
        </w:tc>
      </w:tr>
      <w:tr>
        <w:tc>
          <w:tcPr>
            <w:tcW w:type="dxa" w:w="9360"/>
            <w:tcBorders>
              <w:top w:val="single" w:color="BBBBBB" w:sz="1"/>
              <w:left w:val="single" w:color="E65100" w:sz="12"/>
              <w:bottom w:val="single" w:color="BBBBBB" w:sz="1"/>
              <w:right w:val="single" w:color="BBBBBB" w:sz="1"/>
            </w:tcBorders>
            <w:shd w:fill="FFF3E0" w:val="clear"/>
            <w:tcMar>
              <w:top w:type="dxa" w:w="100"/>
              <w:left w:type="dxa" w:w="140"/>
              <w:bottom w:type="dxa" w:w="100"/>
              <w:right w:type="dxa" w:w="140"/>
            </w:tcMar>
          </w:tcPr>
          <w:p>
            <w:pPr>
              <w:spacing w:after="40"/>
            </w:pPr>
            <w:r>
              <w:rPr>
                <w:rFonts w:ascii="Calibri" w:cs="Calibri" w:eastAsia="Calibri" w:hAnsi="Calibri"/>
                <w:b/>
                <w:bCs/>
                <w:color w:val="E65100"/>
                <w:sz w:val="18"/>
                <w:szCs w:val="18"/>
              </w:rPr>
              <w:t xml:space="preserve">✗ OUT OF SCOPE  —  </w:t>
            </w:r>
            <w:r>
              <w:rPr>
                <w:rFonts w:ascii="Calibri" w:cs="Calibri" w:eastAsia="Calibri" w:hAnsi="Calibri"/>
                <w:b/>
                <w:bCs/>
                <w:color w:val="333333"/>
                <w:sz w:val="22"/>
                <w:szCs w:val="22"/>
              </w:rPr>
              <w:t xml:space="preserve">Real-Time Traceability</w:t>
            </w:r>
          </w:p>
          <w:p>
            <w:r>
              <w:rPr>
                <w:rFonts w:ascii="Calibri" w:cs="Calibri" w:eastAsia="Calibri" w:hAnsi="Calibri"/>
                <w:color w:val="666666"/>
                <w:sz w:val="20"/>
                <w:szCs w:val="20"/>
              </w:rPr>
              <w:t xml:space="preserve">Tracking materials from source to destination in transit — disruptions from natural calamities, war, trade barriers, and geopolitical events. Requires IoT/GPS integration beyond current scope.</w:t>
            </w:r>
          </w:p>
        </w:tc>
      </w:tr>
      <w:tr>
        <w:tc>
          <w:tcPr>
            <w:tcW w:type="dxa" w:w="9360"/>
            <w:tcBorders>
              <w:top w:val="single" w:color="BBBBBB" w:sz="1"/>
              <w:left w:val="single" w:color="E65100" w:sz="12"/>
              <w:bottom w:val="single" w:color="BBBBBB" w:sz="1"/>
              <w:right w:val="single" w:color="BBBBBB" w:sz="1"/>
            </w:tcBorders>
            <w:shd w:fill="FFF3E0" w:val="clear"/>
            <w:tcMar>
              <w:top w:type="dxa" w:w="100"/>
              <w:left w:type="dxa" w:w="140"/>
              <w:bottom w:type="dxa" w:w="100"/>
              <w:right w:type="dxa" w:w="140"/>
            </w:tcMar>
          </w:tcPr>
          <w:p>
            <w:pPr>
              <w:spacing w:after="40"/>
            </w:pPr>
            <w:r>
              <w:rPr>
                <w:rFonts w:ascii="Calibri" w:cs="Calibri" w:eastAsia="Calibri" w:hAnsi="Calibri"/>
                <w:b/>
                <w:bCs/>
                <w:color w:val="E65100"/>
                <w:sz w:val="18"/>
                <w:szCs w:val="18"/>
              </w:rPr>
              <w:t xml:space="preserve">✗ OUT OF SCOPE  —  </w:t>
            </w:r>
            <w:r>
              <w:rPr>
                <w:rFonts w:ascii="Calibri" w:cs="Calibri" w:eastAsia="Calibri" w:hAnsi="Calibri"/>
                <w:b/>
                <w:bCs/>
                <w:color w:val="333333"/>
                <w:sz w:val="22"/>
                <w:szCs w:val="22"/>
              </w:rPr>
              <w:t xml:space="preserve">Business Impact on Customer Orders</w:t>
            </w:r>
          </w:p>
          <w:p>
            <w:r>
              <w:rPr>
                <w:rFonts w:ascii="Calibri" w:cs="Calibri" w:eastAsia="Calibri" w:hAnsi="Calibri"/>
                <w:color w:val="666666"/>
                <w:sz w:val="20"/>
                <w:szCs w:val="20"/>
              </w:rPr>
              <w:t xml:space="preserve">Production challenges, order delays, and cascading effects when suppliers fail. Requires ERP integration and demand forecasting models.</w:t>
            </w:r>
          </w:p>
        </w:tc>
      </w:tr>
      <w:tr>
        <w:tc>
          <w:tcPr>
            <w:tcW w:type="dxa" w:w="9360"/>
            <w:tcBorders>
              <w:top w:val="single" w:color="BBBBBB" w:sz="1"/>
              <w:left w:val="single" w:color="2E7D32" w:sz="12"/>
              <w:bottom w:val="single" w:color="BBBBBB" w:sz="1"/>
              <w:right w:val="single" w:color="BBBBBB" w:sz="1"/>
            </w:tcBorders>
            <w:shd w:fill="E8F5E9" w:val="clear"/>
            <w:tcMar>
              <w:top w:type="dxa" w:w="100"/>
              <w:left w:type="dxa" w:w="140"/>
              <w:bottom w:type="dxa" w:w="100"/>
              <w:right w:type="dxa" w:w="140"/>
            </w:tcMar>
          </w:tcPr>
          <w:p>
            <w:pPr>
              <w:spacing w:after="40"/>
            </w:pPr>
            <w:r>
              <w:rPr>
                <w:rFonts w:ascii="Calibri" w:cs="Calibri" w:eastAsia="Calibri" w:hAnsi="Calibri"/>
                <w:b/>
                <w:bCs/>
                <w:color w:val="2E7D32"/>
                <w:sz w:val="18"/>
                <w:szCs w:val="18"/>
              </w:rPr>
              <w:t xml:space="preserve">✓ IN SCOPE  —  </w:t>
            </w:r>
            <w:r>
              <w:rPr>
                <w:rFonts w:ascii="Calibri" w:cs="Calibri" w:eastAsia="Calibri" w:hAnsi="Calibri"/>
                <w:b/>
                <w:bCs/>
                <w:color w:val="333333"/>
                <w:sz w:val="22"/>
                <w:szCs w:val="22"/>
              </w:rPr>
              <w:t xml:space="preserve">Risk Assessment &amp; Mitigation</w:t>
            </w:r>
          </w:p>
          <w:p>
            <w:r>
              <w:rPr>
                <w:rFonts w:ascii="Calibri" w:cs="Calibri" w:eastAsia="Calibri" w:hAnsi="Calibri"/>
                <w:color w:val="666666"/>
                <w:sz w:val="20"/>
                <w:szCs w:val="20"/>
              </w:rPr>
              <w:t xml:space="preserve">Identifying which suppliers pose the highest risk and why, generating actionable intelligence, and providing AI-powered recommendations for risk mitigation. SupplyGuard automates this with an 8-factor algorithm + Generative AI.</w:t>
            </w:r>
          </w:p>
        </w:tc>
      </w:tr>
    </w:tbl>
    <w:p>
      <w:pPr>
        <w:spacing w:after="120"/>
      </w:pPr>
    </w:p>
    <w:p>
      <w:pPr>
        <w:spacing w:after="120"/>
        <w:jc w:val="left"/>
      </w:pPr>
      <w:r>
        <w:rPr>
          <w:rFonts w:ascii="Calibri" w:cs="Calibri" w:eastAsia="Calibri" w:hAnsi="Calibri"/>
          <w:b/>
          <w:bCs/>
          <w:i w:val="false"/>
          <w:iCs w:val="false"/>
          <w:color w:val="333333"/>
          <w:sz w:val="22"/>
          <w:szCs w:val="22"/>
        </w:rPr>
        <w:t xml:space="preserve">SupplyGuard focuses on problems #1 and #4 </w:t>
      </w:r>
      <w:r>
        <w:rPr>
          <w:rFonts w:ascii="Calibri" w:cs="Calibri" w:eastAsia="Calibri" w:hAnsi="Calibri"/>
          <w:b w:val="false"/>
          <w:bCs w:val="false"/>
          <w:i w:val="false"/>
          <w:iCs w:val="false"/>
          <w:color w:val="333333"/>
          <w:sz w:val="22"/>
          <w:szCs w:val="22"/>
        </w:rPr>
        <w:t xml:space="preserve">— the compliance and risk assessment layers where AI can have the most immediate impact. Problems #2 and #3 require hardware/IoT and ERP integrations that represent future roadmap items.</w:t>
      </w:r>
    </w:p>
    <w:p>
      <w:pPr>
        <w:pStyle w:val="Heading2"/>
        <w:spacing w:after="160" w:before="280"/>
      </w:pPr>
      <w:r>
        <w:rPr>
          <w:rFonts w:ascii="Calibri" w:cs="Calibri" w:eastAsia="Calibri" w:hAnsi="Calibri"/>
          <w:b/>
          <w:bCs/>
          <w:color w:val="1F4E79"/>
          <w:sz w:val="26"/>
          <w:szCs w:val="26"/>
        </w:rPr>
        <w:t xml:space="preserve">1.1 Why This Matters</w:t>
      </w:r>
    </w:p>
    <w:p>
      <w:pPr>
        <w:pStyle w:val="ListParagraph"/>
        <w:numPr>
          <w:ilvl w:val="0"/>
          <w:numId w:val="2"/>
        </w:numPr>
        <w:spacing w:after="80"/>
      </w:pPr>
      <w:r>
        <w:rPr>
          <w:rFonts w:ascii="Calibri" w:cs="Calibri" w:eastAsia="Calibri" w:hAnsi="Calibri"/>
          <w:color w:val="333333"/>
          <w:sz w:val="22"/>
          <w:szCs w:val="22"/>
        </w:rPr>
        <w:t xml:space="preserve">Average cost of a supply chain disruption: $184 million (Interos, 2023)</w:t>
      </w:r>
    </w:p>
    <w:p>
      <w:pPr>
        <w:pStyle w:val="ListParagraph"/>
        <w:numPr>
          <w:ilvl w:val="0"/>
          <w:numId w:val="2"/>
        </w:numPr>
        <w:spacing w:after="80"/>
      </w:pPr>
      <w:r>
        <w:rPr>
          <w:rFonts w:ascii="Calibri" w:cs="Calibri" w:eastAsia="Calibri" w:hAnsi="Calibri"/>
          <w:color w:val="333333"/>
          <w:sz w:val="22"/>
          <w:szCs w:val="22"/>
        </w:rPr>
        <w:t xml:space="preserve">73% of companies experienced supply chain disruptions in the past year</w:t>
      </w:r>
    </w:p>
    <w:p>
      <w:pPr>
        <w:pStyle w:val="ListParagraph"/>
        <w:numPr>
          <w:ilvl w:val="0"/>
          <w:numId w:val="2"/>
        </w:numPr>
        <w:spacing w:after="80"/>
      </w:pPr>
      <w:r>
        <w:rPr>
          <w:rFonts w:ascii="Calibri" w:cs="Calibri" w:eastAsia="Calibri" w:hAnsi="Calibri"/>
          <w:color w:val="333333"/>
          <w:sz w:val="22"/>
          <w:szCs w:val="22"/>
        </w:rPr>
        <w:t xml:space="preserve">Sanctions violations can result in fines up to $20 million per violation (OFAC)</w:t>
      </w:r>
    </w:p>
    <w:p>
      <w:pPr>
        <w:pStyle w:val="ListParagraph"/>
        <w:numPr>
          <w:ilvl w:val="0"/>
          <w:numId w:val="2"/>
        </w:numPr>
        <w:spacing w:after="80"/>
      </w:pPr>
      <w:r>
        <w:rPr>
          <w:rFonts w:ascii="Calibri" w:cs="Calibri" w:eastAsia="Calibri" w:hAnsi="Calibri"/>
          <w:color w:val="333333"/>
          <w:sz w:val="22"/>
          <w:szCs w:val="22"/>
        </w:rPr>
        <w:t xml:space="preserve">Manual compliance processes consume 40+ hours/week for mid-size procurement teams</w:t>
      </w:r>
    </w:p>
    <w:p>
      <w:pPr>
        <w:pStyle w:val="Heading2"/>
        <w:spacing w:after="160" w:before="280"/>
      </w:pPr>
      <w:r>
        <w:rPr>
          <w:rFonts w:ascii="Calibri" w:cs="Calibri" w:eastAsia="Calibri" w:hAnsi="Calibri"/>
          <w:b/>
          <w:bCs/>
          <w:color w:val="1F4E79"/>
          <w:sz w:val="26"/>
          <w:szCs w:val="26"/>
        </w:rPr>
        <w:t xml:space="preserve">1.2 The Market Gap</w:t>
      </w:r>
    </w:p>
    <w:p>
      <w:pPr>
        <w:spacing w:after="120"/>
        <w:jc w:val="left"/>
      </w:pPr>
      <w:r>
        <w:rPr>
          <w:rFonts w:ascii="Calibri" w:cs="Calibri" w:eastAsia="Calibri" w:hAnsi="Calibri"/>
          <w:b w:val="false"/>
          <w:bCs w:val="false"/>
          <w:i w:val="false"/>
          <w:iCs w:val="false"/>
          <w:color w:val="333333"/>
          <w:sz w:val="22"/>
          <w:szCs w:val="22"/>
        </w:rPr>
        <w:t xml:space="preserve">Current tools fall into two extremes: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Examples</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Problem</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Enterprise Platforms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SAP Ariba, Coupa, TrusTrace, Sourcemap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Expensive ($100K+/year), months to implement, complex onboarding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Manual Tools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Excel, Google Sheets, Email</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 automation, no AI, inconsistent, doesn’t scale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SupplyGuard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This project</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Open-source stack, AI-powered, deploys in minutes, fraction of the cost</w:t>
            </w:r>
          </w:p>
        </w:tc>
      </w:tr>
    </w:tbl>
    <w:p>
      <w:pPr>
        <w:spacing w:after="60"/>
      </w:pPr>
    </w:p>
    <w:p>
      <w:pPr>
        <w:spacing w:after="120"/>
        <w:jc w:val="left"/>
      </w:pPr>
      <w:r>
        <w:rPr>
          <w:rFonts w:ascii="Calibri" w:cs="Calibri" w:eastAsia="Calibri" w:hAnsi="Calibri"/>
          <w:b w:val="false"/>
          <w:bCs w:val="false"/>
          <w:i/>
          <w:iCs/>
          <w:color w:val="666666"/>
          <w:sz w:val="22"/>
          <w:szCs w:val="22"/>
        </w:rPr>
        <w:t xml:space="preserve">Industry reference: TrusTrace (trustrace.com) offers supply chain traceability for material compliance — SupplyGuard addresses a complementary but different layer: supplier risk scoring and AI-driven due diligence.</w:t>
      </w:r>
    </w:p>
    <w:p>
      <w:r>
        <w:br w:type="page"/>
      </w:r>
    </w:p>
    <w:p>
      <w:pPr>
        <w:pStyle w:val="Heading1"/>
        <w:spacing w:after="200" w:before="360"/>
      </w:pPr>
      <w:r>
        <w:rPr>
          <w:rFonts w:ascii="Calibri" w:cs="Calibri" w:eastAsia="Calibri" w:hAnsi="Calibri"/>
          <w:b/>
          <w:bCs/>
          <w:color w:val="1F4E79"/>
          <w:sz w:val="32"/>
          <w:szCs w:val="32"/>
        </w:rPr>
        <w:t xml:space="preserve">2. Solution: SupplyGuard at a Glance</w:t>
      </w:r>
    </w:p>
    <w:p>
      <w:pPr>
        <w:spacing w:after="120"/>
        <w:jc w:val="left"/>
      </w:pPr>
      <w:r>
        <w:rPr>
          <w:rFonts w:ascii="Calibri" w:cs="Calibri" w:eastAsia="Calibri" w:hAnsi="Calibri"/>
          <w:b w:val="false"/>
          <w:bCs w:val="false"/>
          <w:i w:val="false"/>
          <w:iCs w:val="false"/>
          <w:color w:val="333333"/>
          <w:sz w:val="22"/>
          <w:szCs w:val="22"/>
        </w:rPr>
        <w:t xml:space="preserve">SupplyGuard is a centralized command center for supplier risk management that combines automated scoring, real-time monitoring, and Generative AI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150+</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1,350+</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8 Factors</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10 sec</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Suppliers tracked across 40+ countries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Compliance documents monitored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Weighted risk algorithm (100-point scale)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 assessment time (vs. 4-6 hours manual)</w:t>
            </w:r>
          </w:p>
        </w:tc>
      </w:tr>
    </w:tbl>
    <w:p>
      <w:pPr>
        <w:spacing w:after="200"/>
      </w:pPr>
    </w:p>
    <w:p>
      <w:pPr>
        <w:pStyle w:val="Heading2"/>
        <w:spacing w:after="160" w:before="280"/>
      </w:pPr>
      <w:r>
        <w:rPr>
          <w:rFonts w:ascii="Calibri" w:cs="Calibri" w:eastAsia="Calibri" w:hAnsi="Calibri"/>
          <w:b/>
          <w:bCs/>
          <w:color w:val="1F4E79"/>
          <w:sz w:val="26"/>
          <w:szCs w:val="26"/>
        </w:rPr>
        <w:t xml:space="preserve">2.1 What AI Does vs. What the Platform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Capability</w:t>
            </w:r>
          </w:p>
        </w:tc>
        <w:tc>
          <w:tcPr>
            <w:tcW w:type="dxa" w:w="35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Platform (Automated)</w:t>
            </w:r>
          </w:p>
        </w:tc>
        <w:tc>
          <w:tcPr>
            <w:tcW w:type="dxa" w:w="35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AI (Generative)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Scoring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8-factor algorithm calculates score 0-100</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Explains WHY the score is what it is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Document Tracking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Monitors 9 doc types per supplier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N/A (future: OCR extraction)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 Screening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Matches against entity lists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N/A (future: NLP entity resolution)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Portfolio Analysis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Dashboard with charts and KPIs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Executive briefing with priorities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Recommendations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N/A</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3-5 specific actions per supplier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Notifications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Real-time via Supabase Realtime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N/A</w:t>
            </w:r>
          </w:p>
        </w:tc>
      </w:tr>
    </w:tbl>
    <w:p>
      <w:r>
        <w:br w:type="page"/>
      </w:r>
    </w:p>
    <w:p>
      <w:pPr>
        <w:pStyle w:val="Heading1"/>
        <w:spacing w:after="200" w:before="360"/>
      </w:pPr>
      <w:r>
        <w:rPr>
          <w:rFonts w:ascii="Calibri" w:cs="Calibri" w:eastAsia="Calibri" w:hAnsi="Calibri"/>
          <w:b/>
          <w:bCs/>
          <w:color w:val="1F4E79"/>
          <w:sz w:val="32"/>
          <w:szCs w:val="32"/>
        </w:rPr>
        <w:t xml:space="preserve">3. Supplier Compliance Lifecycle</w:t>
      </w:r>
    </w:p>
    <w:p>
      <w:pPr>
        <w:spacing w:after="120"/>
        <w:jc w:val="left"/>
      </w:pPr>
      <w:r>
        <w:rPr>
          <w:rFonts w:ascii="Calibri" w:cs="Calibri" w:eastAsia="Calibri" w:hAnsi="Calibri"/>
          <w:b w:val="false"/>
          <w:bCs w:val="false"/>
          <w:i w:val="false"/>
          <w:iCs w:val="false"/>
          <w:color w:val="333333"/>
          <w:sz w:val="22"/>
          <w:szCs w:val="22"/>
        </w:rPr>
        <w:t xml:space="preserve">SupplyGuard manages suppliers through a 3-stage compliance lifecycle — from initial onboarding through continuous monitoring. Each stage has a clear compliance focus and integrates both internal and external 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2"/>
              <w:bottom w:val="single" w:color="2E75B6" w:sz="2"/>
              <w:right w:val="single" w:color="2E75B6" w:sz="2"/>
            </w:tcBorders>
            <w:shd w:fill="FAFAFA" w:val="clear"/>
            <w:tcMar>
              <w:top w:type="dxa" w:w="100"/>
              <w:left w:type="dxa" w:w="100"/>
              <w:bottom w:type="dxa" w:w="100"/>
              <w:right w:type="dxa" w:w="100"/>
            </w:tcMar>
          </w:tcPr>
          <w:p>
            <w:pPr>
              <w:spacing w:after="40"/>
              <w:jc w:val="center"/>
            </w:pPr>
            <w:r>
              <w:rPr>
                <w:rFonts w:ascii="Calibri" w:cs="Calibri" w:eastAsia="Calibri" w:hAnsi="Calibri"/>
                <w:b/>
                <w:bCs/>
                <w:color w:val="2E75B6"/>
                <w:sz w:val="16"/>
                <w:szCs w:val="16"/>
              </w:rPr>
              <w:t xml:space="preserve">STAGE 1</w:t>
            </w:r>
          </w:p>
          <w:p>
            <w:pPr>
              <w:spacing w:after="20"/>
              <w:jc w:val="center"/>
            </w:pPr>
            <w:r>
              <w:rPr>
                <w:rFonts w:ascii="Calibri" w:cs="Calibri" w:eastAsia="Calibri" w:hAnsi="Calibri"/>
                <w:b/>
                <w:bCs/>
                <w:color w:val="333333"/>
                <w:sz w:val="22"/>
                <w:szCs w:val="22"/>
              </w:rPr>
              <w:t xml:space="preserve">VENDOR REGISTRATION</w:t>
            </w:r>
          </w:p>
          <w:p>
            <w:pPr>
              <w:spacing w:after="60"/>
              <w:jc w:val="center"/>
            </w:pPr>
            <w:r>
              <w:rPr>
                <w:rFonts w:ascii="Calibri" w:cs="Calibri" w:eastAsia="Calibri" w:hAnsi="Calibri"/>
                <w:color w:val="666666"/>
                <w:sz w:val="18"/>
                <w:szCs w:val="18"/>
              </w:rPr>
              <w:t xml:space="preserve">(Onboarding)</w:t>
            </w:r>
          </w:p>
          <w:p>
            <w:pPr>
              <w:spacing w:after="60"/>
            </w:pPr>
            <w:r>
              <w:rPr>
                <w:rFonts w:ascii="Calibri" w:cs="Calibri" w:eastAsia="Calibri" w:hAnsi="Calibri"/>
                <w:b/>
                <w:bCs/>
                <w:color w:val="333333"/>
                <w:sz w:val="18"/>
                <w:szCs w:val="18"/>
              </w:rPr>
              <w:t xml:space="preserve">Focus: </w:t>
            </w:r>
            <w:r>
              <w:rPr>
                <w:rFonts w:ascii="Calibri" w:cs="Calibri" w:eastAsia="Calibri" w:hAnsi="Calibri"/>
                <w:color w:val="666666"/>
                <w:sz w:val="18"/>
                <w:szCs w:val="18"/>
              </w:rPr>
              <w:t xml:space="preserve">Data Capture &amp; Document Baseline</w:t>
            </w:r>
          </w:p>
          <w:p>
            <w:pPr>
              <w:spacing w:after="30"/>
            </w:pPr>
            <w:r>
              <w:rPr>
                <w:rFonts w:ascii="Calibri" w:cs="Calibri" w:eastAsia="Calibri" w:hAnsi="Calibri"/>
                <w:color w:val="333333"/>
                <w:sz w:val="18"/>
                <w:szCs w:val="18"/>
              </w:rPr>
              <w:t xml:space="preserve">• Profile Creation (Name, Location, Commodity)</w:t>
            </w:r>
          </w:p>
          <w:p>
            <w:pPr>
              <w:spacing w:after="30"/>
            </w:pPr>
            <w:r>
              <w:rPr>
                <w:rFonts w:ascii="Calibri" w:cs="Calibri" w:eastAsia="Calibri" w:hAnsi="Calibri"/>
                <w:color w:val="333333"/>
                <w:sz w:val="18"/>
                <w:szCs w:val="18"/>
              </w:rPr>
              <w:t xml:space="preserve">• Document Upload (9 Types)</w:t>
            </w:r>
          </w:p>
          <w:p>
            <w:pPr>
              <w:spacing w:after="30"/>
            </w:pPr>
            <w:r>
              <w:rPr>
                <w:rFonts w:ascii="Calibri" w:cs="Calibri" w:eastAsia="Calibri" w:hAnsi="Calibri"/>
                <w:color w:val="333333"/>
                <w:sz w:val="18"/>
                <w:szCs w:val="18"/>
              </w:rPr>
              <w:t xml:space="preserve">• Compliance: Document Collection</w:t>
            </w:r>
          </w:p>
        </w:tc>
        <w:tc>
          <w:tcPr>
            <w:tcW w:type="dxa" w:w="3120"/>
            <w:tcBorders>
              <w:top w:val="single" w:color="2E7D32" w:sz="6"/>
              <w:left w:val="single" w:color="2E75B6" w:sz="2"/>
              <w:bottom w:val="single" w:color="2E75B6" w:sz="2"/>
              <w:right w:val="single" w:color="2E75B6" w:sz="2"/>
            </w:tcBorders>
            <w:shd w:fill="FAFAFA" w:val="clear"/>
            <w:tcMar>
              <w:top w:type="dxa" w:w="100"/>
              <w:left w:type="dxa" w:w="100"/>
              <w:bottom w:type="dxa" w:w="100"/>
              <w:right w:type="dxa" w:w="100"/>
            </w:tcMar>
          </w:tcPr>
          <w:p>
            <w:pPr>
              <w:spacing w:after="40"/>
              <w:jc w:val="center"/>
            </w:pPr>
            <w:r>
              <w:rPr>
                <w:rFonts w:ascii="Calibri" w:cs="Calibri" w:eastAsia="Calibri" w:hAnsi="Calibri"/>
                <w:b/>
                <w:bCs/>
                <w:color w:val="2E7D32"/>
                <w:sz w:val="16"/>
                <w:szCs w:val="16"/>
              </w:rPr>
              <w:t xml:space="preserve">STAGE 2</w:t>
            </w:r>
          </w:p>
          <w:p>
            <w:pPr>
              <w:spacing w:after="20"/>
              <w:jc w:val="center"/>
            </w:pPr>
            <w:r>
              <w:rPr>
                <w:rFonts w:ascii="Calibri" w:cs="Calibri" w:eastAsia="Calibri" w:hAnsi="Calibri"/>
                <w:b/>
                <w:bCs/>
                <w:color w:val="333333"/>
                <w:sz w:val="22"/>
                <w:szCs w:val="22"/>
              </w:rPr>
              <w:t xml:space="preserve">VENDOR VERIFICATION</w:t>
            </w:r>
          </w:p>
          <w:p>
            <w:pPr>
              <w:spacing w:after="60"/>
              <w:jc w:val="center"/>
            </w:pPr>
            <w:r>
              <w:rPr>
                <w:rFonts w:ascii="Calibri" w:cs="Calibri" w:eastAsia="Calibri" w:hAnsi="Calibri"/>
                <w:color w:val="666666"/>
                <w:sz w:val="18"/>
                <w:szCs w:val="18"/>
              </w:rPr>
              <w:t xml:space="preserve">(Diligence)</w:t>
            </w:r>
          </w:p>
          <w:p>
            <w:pPr>
              <w:spacing w:after="60"/>
            </w:pPr>
            <w:r>
              <w:rPr>
                <w:rFonts w:ascii="Calibri" w:cs="Calibri" w:eastAsia="Calibri" w:hAnsi="Calibri"/>
                <w:b/>
                <w:bCs/>
                <w:color w:val="333333"/>
                <w:sz w:val="18"/>
                <w:szCs w:val="18"/>
              </w:rPr>
              <w:t xml:space="preserve">Focus: </w:t>
            </w:r>
            <w:r>
              <w:rPr>
                <w:rFonts w:ascii="Calibri" w:cs="Calibri" w:eastAsia="Calibri" w:hAnsi="Calibri"/>
                <w:color w:val="666666"/>
                <w:sz w:val="18"/>
                <w:szCs w:val="18"/>
              </w:rPr>
              <w:t xml:space="preserve">Risk Analysis &amp; Sanctions Matching</w:t>
            </w:r>
          </w:p>
          <w:p>
            <w:pPr>
              <w:spacing w:after="30"/>
            </w:pPr>
            <w:r>
              <w:rPr>
                <w:rFonts w:ascii="Calibri" w:cs="Calibri" w:eastAsia="Calibri" w:hAnsi="Calibri"/>
                <w:color w:val="333333"/>
                <w:sz w:val="18"/>
                <w:szCs w:val="18"/>
              </w:rPr>
              <w:t xml:space="preserve">• 8-Factor Risk Scoring Algorithm</w:t>
            </w:r>
          </w:p>
          <w:p>
            <w:pPr>
              <w:spacing w:after="30"/>
            </w:pPr>
            <w:r>
              <w:rPr>
                <w:rFonts w:ascii="Calibri" w:cs="Calibri" w:eastAsia="Calibri" w:hAnsi="Calibri"/>
                <w:color w:val="333333"/>
                <w:sz w:val="18"/>
                <w:szCs w:val="18"/>
              </w:rPr>
              <w:t xml:space="preserve">• Sanctions Screening (30+ Lists)</w:t>
            </w:r>
          </w:p>
          <w:p>
            <w:pPr>
              <w:spacing w:after="30"/>
            </w:pPr>
            <w:r>
              <w:rPr>
                <w:rFonts w:ascii="Calibri" w:cs="Calibri" w:eastAsia="Calibri" w:hAnsi="Calibri"/>
                <w:color w:val="333333"/>
                <w:sz w:val="18"/>
                <w:szCs w:val="18"/>
              </w:rPr>
              <w:t xml:space="preserve">• AI Deep-Dive Assessment</w:t>
            </w:r>
          </w:p>
          <w:p>
            <w:pPr>
              <w:spacing w:after="30"/>
            </w:pPr>
            <w:r>
              <w:rPr>
                <w:rFonts w:ascii="Calibri" w:cs="Calibri" w:eastAsia="Calibri" w:hAnsi="Calibri"/>
                <w:color w:val="333333"/>
                <w:sz w:val="18"/>
                <w:szCs w:val="18"/>
              </w:rPr>
              <w:t xml:space="preserve">• Compliance: Sanctions Exposure Check</w:t>
            </w:r>
          </w:p>
        </w:tc>
        <w:tc>
          <w:tcPr>
            <w:tcW w:type="dxa" w:w="3120"/>
            <w:tcBorders>
              <w:top w:val="single" w:color="7B1FA2" w:sz="6"/>
              <w:left w:val="single" w:color="2E75B6" w:sz="2"/>
              <w:bottom w:val="single" w:color="2E75B6" w:sz="2"/>
              <w:right w:val="single" w:color="2E75B6" w:sz="2"/>
            </w:tcBorders>
            <w:shd w:fill="FAFAFA" w:val="clear"/>
            <w:tcMar>
              <w:top w:type="dxa" w:w="100"/>
              <w:left w:type="dxa" w:w="100"/>
              <w:bottom w:type="dxa" w:w="100"/>
              <w:right w:type="dxa" w:w="100"/>
            </w:tcMar>
          </w:tcPr>
          <w:p>
            <w:pPr>
              <w:spacing w:after="40"/>
              <w:jc w:val="center"/>
            </w:pPr>
            <w:r>
              <w:rPr>
                <w:rFonts w:ascii="Calibri" w:cs="Calibri" w:eastAsia="Calibri" w:hAnsi="Calibri"/>
                <w:b/>
                <w:bCs/>
                <w:color w:val="7B1FA2"/>
                <w:sz w:val="16"/>
                <w:szCs w:val="16"/>
              </w:rPr>
              <w:t xml:space="preserve">STAGE 3</w:t>
            </w:r>
          </w:p>
          <w:p>
            <w:pPr>
              <w:spacing w:after="20"/>
              <w:jc w:val="center"/>
            </w:pPr>
            <w:r>
              <w:rPr>
                <w:rFonts w:ascii="Calibri" w:cs="Calibri" w:eastAsia="Calibri" w:hAnsi="Calibri"/>
                <w:b/>
                <w:bCs/>
                <w:color w:val="333333"/>
                <w:sz w:val="22"/>
                <w:szCs w:val="22"/>
              </w:rPr>
              <w:t xml:space="preserve">CONTINUOUS AUDIT</w:t>
            </w:r>
          </w:p>
          <w:p>
            <w:pPr>
              <w:spacing w:after="60"/>
              <w:jc w:val="center"/>
            </w:pPr>
            <w:r>
              <w:rPr>
                <w:rFonts w:ascii="Calibri" w:cs="Calibri" w:eastAsia="Calibri" w:hAnsi="Calibri"/>
                <w:color w:val="666666"/>
                <w:sz w:val="18"/>
                <w:szCs w:val="18"/>
              </w:rPr>
              <w:t xml:space="preserve">(Monitoring)</w:t>
            </w:r>
          </w:p>
          <w:p>
            <w:pPr>
              <w:spacing w:after="60"/>
            </w:pPr>
            <w:r>
              <w:rPr>
                <w:rFonts w:ascii="Calibri" w:cs="Calibri" w:eastAsia="Calibri" w:hAnsi="Calibri"/>
                <w:b/>
                <w:bCs/>
                <w:color w:val="333333"/>
                <w:sz w:val="18"/>
                <w:szCs w:val="18"/>
              </w:rPr>
              <w:t xml:space="preserve">Focus: </w:t>
            </w:r>
            <w:r>
              <w:rPr>
                <w:rFonts w:ascii="Calibri" w:cs="Calibri" w:eastAsia="Calibri" w:hAnsi="Calibri"/>
                <w:color w:val="666666"/>
                <w:sz w:val="18"/>
                <w:szCs w:val="18"/>
              </w:rPr>
              <w:t xml:space="preserve">Proactive Monitoring &amp; Actionable Intel</w:t>
            </w:r>
          </w:p>
          <w:p>
            <w:pPr>
              <w:spacing w:after="30"/>
            </w:pPr>
            <w:r>
              <w:rPr>
                <w:rFonts w:ascii="Calibri" w:cs="Calibri" w:eastAsia="Calibri" w:hAnsi="Calibri"/>
                <w:color w:val="333333"/>
                <w:sz w:val="18"/>
                <w:szCs w:val="18"/>
              </w:rPr>
              <w:t xml:space="preserve">• Real-Time Alerts (Toast Notifications)</w:t>
            </w:r>
          </w:p>
          <w:p>
            <w:pPr>
              <w:spacing w:after="30"/>
            </w:pPr>
            <w:r>
              <w:rPr>
                <w:rFonts w:ascii="Calibri" w:cs="Calibri" w:eastAsia="Calibri" w:hAnsi="Calibri"/>
                <w:color w:val="333333"/>
                <w:sz w:val="18"/>
                <w:szCs w:val="18"/>
              </w:rPr>
              <w:t xml:space="preserve">• Document Lifecycle Tracking</w:t>
            </w:r>
          </w:p>
          <w:p>
            <w:pPr>
              <w:spacing w:after="30"/>
            </w:pPr>
            <w:r>
              <w:rPr>
                <w:rFonts w:ascii="Calibri" w:cs="Calibri" w:eastAsia="Calibri" w:hAnsi="Calibri"/>
                <w:color w:val="333333"/>
                <w:sz w:val="18"/>
                <w:szCs w:val="18"/>
              </w:rPr>
              <w:t xml:space="preserve">• AI Portfolio Insights (Weekly)</w:t>
            </w:r>
          </w:p>
          <w:p>
            <w:pPr>
              <w:spacing w:after="30"/>
            </w:pPr>
            <w:r>
              <w:rPr>
                <w:rFonts w:ascii="Calibri" w:cs="Calibri" w:eastAsia="Calibri" w:hAnsi="Calibri"/>
                <w:color w:val="333333"/>
                <w:sz w:val="18"/>
                <w:szCs w:val="18"/>
              </w:rPr>
              <w:t xml:space="preserve">• Periodic Audit Scheduling</w:t>
            </w:r>
          </w:p>
          <w:p>
            <w:pPr>
              <w:spacing w:after="30"/>
            </w:pPr>
            <w:r>
              <w:rPr>
                <w:rFonts w:ascii="Calibri" w:cs="Calibri" w:eastAsia="Calibri" w:hAnsi="Calibri"/>
                <w:color w:val="333333"/>
                <w:sz w:val="18"/>
                <w:szCs w:val="18"/>
              </w:rPr>
              <w:t xml:space="preserve">• Compliance: Live Status</w:t>
            </w:r>
          </w:p>
        </w:tc>
      </w:tr>
    </w:tbl>
    <w:p>
      <w:pPr>
        <w:spacing w:after="200"/>
      </w:pPr>
    </w:p>
    <w:p>
      <w:pPr>
        <w:pStyle w:val="Heading2"/>
        <w:spacing w:after="160" w:before="280"/>
      </w:pPr>
      <w:r>
        <w:rPr>
          <w:rFonts w:ascii="Calibri" w:cs="Calibri" w:eastAsia="Calibri" w:hAnsi="Calibri"/>
          <w:b/>
          <w:bCs/>
          <w:color w:val="1F4E79"/>
          <w:sz w:val="26"/>
          <w:szCs w:val="26"/>
        </w:rPr>
        <w:t xml:space="preserve">3.1 Stage Details</w:t>
      </w:r>
    </w:p>
    <w:p>
      <w:pPr>
        <w:spacing w:after="120"/>
        <w:jc w:val="left"/>
      </w:pPr>
      <w:r>
        <w:rPr>
          <w:rFonts w:ascii="Calibri" w:cs="Calibri" w:eastAsia="Calibri" w:hAnsi="Calibri"/>
          <w:b/>
          <w:bCs/>
          <w:i w:val="false"/>
          <w:iCs w:val="false"/>
          <w:color w:val="333333"/>
          <w:sz w:val="22"/>
          <w:szCs w:val="22"/>
        </w:rPr>
        <w:t xml:space="preserve">Stage 1 — Vendor Registration (Onboarding): </w:t>
      </w:r>
      <w:r>
        <w:rPr>
          <w:rFonts w:ascii="Calibri" w:cs="Calibri" w:eastAsia="Calibri" w:hAnsi="Calibri"/>
          <w:b w:val="false"/>
          <w:bCs w:val="false"/>
          <w:i w:val="false"/>
          <w:iCs w:val="false"/>
          <w:color w:val="333333"/>
          <w:sz w:val="22"/>
          <w:szCs w:val="22"/>
        </w:rPr>
        <w:t xml:space="preserve">New suppliers are onboarded with profile creation (name, location, commodity, criticality) and baseline document collection across 9 standard types (ISO 9001, ISO 14001, Insurance Certificate, Financial Statements, Sanctions Declaration, ESG Questionnaire, Code of Conduct, Business Continuity Plan, Tax Compliance). Internal systems: Supabase Auth (Google OAuth) + PostgreSQL. External: Supplier data portal.</w:t>
      </w:r>
    </w:p>
    <w:p>
      <w:pPr>
        <w:spacing w:after="120"/>
        <w:jc w:val="left"/>
      </w:pPr>
      <w:r>
        <w:rPr>
          <w:rFonts w:ascii="Calibri" w:cs="Calibri" w:eastAsia="Calibri" w:hAnsi="Calibri"/>
          <w:b/>
          <w:bCs/>
          <w:i w:val="false"/>
          <w:iCs w:val="false"/>
          <w:color w:val="333333"/>
          <w:sz w:val="22"/>
          <w:szCs w:val="22"/>
        </w:rPr>
        <w:t xml:space="preserve">Stage 2 — Vendor Verification (Diligence): </w:t>
      </w:r>
      <w:r>
        <w:rPr>
          <w:rFonts w:ascii="Calibri" w:cs="Calibri" w:eastAsia="Calibri" w:hAnsi="Calibri"/>
          <w:b w:val="false"/>
          <w:bCs w:val="false"/>
          <w:i w:val="false"/>
          <w:iCs w:val="false"/>
          <w:color w:val="333333"/>
          <w:sz w:val="22"/>
          <w:szCs w:val="22"/>
        </w:rPr>
        <w:t xml:space="preserve">The 8-factor risk scoring algorithm calculates an initial risk score (0-100). Sanctions screening matches suppliers against 30+ global lists (OFAC, EU, UN). OpenAI GPT-4o-mini generates deep-dive AI assessments with specific recommendations. Internal: Risk Scoring Engine. External: OpenAI API + Global Sanctions Lists.</w:t>
      </w:r>
    </w:p>
    <w:p>
      <w:pPr>
        <w:spacing w:after="120"/>
        <w:jc w:val="left"/>
      </w:pPr>
      <w:r>
        <w:rPr>
          <w:rFonts w:ascii="Calibri" w:cs="Calibri" w:eastAsia="Calibri" w:hAnsi="Calibri"/>
          <w:b/>
          <w:bCs/>
          <w:i w:val="false"/>
          <w:iCs w:val="false"/>
          <w:color w:val="333333"/>
          <w:sz w:val="22"/>
          <w:szCs w:val="22"/>
        </w:rPr>
        <w:t xml:space="preserve">Stage 3 — Continuous Audit (Monitoring): </w:t>
      </w:r>
      <w:r>
        <w:rPr>
          <w:rFonts w:ascii="Calibri" w:cs="Calibri" w:eastAsia="Calibri" w:hAnsi="Calibri"/>
          <w:b w:val="false"/>
          <w:bCs w:val="false"/>
          <w:i w:val="false"/>
          <w:iCs w:val="false"/>
          <w:color w:val="333333"/>
          <w:sz w:val="22"/>
          <w:szCs w:val="22"/>
        </w:rPr>
        <w:t xml:space="preserve">Real-time alerts via Supabase Realtime notify teams instantly when risk scores change, sanctions flags appear, or documents expire. AI portfolio insights provide weekly executive briefings. Audit scheduling tracks overdue and upcoming audits. Internal: Supabase Realtime + Recharts Dashboard. External: OpenAI API + Sanctions Databases.</w:t>
      </w:r>
    </w:p>
    <w:p>
      <w:pPr>
        <w:spacing w:after="60"/>
      </w:pPr>
    </w:p>
    <w:p>
      <w:pPr>
        <w:pStyle w:val="Heading2"/>
        <w:spacing w:after="160" w:before="280"/>
      </w:pPr>
      <w:r>
        <w:rPr>
          <w:rFonts w:ascii="Calibri" w:cs="Calibri" w:eastAsia="Calibri" w:hAnsi="Calibri"/>
          <w:b/>
          <w:bCs/>
          <w:color w:val="1F4E79"/>
          <w:sz w:val="26"/>
          <w:szCs w:val="26"/>
        </w:rPr>
        <w:t xml:space="preserve">3.2 Internal vs External 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Stage</w:t>
            </w:r>
          </w:p>
        </w:tc>
        <w:tc>
          <w:tcPr>
            <w:tcW w:type="dxa" w:w="3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Internal Systems</w:t>
            </w:r>
          </w:p>
        </w:tc>
        <w:tc>
          <w:tcPr>
            <w:tcW w:type="dxa" w:w="3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External Systems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 Registration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Supabase Auth/OAuth, PostgreSQL Database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 Data Portal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2. Verification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Scoring Engine (8 factors)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OpenAI API (GPT-4o-mini), Global Sanctions Lists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3. Monitoring</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Supabase Realtime, Recharts Dashboard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OpenAI API (Portfolio Analysis), Sanctions DBs</w:t>
            </w:r>
          </w:p>
        </w:tc>
      </w:tr>
    </w:tbl>
    <w:p>
      <w:pPr>
        <w:spacing w:after="60"/>
      </w:pPr>
    </w:p>
    <w:p>
      <w:pPr>
        <w:spacing w:after="120"/>
        <w:jc w:val="left"/>
      </w:pPr>
      <w:r>
        <w:rPr>
          <w:rFonts w:ascii="Calibri" w:cs="Calibri" w:eastAsia="Calibri" w:hAnsi="Calibri"/>
          <w:b/>
          <w:bCs/>
          <w:i w:val="false"/>
          <w:iCs w:val="false"/>
          <w:color w:val="333333"/>
          <w:sz w:val="22"/>
          <w:szCs w:val="22"/>
        </w:rPr>
        <w:t xml:space="preserve">The Application Layer (Next.js/TypeScript, deployed on Vercel) coordinates between the Internal Data Layer (Supabase, PostgreSQL) and the External Intelligence Layer (OpenAI, Sanctions APIs).</w:t>
      </w:r>
    </w:p>
    <w:p>
      <w:r>
        <w:br w:type="page"/>
      </w:r>
    </w:p>
    <w:p>
      <w:pPr>
        <w:pStyle w:val="Heading1"/>
        <w:spacing w:after="200" w:before="360"/>
      </w:pPr>
      <w:r>
        <w:rPr>
          <w:rFonts w:ascii="Calibri" w:cs="Calibri" w:eastAsia="Calibri" w:hAnsi="Calibri"/>
          <w:b/>
          <w:bCs/>
          <w:color w:val="1F4E79"/>
          <w:sz w:val="32"/>
          <w:szCs w:val="32"/>
        </w:rPr>
        <w:t xml:space="preserve">4. System Architecture</w:t>
      </w:r>
    </w:p>
    <w:p>
      <w:pPr>
        <w:pStyle w:val="Heading2"/>
        <w:spacing w:after="160" w:before="280"/>
      </w:pPr>
      <w:r>
        <w:rPr>
          <w:rFonts w:ascii="Calibri" w:cs="Calibri" w:eastAsia="Calibri" w:hAnsi="Calibri"/>
          <w:b/>
          <w:bCs/>
          <w:color w:val="1F4E79"/>
          <w:sz w:val="26"/>
          <w:szCs w:val="26"/>
        </w:rPr>
        <w:t xml:space="preserve">4.1 How SupplyGuard Integrates</w:t>
      </w:r>
    </w:p>
    <w:p>
      <w:pPr>
        <w:spacing w:after="120"/>
        <w:jc w:val="left"/>
      </w:pPr>
      <w:r>
        <w:rPr>
          <w:rFonts w:ascii="Calibri" w:cs="Calibri" w:eastAsia="Calibri" w:hAnsi="Calibri"/>
          <w:b w:val="false"/>
          <w:bCs w:val="false"/>
          <w:i w:val="false"/>
          <w:iCs w:val="false"/>
          <w:color w:val="333333"/>
          <w:sz w:val="22"/>
          <w:szCs w:val="22"/>
        </w:rPr>
        <w:t xml:space="preserve">The diagram below shows how SupplyGuard connects external data sources, user interfaces, and backend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3F2FD"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EXTERNAL DATA SOURCES</w:t>
            </w:r>
          </w:p>
          <w:p>
            <w:pPr>
              <w:spacing w:after="30"/>
              <w:jc w:val="center"/>
            </w:pPr>
            <w:r>
              <w:rPr>
                <w:rFonts w:ascii="Calibri" w:cs="Calibri" w:eastAsia="Calibri" w:hAnsi="Calibri"/>
                <w:color w:val="333333"/>
                <w:sz w:val="18"/>
                <w:szCs w:val="18"/>
              </w:rPr>
              <w:t xml:space="preserve">Sanctions Lists (OFAC/EU/UN)</w:t>
            </w:r>
          </w:p>
          <w:p>
            <w:pPr>
              <w:spacing w:after="30"/>
              <w:jc w:val="center"/>
            </w:pPr>
            <w:r>
              <w:rPr>
                <w:rFonts w:ascii="Calibri" w:cs="Calibri" w:eastAsia="Calibri" w:hAnsi="Calibri"/>
                <w:color w:val="333333"/>
                <w:sz w:val="18"/>
                <w:szCs w:val="18"/>
              </w:rPr>
              <w:t xml:space="preserve">Country Risk Indices</w:t>
            </w:r>
          </w:p>
          <w:p>
            <w:pPr>
              <w:spacing w:after="30"/>
              <w:jc w:val="center"/>
            </w:pPr>
            <w:r>
              <w:rPr>
                <w:rFonts w:ascii="Calibri" w:cs="Calibri" w:eastAsia="Calibri" w:hAnsi="Calibri"/>
                <w:color w:val="333333"/>
                <w:sz w:val="18"/>
                <w:szCs w:val="18"/>
              </w:rPr>
              <w:t xml:space="preserve">Regulatory Updates</w:t>
            </w:r>
          </w:p>
        </w:tc>
        <w:tc>
          <w:tcPr>
            <w:tcW w:type="dxa" w:w="3120"/>
            <w:tcBorders>
              <w:top w:val="single" w:color="2E75B6" w:sz="1"/>
              <w:left w:val="single" w:color="2E75B6" w:sz="1"/>
              <w:bottom w:val="single" w:color="2E75B6" w:sz="1"/>
              <w:right w:val="single" w:color="2E75B6" w:sz="1"/>
            </w:tcBorders>
            <w:shd w:fill="E8F5E9"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USER INTERFACES</w:t>
            </w:r>
          </w:p>
          <w:p>
            <w:pPr>
              <w:spacing w:after="30"/>
              <w:jc w:val="center"/>
            </w:pPr>
            <w:r>
              <w:rPr>
                <w:rFonts w:ascii="Calibri" w:cs="Calibri" w:eastAsia="Calibri" w:hAnsi="Calibri"/>
                <w:color w:val="333333"/>
                <w:sz w:val="18"/>
                <w:szCs w:val="18"/>
              </w:rPr>
              <w:t xml:space="preserve">Web Dashboard</w:t>
            </w:r>
          </w:p>
          <w:p>
            <w:pPr>
              <w:spacing w:after="30"/>
              <w:jc w:val="center"/>
            </w:pPr>
            <w:r>
              <w:rPr>
                <w:rFonts w:ascii="Calibri" w:cs="Calibri" w:eastAsia="Calibri" w:hAnsi="Calibri"/>
                <w:color w:val="333333"/>
                <w:sz w:val="18"/>
                <w:szCs w:val="18"/>
              </w:rPr>
              <w:t xml:space="preserve">Search &amp; Filters</w:t>
            </w:r>
          </w:p>
          <w:p>
            <w:pPr>
              <w:spacing w:after="30"/>
              <w:jc w:val="center"/>
            </w:pPr>
            <w:r>
              <w:rPr>
                <w:rFonts w:ascii="Calibri" w:cs="Calibri" w:eastAsia="Calibri" w:hAnsi="Calibri"/>
                <w:color w:val="333333"/>
                <w:sz w:val="18"/>
                <w:szCs w:val="18"/>
              </w:rPr>
              <w:t xml:space="preserve">AI Analysis Panel</w:t>
            </w:r>
          </w:p>
        </w:tc>
        <w:tc>
          <w:tcPr>
            <w:tcW w:type="dxa" w:w="3120"/>
            <w:tcBorders>
              <w:top w:val="single" w:color="2E75B6" w:sz="1"/>
              <w:left w:val="single" w:color="2E75B6" w:sz="1"/>
              <w:bottom w:val="single" w:color="2E75B6" w:sz="1"/>
              <w:right w:val="single" w:color="2E75B6" w:sz="1"/>
            </w:tcBorders>
            <w:shd w:fill="FFF3E0"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INTEGRATIONS</w:t>
            </w:r>
          </w:p>
          <w:p>
            <w:pPr>
              <w:spacing w:after="30"/>
              <w:jc w:val="center"/>
            </w:pPr>
            <w:r>
              <w:rPr>
                <w:rFonts w:ascii="Calibri" w:cs="Calibri" w:eastAsia="Calibri" w:hAnsi="Calibri"/>
                <w:color w:val="333333"/>
                <w:sz w:val="18"/>
                <w:szCs w:val="18"/>
              </w:rPr>
              <w:t xml:space="preserve">Google OAuth (SSO)</w:t>
            </w:r>
          </w:p>
          <w:p>
            <w:pPr>
              <w:spacing w:after="30"/>
              <w:jc w:val="center"/>
            </w:pPr>
            <w:r>
              <w:rPr>
                <w:rFonts w:ascii="Calibri" w:cs="Calibri" w:eastAsia="Calibri" w:hAnsi="Calibri"/>
                <w:color w:val="333333"/>
                <w:sz w:val="18"/>
                <w:szCs w:val="18"/>
              </w:rPr>
              <w:t xml:space="preserve">CSV Import/Export</w:t>
            </w:r>
          </w:p>
          <w:p>
            <w:pPr>
              <w:spacing w:after="30"/>
              <w:jc w:val="center"/>
            </w:pPr>
            <w:r>
              <w:rPr>
                <w:rFonts w:ascii="Calibri" w:cs="Calibri" w:eastAsia="Calibri" w:hAnsi="Calibri"/>
                <w:color w:val="333333"/>
                <w:sz w:val="18"/>
                <w:szCs w:val="18"/>
              </w:rPr>
              <w:t xml:space="preserve">Webhook-Ready API</w:t>
            </w:r>
          </w:p>
        </w:tc>
      </w:tr>
      <w:tr>
        <w:tc>
          <w:tcPr>
            <w:tcW w:type="dxa" w:w="9360"/>
            <w:gridSpan w:val="3"/>
            <w:tcBorders>
              <w:top w:val="none" w:sz="0"/>
              <w:left w:val="none" w:sz="0"/>
              <w:bottom w:val="none" w:sz="0"/>
              <w:right w:val="none" w:sz="0"/>
            </w:tcBorders>
          </w:tcPr>
          <w:p>
            <w:pPr>
              <w:spacing w:after="60" w:before="60"/>
              <w:jc w:val="center"/>
            </w:pPr>
            <w:r>
              <w:rPr>
                <w:rFonts w:ascii="Calibri" w:cs="Calibri" w:eastAsia="Calibri" w:hAnsi="Calibri"/>
                <w:b/>
                <w:bCs/>
                <w:color w:val="2E75B6"/>
                <w:sz w:val="28"/>
                <w:szCs w:val="28"/>
              </w:rPr>
              <w:t xml:space="preserve">↓          ↓          ↓</w:t>
            </w:r>
          </w:p>
        </w:tc>
      </w:tr>
      <w:tr>
        <w:tc>
          <w:tcPr>
            <w:tcW w:type="dxa" w:w="9360"/>
            <w:gridSpan w:val="3"/>
            <w:tcBorders>
              <w:top w:val="single" w:color="2E75B6" w:sz="1"/>
              <w:left w:val="single" w:color="2E75B6" w:sz="1"/>
              <w:bottom w:val="single" w:color="2E75B6" w:sz="1"/>
              <w:right w:val="single" w:color="2E75B6" w:sz="1"/>
            </w:tcBorders>
            <w:shd w:fill="E8EAF6" w:val="clear"/>
            <w:tcMar>
              <w:top w:type="dxa" w:w="100"/>
              <w:left w:type="dxa" w:w="140"/>
              <w:bottom w:type="dxa" w:w="100"/>
              <w:right w:type="dxa" w:w="140"/>
            </w:tcMar>
          </w:tcPr>
          <w:p>
            <w:pPr>
              <w:spacing w:after="80"/>
              <w:jc w:val="center"/>
            </w:pPr>
            <w:r>
              <w:rPr>
                <w:rFonts w:ascii="Calibri" w:cs="Calibri" w:eastAsia="Calibri" w:hAnsi="Calibri"/>
                <w:b/>
                <w:bCs/>
                <w:color w:val="1F4E79"/>
                <w:sz w:val="24"/>
                <w:szCs w:val="24"/>
              </w:rPr>
              <w:t xml:space="preserve">SUPPLYGUARD CORE PLATFORM</w:t>
            </w:r>
          </w:p>
          <w:p>
            <w:pPr>
              <w:spacing w:after="40"/>
              <w:jc w:val="center"/>
            </w:pPr>
            <w:r>
              <w:rPr>
                <w:rFonts w:ascii="Calibri" w:cs="Calibri" w:eastAsia="Calibri" w:hAnsi="Calibri"/>
                <w:color w:val="333333"/>
                <w:sz w:val="18"/>
                <w:szCs w:val="18"/>
              </w:rPr>
              <w:t xml:space="preserve">Next.js 16 App Router  |  TypeScript  |  Tailwind CSS + shadcn/ui  |  Recharts</w:t>
            </w:r>
          </w:p>
          <w:p>
            <w:pPr>
              <w:spacing w:after="40"/>
              <w:jc w:val="center"/>
            </w:pPr>
            <w:r>
              <w:rPr>
                <w:rFonts w:ascii="Calibri" w:cs="Calibri" w:eastAsia="Calibri" w:hAnsi="Calibri"/>
                <w:color w:val="333333"/>
                <w:sz w:val="18"/>
                <w:szCs w:val="18"/>
              </w:rPr>
              <w:t xml:space="preserve">Server-Side API Routes  |  Risk Scoring Engine (8 factors, 100pts)  |  Real-Time Notifications</w:t>
            </w:r>
          </w:p>
        </w:tc>
      </w:tr>
      <w:tr>
        <w:tc>
          <w:tcPr>
            <w:tcW w:type="dxa" w:w="9360"/>
            <w:gridSpan w:val="3"/>
            <w:tcBorders>
              <w:top w:val="none" w:sz="0"/>
              <w:left w:val="none" w:sz="0"/>
              <w:bottom w:val="none" w:sz="0"/>
              <w:right w:val="none" w:sz="0"/>
            </w:tcBorders>
          </w:tcPr>
          <w:p>
            <w:pPr>
              <w:spacing w:after="60" w:before="60"/>
              <w:jc w:val="center"/>
            </w:pPr>
            <w:r>
              <w:rPr>
                <w:rFonts w:ascii="Calibri" w:cs="Calibri" w:eastAsia="Calibri" w:hAnsi="Calibri"/>
                <w:b/>
                <w:bCs/>
                <w:color w:val="2E75B6"/>
                <w:sz w:val="28"/>
                <w:szCs w:val="28"/>
              </w:rPr>
              <w:t xml:space="preserve">↓          ↓          ↓</w:t>
            </w:r>
          </w:p>
        </w:tc>
      </w:tr>
      <w:tr>
        <w:tc>
          <w:tcPr>
            <w:tcW w:type="dxa" w:w="3120"/>
            <w:tcBorders>
              <w:top w:val="single" w:color="2E75B6" w:sz="1"/>
              <w:left w:val="single" w:color="2E75B6" w:sz="1"/>
              <w:bottom w:val="single" w:color="2E75B6" w:sz="1"/>
              <w:right w:val="single" w:color="2E75B6" w:sz="1"/>
            </w:tcBorders>
            <w:shd w:fill="E3F2FD"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SUPABASE (PostgreSQL)</w:t>
            </w:r>
          </w:p>
          <w:p>
            <w:pPr>
              <w:spacing w:after="30"/>
              <w:jc w:val="center"/>
            </w:pPr>
            <w:r>
              <w:rPr>
                <w:rFonts w:ascii="Calibri" w:cs="Calibri" w:eastAsia="Calibri" w:hAnsi="Calibri"/>
                <w:color w:val="333333"/>
                <w:sz w:val="18"/>
                <w:szCs w:val="18"/>
              </w:rPr>
              <w:t xml:space="preserve">7 Tables with RLS</w:t>
            </w:r>
          </w:p>
          <w:p>
            <w:pPr>
              <w:spacing w:after="30"/>
              <w:jc w:val="center"/>
            </w:pPr>
            <w:r>
              <w:rPr>
                <w:rFonts w:ascii="Calibri" w:cs="Calibri" w:eastAsia="Calibri" w:hAnsi="Calibri"/>
                <w:color w:val="333333"/>
                <w:sz w:val="18"/>
                <w:szCs w:val="18"/>
              </w:rPr>
              <w:t xml:space="preserve">Realtime Subscriptions</w:t>
            </w:r>
          </w:p>
          <w:p>
            <w:pPr>
              <w:spacing w:after="30"/>
              <w:jc w:val="center"/>
            </w:pPr>
            <w:r>
              <w:rPr>
                <w:rFonts w:ascii="Calibri" w:cs="Calibri" w:eastAsia="Calibri" w:hAnsi="Calibri"/>
                <w:color w:val="333333"/>
                <w:sz w:val="18"/>
                <w:szCs w:val="18"/>
              </w:rPr>
              <w:t xml:space="preserve">Auth + Row-Level Security</w:t>
            </w:r>
          </w:p>
        </w:tc>
        <w:tc>
          <w:tcPr>
            <w:tcW w:type="dxa" w:w="3120"/>
            <w:tcBorders>
              <w:top w:val="single" w:color="2E75B6" w:sz="1"/>
              <w:left w:val="single" w:color="2E75B6" w:sz="1"/>
              <w:bottom w:val="single" w:color="2E75B6" w:sz="1"/>
              <w:right w:val="single" w:color="2E75B6" w:sz="1"/>
            </w:tcBorders>
            <w:shd w:fill="F3E5F5"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OpenAI GPT-4o-mini</w:t>
            </w:r>
          </w:p>
          <w:p>
            <w:pPr>
              <w:spacing w:after="30"/>
              <w:jc w:val="center"/>
            </w:pPr>
            <w:r>
              <w:rPr>
                <w:rFonts w:ascii="Calibri" w:cs="Calibri" w:eastAsia="Calibri" w:hAnsi="Calibri"/>
                <w:color w:val="333333"/>
                <w:sz w:val="18"/>
                <w:szCs w:val="18"/>
              </w:rPr>
              <w:t xml:space="preserve">Supplier Risk Assessment</w:t>
            </w:r>
          </w:p>
          <w:p>
            <w:pPr>
              <w:spacing w:after="30"/>
              <w:jc w:val="center"/>
            </w:pPr>
            <w:r>
              <w:rPr>
                <w:rFonts w:ascii="Calibri" w:cs="Calibri" w:eastAsia="Calibri" w:hAnsi="Calibri"/>
                <w:color w:val="333333"/>
                <w:sz w:val="18"/>
                <w:szCs w:val="18"/>
              </w:rPr>
              <w:t xml:space="preserve">Portfolio Insights</w:t>
            </w:r>
          </w:p>
          <w:p>
            <w:pPr>
              <w:spacing w:after="30"/>
              <w:jc w:val="center"/>
            </w:pPr>
            <w:r>
              <w:rPr>
                <w:rFonts w:ascii="Calibri" w:cs="Calibri" w:eastAsia="Calibri" w:hAnsi="Calibri"/>
                <w:color w:val="333333"/>
                <w:sz w:val="18"/>
                <w:szCs w:val="18"/>
              </w:rPr>
              <w:t xml:space="preserve">Prompt Engineering</w:t>
            </w:r>
          </w:p>
        </w:tc>
        <w:tc>
          <w:tcPr>
            <w:tcW w:type="dxa" w:w="3120"/>
            <w:tcBorders>
              <w:top w:val="single" w:color="2E75B6" w:sz="1"/>
              <w:left w:val="single" w:color="2E75B6" w:sz="1"/>
              <w:bottom w:val="single" w:color="2E75B6" w:sz="1"/>
              <w:right w:val="single" w:color="2E75B6" w:sz="1"/>
            </w:tcBorders>
            <w:shd w:fill="E8F5E9" w:val="clear"/>
            <w:tcMar>
              <w:top w:type="dxa" w:w="80"/>
              <w:left w:type="dxa" w:w="100"/>
              <w:bottom w:type="dxa" w:w="80"/>
              <w:right w:type="dxa" w:w="100"/>
            </w:tcMar>
          </w:tcPr>
          <w:p>
            <w:pPr>
              <w:spacing w:after="60"/>
              <w:jc w:val="center"/>
            </w:pPr>
            <w:r>
              <w:rPr>
                <w:rFonts w:ascii="Calibri" w:cs="Calibri" w:eastAsia="Calibri" w:hAnsi="Calibri"/>
                <w:b/>
                <w:bCs/>
                <w:color w:val="1F4E79"/>
                <w:sz w:val="20"/>
                <w:szCs w:val="20"/>
              </w:rPr>
              <w:t xml:space="preserve">VERCEL (Deployment)</w:t>
            </w:r>
          </w:p>
          <w:p>
            <w:pPr>
              <w:spacing w:after="30"/>
              <w:jc w:val="center"/>
            </w:pPr>
            <w:r>
              <w:rPr>
                <w:rFonts w:ascii="Calibri" w:cs="Calibri" w:eastAsia="Calibri" w:hAnsi="Calibri"/>
                <w:color w:val="333333"/>
                <w:sz w:val="18"/>
                <w:szCs w:val="18"/>
              </w:rPr>
              <w:t xml:space="preserve">Edge Network CDN</w:t>
            </w:r>
          </w:p>
          <w:p>
            <w:pPr>
              <w:spacing w:after="30"/>
              <w:jc w:val="center"/>
            </w:pPr>
            <w:r>
              <w:rPr>
                <w:rFonts w:ascii="Calibri" w:cs="Calibri" w:eastAsia="Calibri" w:hAnsi="Calibri"/>
                <w:color w:val="333333"/>
                <w:sz w:val="18"/>
                <w:szCs w:val="18"/>
              </w:rPr>
              <w:t xml:space="preserve">Auto CI/CD from GitHub</w:t>
            </w:r>
          </w:p>
          <w:p>
            <w:pPr>
              <w:spacing w:after="30"/>
              <w:jc w:val="center"/>
            </w:pPr>
            <w:r>
              <w:rPr>
                <w:rFonts w:ascii="Calibri" w:cs="Calibri" w:eastAsia="Calibri" w:hAnsi="Calibri"/>
                <w:color w:val="333333"/>
                <w:sz w:val="18"/>
                <w:szCs w:val="18"/>
              </w:rPr>
              <w:t xml:space="preserve">Serverless Functions</w:t>
            </w:r>
          </w:p>
        </w:tc>
      </w:tr>
    </w:tbl>
    <w:p>
      <w:pPr>
        <w:spacing w:after="200"/>
      </w:pPr>
    </w:p>
    <w:p>
      <w:pPr>
        <w:pStyle w:val="Heading2"/>
        <w:spacing w:after="160" w:before="280"/>
      </w:pPr>
      <w:r>
        <w:rPr>
          <w:rFonts w:ascii="Calibri" w:cs="Calibri" w:eastAsia="Calibri" w:hAnsi="Calibri"/>
          <w:b/>
          <w:bCs/>
          <w:color w:val="1F4E79"/>
          <w:sz w:val="26"/>
          <w:szCs w:val="26"/>
        </w:rPr>
        <w:t xml:space="preserve">4.2 Data Flow: From Raw Data to AI Insight</w:t>
      </w:r>
    </w:p>
    <w:p>
      <w:pPr>
        <w:spacing w:after="120"/>
        <w:jc w:val="left"/>
      </w:pPr>
      <w:r>
        <w:rPr>
          <w:rFonts w:ascii="Calibri" w:cs="Calibri" w:eastAsia="Calibri" w:hAnsi="Calibri"/>
          <w:b w:val="false"/>
          <w:bCs w:val="false"/>
          <w:i w:val="false"/>
          <w:iCs w:val="false"/>
          <w:color w:val="333333"/>
          <w:sz w:val="22"/>
          <w:szCs w:val="22"/>
        </w:rPr>
        <w:t xml:space="preserve">Every supplier goes through a four-stage pipeline: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E3F2FD" w:val="clear"/>
            <w:tcMar>
              <w:top w:type="dxa" w:w="80"/>
              <w:left w:type="dxa" w:w="100"/>
              <w:bottom w:type="dxa" w:w="80"/>
              <w:right w:type="dxa" w:w="100"/>
            </w:tcMar>
          </w:tcPr>
          <w:p>
            <w:pPr>
              <w:spacing w:after="40"/>
              <w:jc w:val="center"/>
            </w:pPr>
            <w:r>
              <w:rPr>
                <w:rFonts w:ascii="Calibri" w:cs="Calibri" w:eastAsia="Calibri" w:hAnsi="Calibri"/>
                <w:b/>
                <w:bCs/>
                <w:color w:val="2E75B6"/>
                <w:sz w:val="28"/>
                <w:szCs w:val="28"/>
              </w:rPr>
              <w:t xml:space="preserve">①</w:t>
            </w:r>
          </w:p>
          <w:p>
            <w:pPr>
              <w:spacing w:after="40"/>
              <w:jc w:val="center"/>
            </w:pPr>
            <w:r>
              <w:rPr>
                <w:rFonts w:ascii="Calibri" w:cs="Calibri" w:eastAsia="Calibri" w:hAnsi="Calibri"/>
                <w:b/>
                <w:bCs/>
                <w:color w:val="333333"/>
                <w:sz w:val="20"/>
                <w:szCs w:val="20"/>
              </w:rPr>
              <w:t xml:space="preserve">DATA INGESTION</w:t>
            </w:r>
          </w:p>
          <w:p>
            <w:pPr>
              <w:jc w:val="center"/>
            </w:pPr>
            <w:r>
              <w:rPr>
                <w:rFonts w:ascii="Calibri" w:cs="Calibri" w:eastAsia="Calibri" w:hAnsi="Calibri"/>
                <w:color w:val="666666"/>
                <w:sz w:val="18"/>
                <w:szCs w:val="18"/>
              </w:rPr>
              <w:t xml:space="preserve">Supplier data from Supabase or demo seed</w:t>
            </w:r>
          </w:p>
        </w:tc>
        <w:tc>
          <w:tcPr>
            <w:tcW w:type="dxa" w:w="2340"/>
            <w:tcBorders>
              <w:top w:val="single" w:color="2E75B6" w:sz="1"/>
              <w:left w:val="single" w:color="2E75B6" w:sz="1"/>
              <w:bottom w:val="single" w:color="2E75B6" w:sz="1"/>
              <w:right w:val="single" w:color="2E75B6" w:sz="1"/>
            </w:tcBorders>
            <w:shd w:fill="E8F5E9" w:val="clear"/>
            <w:tcMar>
              <w:top w:type="dxa" w:w="80"/>
              <w:left w:type="dxa" w:w="100"/>
              <w:bottom w:type="dxa" w:w="80"/>
              <w:right w:type="dxa" w:w="100"/>
            </w:tcMar>
          </w:tcPr>
          <w:p>
            <w:pPr>
              <w:spacing w:after="40"/>
              <w:jc w:val="center"/>
            </w:pPr>
            <w:r>
              <w:rPr>
                <w:rFonts w:ascii="Calibri" w:cs="Calibri" w:eastAsia="Calibri" w:hAnsi="Calibri"/>
                <w:b/>
                <w:bCs/>
                <w:color w:val="2E75B6"/>
                <w:sz w:val="28"/>
                <w:szCs w:val="28"/>
              </w:rPr>
              <w:t xml:space="preserve">②</w:t>
            </w:r>
          </w:p>
          <w:p>
            <w:pPr>
              <w:spacing w:after="40"/>
              <w:jc w:val="center"/>
            </w:pPr>
            <w:r>
              <w:rPr>
                <w:rFonts w:ascii="Calibri" w:cs="Calibri" w:eastAsia="Calibri" w:hAnsi="Calibri"/>
                <w:b/>
                <w:bCs/>
                <w:color w:val="333333"/>
                <w:sz w:val="20"/>
                <w:szCs w:val="20"/>
              </w:rPr>
              <w:t xml:space="preserve">RISK SCORING</w:t>
            </w:r>
          </w:p>
          <w:p>
            <w:pPr>
              <w:jc w:val="center"/>
            </w:pPr>
            <w:r>
              <w:rPr>
                <w:rFonts w:ascii="Calibri" w:cs="Calibri" w:eastAsia="Calibri" w:hAnsi="Calibri"/>
                <w:color w:val="666666"/>
                <w:sz w:val="18"/>
                <w:szCs w:val="18"/>
              </w:rPr>
              <w:t xml:space="preserve">8-factor algorithm calculates 0-100 score</w:t>
            </w:r>
          </w:p>
        </w:tc>
        <w:tc>
          <w:tcPr>
            <w:tcW w:type="dxa" w:w="2340"/>
            <w:tcBorders>
              <w:top w:val="single" w:color="2E75B6" w:sz="1"/>
              <w:left w:val="single" w:color="2E75B6" w:sz="1"/>
              <w:bottom w:val="single" w:color="2E75B6" w:sz="1"/>
              <w:right w:val="single" w:color="2E75B6" w:sz="1"/>
            </w:tcBorders>
            <w:shd w:fill="F3E5F5" w:val="clear"/>
            <w:tcMar>
              <w:top w:type="dxa" w:w="80"/>
              <w:left w:type="dxa" w:w="100"/>
              <w:bottom w:type="dxa" w:w="80"/>
              <w:right w:type="dxa" w:w="100"/>
            </w:tcMar>
          </w:tcPr>
          <w:p>
            <w:pPr>
              <w:spacing w:after="40"/>
              <w:jc w:val="center"/>
            </w:pPr>
            <w:r>
              <w:rPr>
                <w:rFonts w:ascii="Calibri" w:cs="Calibri" w:eastAsia="Calibri" w:hAnsi="Calibri"/>
                <w:b/>
                <w:bCs/>
                <w:color w:val="2E75B6"/>
                <w:sz w:val="28"/>
                <w:szCs w:val="28"/>
              </w:rPr>
              <w:t xml:space="preserve">③</w:t>
            </w:r>
          </w:p>
          <w:p>
            <w:pPr>
              <w:spacing w:after="40"/>
              <w:jc w:val="center"/>
            </w:pPr>
            <w:r>
              <w:rPr>
                <w:rFonts w:ascii="Calibri" w:cs="Calibri" w:eastAsia="Calibri" w:hAnsi="Calibri"/>
                <w:b/>
                <w:bCs/>
                <w:color w:val="333333"/>
                <w:sz w:val="20"/>
                <w:szCs w:val="20"/>
              </w:rPr>
              <w:t xml:space="preserve">AI ANALYSIS</w:t>
            </w:r>
          </w:p>
          <w:p>
            <w:pPr>
              <w:jc w:val="center"/>
            </w:pPr>
            <w:r>
              <w:rPr>
                <w:rFonts w:ascii="Calibri" w:cs="Calibri" w:eastAsia="Calibri" w:hAnsi="Calibri"/>
                <w:color w:val="666666"/>
                <w:sz w:val="18"/>
                <w:szCs w:val="18"/>
              </w:rPr>
              <w:t xml:space="preserve">GPT-4o-mini generates insights from scored data</w:t>
            </w:r>
          </w:p>
        </w:tc>
        <w:tc>
          <w:tcPr>
            <w:tcW w:type="dxa" w:w="2340"/>
            <w:tcBorders>
              <w:top w:val="single" w:color="2E75B6" w:sz="1"/>
              <w:left w:val="single" w:color="2E75B6" w:sz="1"/>
              <w:bottom w:val="single" w:color="2E75B6" w:sz="1"/>
              <w:right w:val="single" w:color="2E75B6" w:sz="1"/>
            </w:tcBorders>
            <w:shd w:fill="FFF3E0" w:val="clear"/>
            <w:tcMar>
              <w:top w:type="dxa" w:w="80"/>
              <w:left w:type="dxa" w:w="100"/>
              <w:bottom w:type="dxa" w:w="80"/>
              <w:right w:type="dxa" w:w="100"/>
            </w:tcMar>
          </w:tcPr>
          <w:p>
            <w:pPr>
              <w:spacing w:after="40"/>
              <w:jc w:val="center"/>
            </w:pPr>
            <w:r>
              <w:rPr>
                <w:rFonts w:ascii="Calibri" w:cs="Calibri" w:eastAsia="Calibri" w:hAnsi="Calibri"/>
                <w:b/>
                <w:bCs/>
                <w:color w:val="2E75B6"/>
                <w:sz w:val="28"/>
                <w:szCs w:val="28"/>
              </w:rPr>
              <w:t xml:space="preserve">④</w:t>
            </w:r>
          </w:p>
          <w:p>
            <w:pPr>
              <w:spacing w:after="40"/>
              <w:jc w:val="center"/>
            </w:pPr>
            <w:r>
              <w:rPr>
                <w:rFonts w:ascii="Calibri" w:cs="Calibri" w:eastAsia="Calibri" w:hAnsi="Calibri"/>
                <w:b/>
                <w:bCs/>
                <w:color w:val="333333"/>
                <w:sz w:val="20"/>
                <w:szCs w:val="20"/>
              </w:rPr>
              <w:t xml:space="preserve">REAL-TIME ALERTS</w:t>
            </w:r>
          </w:p>
          <w:p>
            <w:pPr>
              <w:jc w:val="center"/>
            </w:pPr>
            <w:r>
              <w:rPr>
                <w:rFonts w:ascii="Calibri" w:cs="Calibri" w:eastAsia="Calibri" w:hAnsi="Calibri"/>
                <w:color w:val="666666"/>
                <w:sz w:val="18"/>
                <w:szCs w:val="18"/>
              </w:rPr>
              <w:t xml:space="preserve">Supabase Realtime pushes changes to UI</w:t>
            </w:r>
          </w:p>
        </w:tc>
      </w:tr>
    </w:tbl>
    <w:p>
      <w:pPr>
        <w:spacing w:after="200"/>
      </w:pPr>
    </w:p>
    <w:p>
      <w:pPr>
        <w:pStyle w:val="Heading2"/>
        <w:spacing w:after="160" w:before="280"/>
      </w:pPr>
      <w:r>
        <w:rPr>
          <w:rFonts w:ascii="Calibri" w:cs="Calibri" w:eastAsia="Calibri" w:hAnsi="Calibri"/>
          <w:b/>
          <w:bCs/>
          <w:color w:val="1F4E79"/>
          <w:sz w:val="26"/>
          <w:szCs w:val="26"/>
        </w:rPr>
        <w:t xml:space="preserve">4.3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Frontend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Next.js 16 (App Router)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Server-side rendering, file-based routing, API routes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Language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TypeScript (Strict Mode)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Type safety across the entire codebase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Styling</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Tailwind CSS + shadcn/ui</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Utility-first CSS with accessible components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Database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Supabase (PostgreSQL)</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Managed Postgres with RLS, Realtime subscriptions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Supabase Auth + Google OAuth</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Secure SSO with Google accounts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AI/GenAI</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OpenAI API (GPT-4o-mini)</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analysis and portfolio insights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Charts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Recharts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Interactive pie charts and bar charts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Deployment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Vercel</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Edge CDN with auto CI/CD from GitHub</w:t>
            </w:r>
          </w:p>
        </w:tc>
      </w:tr>
    </w:tbl>
    <w:p>
      <w:pPr>
        <w:spacing w:after="60"/>
      </w:pPr>
    </w:p>
    <w:p>
      <w:pPr>
        <w:pStyle w:val="Heading2"/>
        <w:spacing w:after="160" w:before="280"/>
      </w:pPr>
      <w:r>
        <w:rPr>
          <w:rFonts w:ascii="Calibri" w:cs="Calibri" w:eastAsia="Calibri" w:hAnsi="Calibri"/>
          <w:b/>
          <w:bCs/>
          <w:color w:val="1F4E79"/>
          <w:sz w:val="26"/>
          <w:szCs w:val="26"/>
        </w:rPr>
        <w:t xml:space="preserve">4.4 Database: 7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Table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Records</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150</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Core profiles with risk scores, country, commodity, spend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supplier_documents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1,350</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9 document types per supplier with expiry tracking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sanctions_entities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30</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Known sanctions list entries (OFAC/EU/UN)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sanctions_matches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14</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Supplier-to-entity matches requiring review</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audits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82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Audit schedules, results, and overdue tracking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contracts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152</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Contract lifecycle with expiry alerts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risk_events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40</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Historical risk event log</w:t>
            </w:r>
          </w:p>
        </w:tc>
      </w:tr>
    </w:tbl>
    <w:p>
      <w:pPr>
        <w:spacing w:after="60"/>
      </w:pPr>
    </w:p>
    <w:p>
      <w:pPr>
        <w:pStyle w:val="Heading2"/>
        <w:spacing w:after="160" w:before="280"/>
      </w:pPr>
      <w:r>
        <w:rPr>
          <w:rFonts w:ascii="Calibri" w:cs="Calibri" w:eastAsia="Calibri" w:hAnsi="Calibri"/>
          <w:b/>
          <w:bCs/>
          <w:color w:val="1F4E79"/>
          <w:sz w:val="26"/>
          <w:szCs w:val="26"/>
        </w:rPr>
        <w:t xml:space="preserve">4.5 Graceful Degradation</w:t>
      </w:r>
    </w:p>
    <w:p>
      <w:pPr>
        <w:spacing w:after="120"/>
        <w:jc w:val="left"/>
      </w:pPr>
      <w:r>
        <w:rPr>
          <w:rFonts w:ascii="Calibri" w:cs="Calibri" w:eastAsia="Calibri" w:hAnsi="Calibri"/>
          <w:b w:val="false"/>
          <w:bCs w:val="false"/>
          <w:i w:val="false"/>
          <w:iCs w:val="false"/>
          <w:color w:val="333333"/>
          <w:sz w:val="22"/>
          <w:szCs w:val="22"/>
        </w:rPr>
        <w:t xml:space="preserve">The app works in three modes — it never shows a blank screen:</w:t>
      </w:r>
    </w:p>
    <w:p>
      <w:pPr>
        <w:pStyle w:val="ListParagraph"/>
        <w:numPr>
          <w:ilvl w:val="0"/>
          <w:numId w:val="2"/>
        </w:numPr>
        <w:spacing w:after="80"/>
      </w:pPr>
      <w:r>
        <w:rPr>
          <w:rFonts w:ascii="Calibri" w:cs="Calibri" w:eastAsia="Calibri" w:hAnsi="Calibri"/>
          <w:b/>
          <w:bCs/>
          <w:color w:val="333333"/>
          <w:sz w:val="22"/>
          <w:szCs w:val="22"/>
        </w:rPr>
        <w:t xml:space="preserve">Full Mode:</w:t>
      </w:r>
      <w:r>
        <w:rPr>
          <w:rFonts w:ascii="Calibri" w:cs="Calibri" w:eastAsia="Calibri" w:hAnsi="Calibri"/>
          <w:color w:val="333333"/>
          <w:sz w:val="22"/>
          <w:szCs w:val="22"/>
        </w:rPr>
        <w:t xml:space="preserve"> Supabase + OpenAI connected = all features active</w:t>
      </w:r>
    </w:p>
    <w:p>
      <w:pPr>
        <w:pStyle w:val="ListParagraph"/>
        <w:numPr>
          <w:ilvl w:val="0"/>
          <w:numId w:val="2"/>
        </w:numPr>
        <w:spacing w:after="80"/>
      </w:pPr>
      <w:r>
        <w:rPr>
          <w:rFonts w:ascii="Calibri" w:cs="Calibri" w:eastAsia="Calibri" w:hAnsi="Calibri"/>
          <w:b/>
          <w:bCs/>
          <w:color w:val="333333"/>
          <w:sz w:val="22"/>
          <w:szCs w:val="22"/>
        </w:rPr>
        <w:t xml:space="preserve">Database Only:</w:t>
      </w:r>
      <w:r>
        <w:rPr>
          <w:rFonts w:ascii="Calibri" w:cs="Calibri" w:eastAsia="Calibri" w:hAnsi="Calibri"/>
          <w:color w:val="333333"/>
          <w:sz w:val="22"/>
          <w:szCs w:val="22"/>
        </w:rPr>
        <w:t xml:space="preserve"> Supabase only = everything except AI analysis</w:t>
      </w:r>
    </w:p>
    <w:p>
      <w:pPr>
        <w:pStyle w:val="ListParagraph"/>
        <w:numPr>
          <w:ilvl w:val="0"/>
          <w:numId w:val="2"/>
        </w:numPr>
        <w:spacing w:after="80"/>
      </w:pPr>
      <w:r>
        <w:rPr>
          <w:rFonts w:ascii="Calibri" w:cs="Calibri" w:eastAsia="Calibri" w:hAnsi="Calibri"/>
          <w:b/>
          <w:bCs/>
          <w:color w:val="333333"/>
          <w:sz w:val="22"/>
          <w:szCs w:val="22"/>
        </w:rPr>
        <w:t xml:space="preserve">Demo Mode:</w:t>
      </w:r>
      <w:r>
        <w:rPr>
          <w:rFonts w:ascii="Calibri" w:cs="Calibri" w:eastAsia="Calibri" w:hAnsi="Calibri"/>
          <w:color w:val="333333"/>
          <w:sz w:val="22"/>
          <w:szCs w:val="22"/>
        </w:rPr>
        <w:t xml:space="preserve"> No external services = 150 deterministic demo suppliers via seeded random</w:t>
      </w:r>
    </w:p>
    <w:p>
      <w:r>
        <w:br w:type="page"/>
      </w:r>
    </w:p>
    <w:p>
      <w:pPr>
        <w:pStyle w:val="Heading1"/>
        <w:spacing w:after="200" w:before="360"/>
      </w:pPr>
      <w:r>
        <w:rPr>
          <w:rFonts w:ascii="Calibri" w:cs="Calibri" w:eastAsia="Calibri" w:hAnsi="Calibri"/>
          <w:b/>
          <w:bCs/>
          <w:color w:val="1F4E79"/>
          <w:sz w:val="32"/>
          <w:szCs w:val="32"/>
        </w:rPr>
        <w:t xml:space="preserve">5. AI &amp; Generative AI: How and Why</w:t>
      </w:r>
    </w:p>
    <w:p>
      <w:pPr>
        <w:pStyle w:val="Heading2"/>
        <w:spacing w:after="160" w:before="280"/>
      </w:pPr>
      <w:r>
        <w:rPr>
          <w:rFonts w:ascii="Calibri" w:cs="Calibri" w:eastAsia="Calibri" w:hAnsi="Calibri"/>
          <w:b/>
          <w:bCs/>
          <w:color w:val="1F4E79"/>
          <w:sz w:val="26"/>
          <w:szCs w:val="26"/>
        </w:rPr>
        <w:t xml:space="preserve">5.1 The Gap AI Fills</w:t>
      </w:r>
    </w:p>
    <w:p>
      <w:pPr>
        <w:spacing w:after="120"/>
        <w:jc w:val="left"/>
      </w:pPr>
      <w:r>
        <w:rPr>
          <w:rFonts w:ascii="Calibri" w:cs="Calibri" w:eastAsia="Calibri" w:hAnsi="Calibri"/>
          <w:b w:val="false"/>
          <w:bCs w:val="false"/>
          <w:i w:val="false"/>
          <w:iCs w:val="false"/>
          <w:color w:val="333333"/>
          <w:sz w:val="22"/>
          <w:szCs w:val="22"/>
        </w:rPr>
        <w:t xml:space="preserve">Traditional tools give you a number. AI gives you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Without AI</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With SupplyGuard AI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Why is this supplier risky?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Score: 72/100 (no explanation)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Detailed analysis: sanctions flag + 6 missing docs + overdue audit in high-risk region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What should I do?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Figure it out yourself</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3-5 specific, actionable recommendations referencing actual data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What’s the risk trajectory?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Unknown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 predicts whether risk will increase/decrease and why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Portfolio patterns?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Days of manual analysis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Executive briefing in 10 seconds with named suppliers</w:t>
            </w:r>
          </w:p>
        </w:tc>
      </w:tr>
    </w:tbl>
    <w:p>
      <w:pPr>
        <w:spacing w:after="120"/>
      </w:pPr>
    </w:p>
    <w:p>
      <w:pPr>
        <w:pStyle w:val="Heading2"/>
        <w:spacing w:after="160" w:before="280"/>
      </w:pPr>
      <w:r>
        <w:rPr>
          <w:rFonts w:ascii="Calibri" w:cs="Calibri" w:eastAsia="Calibri" w:hAnsi="Calibri"/>
          <w:b/>
          <w:bCs/>
          <w:color w:val="1F4E79"/>
          <w:sz w:val="26"/>
          <w:szCs w:val="26"/>
        </w:rPr>
        <w:t xml:space="preserve">5.2 AI Feature 1: Supplier Risk Assessment</w:t>
      </w:r>
    </w:p>
    <w:p>
      <w:pPr>
        <w:pStyle w:val="ListParagraph"/>
        <w:numPr>
          <w:ilvl w:val="0"/>
          <w:numId w:val="2"/>
        </w:numPr>
        <w:spacing w:after="80"/>
      </w:pPr>
      <w:r>
        <w:rPr>
          <w:rFonts w:ascii="Calibri" w:cs="Calibri" w:eastAsia="Calibri" w:hAnsi="Calibri"/>
          <w:b/>
          <w:bCs/>
          <w:color w:val="333333"/>
          <w:sz w:val="22"/>
          <w:szCs w:val="22"/>
        </w:rPr>
        <w:t xml:space="preserve">Trigger:</w:t>
      </w:r>
      <w:r>
        <w:rPr>
          <w:rFonts w:ascii="Calibri" w:cs="Calibri" w:eastAsia="Calibri" w:hAnsi="Calibri"/>
          <w:color w:val="333333"/>
          <w:sz w:val="22"/>
          <w:szCs w:val="22"/>
        </w:rPr>
        <w:t xml:space="preserve"> User clicks “Generate AI Assessment” on any supplier detail page</w:t>
      </w:r>
    </w:p>
    <w:p>
      <w:pPr>
        <w:pStyle w:val="ListParagraph"/>
        <w:numPr>
          <w:ilvl w:val="0"/>
          <w:numId w:val="2"/>
        </w:numPr>
        <w:spacing w:after="80"/>
      </w:pPr>
      <w:r>
        <w:rPr>
          <w:rFonts w:ascii="Calibri" w:cs="Calibri" w:eastAsia="Calibri" w:hAnsi="Calibri"/>
          <w:b/>
          <w:bCs/>
          <w:color w:val="333333"/>
          <w:sz w:val="22"/>
          <w:szCs w:val="22"/>
        </w:rPr>
        <w:t xml:space="preserve">Input:</w:t>
      </w:r>
      <w:r>
        <w:rPr>
          <w:rFonts w:ascii="Calibri" w:cs="Calibri" w:eastAsia="Calibri" w:hAnsi="Calibri"/>
          <w:color w:val="333333"/>
          <w:sz w:val="22"/>
          <w:szCs w:val="22"/>
        </w:rPr>
        <w:t xml:space="preserve"> Supplier profile + risk breakdown (8 factors with scores) + 9 document statuses</w:t>
      </w:r>
    </w:p>
    <w:p>
      <w:pPr>
        <w:pStyle w:val="ListParagraph"/>
        <w:numPr>
          <w:ilvl w:val="0"/>
          <w:numId w:val="2"/>
        </w:numPr>
        <w:spacing w:after="80"/>
      </w:pPr>
      <w:r>
        <w:rPr>
          <w:rFonts w:ascii="Calibri" w:cs="Calibri" w:eastAsia="Calibri" w:hAnsi="Calibri"/>
          <w:b/>
          <w:bCs/>
          <w:color w:val="333333"/>
          <w:sz w:val="22"/>
          <w:szCs w:val="22"/>
        </w:rPr>
        <w:t xml:space="preserve">Model:</w:t>
      </w:r>
      <w:r>
        <w:rPr>
          <w:rFonts w:ascii="Calibri" w:cs="Calibri" w:eastAsia="Calibri" w:hAnsi="Calibri"/>
          <w:color w:val="333333"/>
          <w:sz w:val="22"/>
          <w:szCs w:val="22"/>
        </w:rPr>
        <w:t xml:space="preserve"> GPT-4o-mini via server-side API route with engineered prompt</w:t>
      </w:r>
    </w:p>
    <w:p>
      <w:pPr>
        <w:pStyle w:val="ListParagraph"/>
        <w:numPr>
          <w:ilvl w:val="0"/>
          <w:numId w:val="2"/>
        </w:numPr>
        <w:spacing w:after="80"/>
      </w:pPr>
      <w:r>
        <w:rPr>
          <w:rFonts w:ascii="Calibri" w:cs="Calibri" w:eastAsia="Calibri" w:hAnsi="Calibri"/>
          <w:b/>
          <w:bCs/>
          <w:color w:val="333333"/>
          <w:sz w:val="22"/>
          <w:szCs w:val="22"/>
        </w:rPr>
        <w:t xml:space="preserve">Output:</w:t>
      </w:r>
      <w:r>
        <w:rPr>
          <w:rFonts w:ascii="Calibri" w:cs="Calibri" w:eastAsia="Calibri" w:hAnsi="Calibri"/>
          <w:color w:val="333333"/>
          <w:sz w:val="22"/>
          <w:szCs w:val="22"/>
        </w:rPr>
        <w:t xml:space="preserve"> Risk Summary, Key Concerns, Recommendations, Risk Outlook</w:t>
      </w:r>
    </w:p>
    <w:p>
      <w:pPr>
        <w:spacing w:after="60"/>
      </w:pPr>
    </w:p>
    <w:p>
      <w:pPr>
        <w:pStyle w:val="Heading2"/>
        <w:spacing w:after="160" w:before="280"/>
      </w:pPr>
      <w:r>
        <w:rPr>
          <w:rFonts w:ascii="Calibri" w:cs="Calibri" w:eastAsia="Calibri" w:hAnsi="Calibri"/>
          <w:b/>
          <w:bCs/>
          <w:color w:val="1F4E79"/>
          <w:sz w:val="26"/>
          <w:szCs w:val="26"/>
        </w:rPr>
        <w:t xml:space="preserve">5.3 AI Feature 2: Portfolio Insights</w:t>
      </w:r>
    </w:p>
    <w:p>
      <w:pPr>
        <w:pStyle w:val="ListParagraph"/>
        <w:numPr>
          <w:ilvl w:val="0"/>
          <w:numId w:val="2"/>
        </w:numPr>
        <w:spacing w:after="80"/>
      </w:pPr>
      <w:r>
        <w:rPr>
          <w:rFonts w:ascii="Calibri" w:cs="Calibri" w:eastAsia="Calibri" w:hAnsi="Calibri"/>
          <w:b/>
          <w:bCs/>
          <w:color w:val="333333"/>
          <w:sz w:val="22"/>
          <w:szCs w:val="22"/>
        </w:rPr>
        <w:t xml:space="preserve">Trigger:</w:t>
      </w:r>
      <w:r>
        <w:rPr>
          <w:rFonts w:ascii="Calibri" w:cs="Calibri" w:eastAsia="Calibri" w:hAnsi="Calibri"/>
          <w:color w:val="333333"/>
          <w:sz w:val="22"/>
          <w:szCs w:val="22"/>
        </w:rPr>
        <w:t xml:space="preserve"> User clicks “Generate Portfolio Insights” on the dashboard</w:t>
      </w:r>
    </w:p>
    <w:p>
      <w:pPr>
        <w:pStyle w:val="ListParagraph"/>
        <w:numPr>
          <w:ilvl w:val="0"/>
          <w:numId w:val="2"/>
        </w:numPr>
        <w:spacing w:after="80"/>
      </w:pPr>
      <w:r>
        <w:rPr>
          <w:rFonts w:ascii="Calibri" w:cs="Calibri" w:eastAsia="Calibri" w:hAnsi="Calibri"/>
          <w:b/>
          <w:bCs/>
          <w:color w:val="333333"/>
          <w:sz w:val="22"/>
          <w:szCs w:val="22"/>
        </w:rPr>
        <w:t xml:space="preserve">Input:</w:t>
      </w:r>
      <w:r>
        <w:rPr>
          <w:rFonts w:ascii="Calibri" w:cs="Calibri" w:eastAsia="Calibri" w:hAnsi="Calibri"/>
          <w:color w:val="333333"/>
          <w:sz w:val="22"/>
          <w:szCs w:val="22"/>
        </w:rPr>
        <w:t xml:space="preserve"> Portfolio stats, risk distribution, top 10 risky suppliers, sanctions count</w:t>
      </w:r>
    </w:p>
    <w:p>
      <w:pPr>
        <w:pStyle w:val="ListParagraph"/>
        <w:numPr>
          <w:ilvl w:val="0"/>
          <w:numId w:val="2"/>
        </w:numPr>
        <w:spacing w:after="80"/>
      </w:pPr>
      <w:r>
        <w:rPr>
          <w:rFonts w:ascii="Calibri" w:cs="Calibri" w:eastAsia="Calibri" w:hAnsi="Calibri"/>
          <w:b/>
          <w:bCs/>
          <w:color w:val="333333"/>
          <w:sz w:val="22"/>
          <w:szCs w:val="22"/>
        </w:rPr>
        <w:t xml:space="preserve">Output:</w:t>
      </w:r>
      <w:r>
        <w:rPr>
          <w:rFonts w:ascii="Calibri" w:cs="Calibri" w:eastAsia="Calibri" w:hAnsi="Calibri"/>
          <w:color w:val="333333"/>
          <w:sz w:val="22"/>
          <w:szCs w:val="22"/>
        </w:rPr>
        <w:t xml:space="preserve"> Executive Summary, Top 3 Priorities This Week, Risk Trends, Strategic Recommendation</w:t>
      </w:r>
    </w:p>
    <w:p>
      <w:pPr>
        <w:spacing w:after="60"/>
      </w:pPr>
    </w:p>
    <w:p>
      <w:pPr>
        <w:pStyle w:val="Heading2"/>
        <w:spacing w:after="160" w:before="280"/>
      </w:pPr>
      <w:r>
        <w:rPr>
          <w:rFonts w:ascii="Calibri" w:cs="Calibri" w:eastAsia="Calibri" w:hAnsi="Calibri"/>
          <w:b/>
          <w:bCs/>
          <w:color w:val="1F4E79"/>
          <w:sz w:val="26"/>
          <w:szCs w:val="26"/>
        </w:rPr>
        <w:t xml:space="preserve">5.4 Prompt Engineering</w:t>
      </w:r>
    </w:p>
    <w:p>
      <w:pPr>
        <w:spacing w:after="120"/>
        <w:jc w:val="left"/>
      </w:pPr>
      <w:r>
        <w:rPr>
          <w:rFonts w:ascii="Calibri" w:cs="Calibri" w:eastAsia="Calibri" w:hAnsi="Calibri"/>
          <w:b w:val="false"/>
          <w:bCs w:val="false"/>
          <w:i w:val="false"/>
          <w:iCs w:val="false"/>
          <w:color w:val="333333"/>
          <w:sz w:val="22"/>
          <w:szCs w:val="22"/>
        </w:rPr>
        <w:t xml:space="preserve">The prompts are carefully engineered to:</w:t>
      </w:r>
    </w:p>
    <w:p>
      <w:pPr>
        <w:pStyle w:val="ListParagraph"/>
        <w:numPr>
          <w:ilvl w:val="0"/>
          <w:numId w:val="2"/>
        </w:numPr>
        <w:spacing w:after="80"/>
      </w:pPr>
      <w:r>
        <w:rPr>
          <w:rFonts w:ascii="Calibri" w:cs="Calibri" w:eastAsia="Calibri" w:hAnsi="Calibri"/>
          <w:color w:val="333333"/>
          <w:sz w:val="22"/>
          <w:szCs w:val="22"/>
        </w:rPr>
        <w:t xml:space="preserve">Set the AI’s persona (senior supply chain risk analyst)</w:t>
      </w:r>
    </w:p>
    <w:p>
      <w:pPr>
        <w:pStyle w:val="ListParagraph"/>
        <w:numPr>
          <w:ilvl w:val="0"/>
          <w:numId w:val="2"/>
        </w:numPr>
        <w:spacing w:after="80"/>
      </w:pPr>
      <w:r>
        <w:rPr>
          <w:rFonts w:ascii="Calibri" w:cs="Calibri" w:eastAsia="Calibri" w:hAnsi="Calibri"/>
          <w:color w:val="333333"/>
          <w:sz w:val="22"/>
          <w:szCs w:val="22"/>
        </w:rPr>
        <w:t xml:space="preserve">Provide structured data so the AI has full context</w:t>
      </w:r>
    </w:p>
    <w:p>
      <w:pPr>
        <w:pStyle w:val="ListParagraph"/>
        <w:numPr>
          <w:ilvl w:val="0"/>
          <w:numId w:val="2"/>
        </w:numPr>
        <w:spacing w:after="80"/>
      </w:pPr>
      <w:r>
        <w:rPr>
          <w:rFonts w:ascii="Calibri" w:cs="Calibri" w:eastAsia="Calibri" w:hAnsi="Calibri"/>
          <w:color w:val="333333"/>
          <w:sz w:val="22"/>
          <w:szCs w:val="22"/>
        </w:rPr>
        <w:t xml:space="preserve">Request output in a consistent, parseable format</w:t>
      </w:r>
    </w:p>
    <w:p>
      <w:pPr>
        <w:pStyle w:val="ListParagraph"/>
        <w:numPr>
          <w:ilvl w:val="0"/>
          <w:numId w:val="2"/>
        </w:numPr>
        <w:spacing w:after="80"/>
      </w:pPr>
      <w:r>
        <w:rPr>
          <w:rFonts w:ascii="Calibri" w:cs="Calibri" w:eastAsia="Calibri" w:hAnsi="Calibri"/>
          <w:color w:val="333333"/>
          <w:sz w:val="22"/>
          <w:szCs w:val="22"/>
        </w:rPr>
        <w:t xml:space="preserve">Instruct specificity: reference actual data points, not generic advice</w:t>
      </w:r>
    </w:p>
    <w:p>
      <w:pPr>
        <w:pStyle w:val="ListParagraph"/>
        <w:numPr>
          <w:ilvl w:val="0"/>
          <w:numId w:val="2"/>
        </w:numPr>
        <w:spacing w:after="80"/>
      </w:pPr>
      <w:r>
        <w:rPr>
          <w:rFonts w:ascii="Calibri" w:cs="Calibri" w:eastAsia="Calibri" w:hAnsi="Calibri"/>
          <w:color w:val="333333"/>
          <w:sz w:val="22"/>
          <w:szCs w:val="22"/>
        </w:rPr>
        <w:t xml:space="preserve">Enforce professional procurement/compliance language</w:t>
      </w:r>
    </w:p>
    <w:p>
      <w:pPr>
        <w:spacing w:after="60"/>
      </w:pPr>
    </w:p>
    <w:p>
      <w:pPr>
        <w:pStyle w:val="Heading2"/>
        <w:spacing w:after="160" w:before="280"/>
      </w:pPr>
      <w:r>
        <w:rPr>
          <w:rFonts w:ascii="Calibri" w:cs="Calibri" w:eastAsia="Calibri" w:hAnsi="Calibri"/>
          <w:b/>
          <w:bCs/>
          <w:color w:val="1F4E79"/>
          <w:sz w:val="26"/>
          <w:szCs w:val="26"/>
        </w:rPr>
        <w:t xml:space="preserve">5.5 Security</w:t>
      </w:r>
    </w:p>
    <w:p>
      <w:pPr>
        <w:pStyle w:val="ListParagraph"/>
        <w:numPr>
          <w:ilvl w:val="0"/>
          <w:numId w:val="2"/>
        </w:numPr>
        <w:spacing w:after="80"/>
      </w:pPr>
      <w:r>
        <w:rPr>
          <w:rFonts w:ascii="Calibri" w:cs="Calibri" w:eastAsia="Calibri" w:hAnsi="Calibri"/>
          <w:color w:val="333333"/>
          <w:sz w:val="22"/>
          <w:szCs w:val="22"/>
        </w:rPr>
        <w:t xml:space="preserve">OpenAI API key is server-side only — never reaches the browser</w:t>
      </w:r>
    </w:p>
    <w:p>
      <w:pPr>
        <w:pStyle w:val="ListParagraph"/>
        <w:numPr>
          <w:ilvl w:val="0"/>
          <w:numId w:val="2"/>
        </w:numPr>
        <w:spacing w:after="80"/>
      </w:pPr>
      <w:r>
        <w:rPr>
          <w:rFonts w:ascii="Calibri" w:cs="Calibri" w:eastAsia="Calibri" w:hAnsi="Calibri"/>
          <w:color w:val="333333"/>
          <w:sz w:val="22"/>
          <w:szCs w:val="22"/>
        </w:rPr>
        <w:t xml:space="preserve">API routes act as secure proxy between frontend and AI</w:t>
      </w:r>
    </w:p>
    <w:p>
      <w:pPr>
        <w:pStyle w:val="ListParagraph"/>
        <w:numPr>
          <w:ilvl w:val="0"/>
          <w:numId w:val="2"/>
        </w:numPr>
        <w:spacing w:after="80"/>
      </w:pPr>
      <w:r>
        <w:rPr>
          <w:rFonts w:ascii="Calibri" w:cs="Calibri" w:eastAsia="Calibri" w:hAnsi="Calibri"/>
          <w:color w:val="333333"/>
          <w:sz w:val="22"/>
          <w:szCs w:val="22"/>
        </w:rPr>
        <w:t xml:space="preserve">Health check endpoint for integration status monitoring</w:t>
      </w:r>
    </w:p>
    <w:p>
      <w:r>
        <w:br w:type="page"/>
      </w:r>
    </w:p>
    <w:p>
      <w:pPr>
        <w:pStyle w:val="Heading1"/>
        <w:spacing w:after="200" w:before="360"/>
      </w:pPr>
      <w:r>
        <w:rPr>
          <w:rFonts w:ascii="Calibri" w:cs="Calibri" w:eastAsia="Calibri" w:hAnsi="Calibri"/>
          <w:b/>
          <w:bCs/>
          <w:color w:val="1F4E79"/>
          <w:sz w:val="32"/>
          <w:szCs w:val="32"/>
        </w:rPr>
        <w:t xml:space="preserve">6. Real-Time Monitoring</w:t>
      </w:r>
    </w:p>
    <w:p>
      <w:pPr>
        <w:spacing w:after="120"/>
        <w:jc w:val="left"/>
      </w:pPr>
      <w:r>
        <w:rPr>
          <w:rFonts w:ascii="Calibri" w:cs="Calibri" w:eastAsia="Calibri" w:hAnsi="Calibri"/>
          <w:b w:val="false"/>
          <w:bCs w:val="false"/>
          <w:i w:val="false"/>
          <w:iCs w:val="false"/>
          <w:color w:val="333333"/>
          <w:sz w:val="22"/>
          <w:szCs w:val="22"/>
        </w:rPr>
        <w:t xml:space="preserve">SupplyGuard uses Supabase’s PostgreSQL Realtime feature for instant notifications: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Event</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Notification</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Urgency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New supplier added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“New supplier added: [Name]”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High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score changed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score increased for [Name]: 45 → 82”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Critical if ≥70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 status changed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 status changed: clear → flagged”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High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Audit overdue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“Audit status updated: overdue”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High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 removed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“Supplier removed: [Name]”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High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New document uploaded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“New document uploaded”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Normal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 match detected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“New sanctions match — review required”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Critical</w:t>
            </w:r>
          </w:p>
        </w:tc>
      </w:tr>
    </w:tbl>
    <w:p>
      <w:pPr>
        <w:spacing w:after="120"/>
      </w:pPr>
    </w:p>
    <w:p>
      <w:pPr>
        <w:spacing w:after="120"/>
        <w:jc w:val="left"/>
      </w:pPr>
      <w:r>
        <w:rPr>
          <w:rFonts w:ascii="Calibri" w:cs="Calibri" w:eastAsia="Calibri" w:hAnsi="Calibri"/>
          <w:b/>
          <w:bCs/>
          <w:i w:val="false"/>
          <w:iCs w:val="false"/>
          <w:color w:val="333333"/>
          <w:sz w:val="22"/>
          <w:szCs w:val="22"/>
        </w:rPr>
        <w:t xml:space="preserve">Demo impact: Open the app on one screen and Supabase Table Editor on another. Make a change — the toast notification appears instantly in the app without refreshing the page.</w:t>
      </w:r>
    </w:p>
    <w:p>
      <w:r>
        <w:br w:type="page"/>
      </w:r>
    </w:p>
    <w:p>
      <w:pPr>
        <w:pStyle w:val="Heading1"/>
        <w:spacing w:after="200" w:before="360"/>
      </w:pPr>
      <w:r>
        <w:rPr>
          <w:rFonts w:ascii="Calibri" w:cs="Calibri" w:eastAsia="Calibri" w:hAnsi="Calibri"/>
          <w:b/>
          <w:bCs/>
          <w:color w:val="1F4E79"/>
          <w:sz w:val="32"/>
          <w:szCs w:val="32"/>
        </w:rPr>
        <w:t xml:space="preserve">7.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Problem</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How SupplyGuard Solves It</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 risk visibility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Single dashboard with KPIs and charts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100% portfolio visibility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Inconsistent scoring</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Automated 8-factor algorithm</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Objective, repeatable scores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Slow analysis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 generates assessments in 10 seconds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240x faster than manual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Reactive approach</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Real-time notifications on every change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Zero-delay awareness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Document chaos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Centralized tracker for 9 doc types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 missed expirations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Sanctions risk</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Automated screening with workflow</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Reduced legal exposure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No portfolio view</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 executive briefing on demand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Strategic decision support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Expensive tools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Open-source + affordable APIs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90%+ cost reduction</w:t>
            </w:r>
          </w:p>
        </w:tc>
      </w:tr>
    </w:tbl>
    <w:p>
      <w:r>
        <w:br w:type="page"/>
      </w:r>
    </w:p>
    <w:p>
      <w:pPr>
        <w:pStyle w:val="Heading1"/>
        <w:spacing w:after="200" w:before="360"/>
      </w:pPr>
      <w:r>
        <w:rPr>
          <w:rFonts w:ascii="Calibri" w:cs="Calibri" w:eastAsia="Calibri" w:hAnsi="Calibri"/>
          <w:b/>
          <w:bCs/>
          <w:color w:val="1F4E79"/>
          <w:sz w:val="32"/>
          <w:szCs w:val="32"/>
        </w:rPr>
        <w:t xml:space="preserve">8. What Makes This Different in the AI Era</w:t>
      </w:r>
    </w:p>
    <w:p>
      <w:pPr>
        <w:pStyle w:val="Heading2"/>
        <w:spacing w:after="160" w:before="280"/>
      </w:pPr>
      <w:r>
        <w:rPr>
          <w:rFonts w:ascii="Calibri" w:cs="Calibri" w:eastAsia="Calibri" w:hAnsi="Calibri"/>
          <w:b/>
          <w:bCs/>
          <w:color w:val="1F4E79"/>
          <w:sz w:val="26"/>
          <w:szCs w:val="26"/>
        </w:rPr>
        <w:t xml:space="preserve">8.1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Before AI</w:t>
            </w:r>
          </w:p>
        </w:tc>
        <w:tc>
          <w:tcPr>
            <w:tcW w:type="dxa" w:w="35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With SupplyGuard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Assessment speed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4-6 hours per supplier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10 seconds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Consistency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Varies by analyst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Algorithmic + AI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Portfolio view</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Days of compilation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Instant executive briefing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Monitoring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Periodic/quarterly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Real-time, continuous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Reports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Static PDFs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Dynamic, interactive dashboards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Cost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$100K+/year enterprise tools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Open-source + API costs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Onboarding</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Months of implementation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Google SSO, deploy in minutes</w:t>
            </w:r>
          </w:p>
        </w:tc>
      </w:tr>
    </w:tbl>
    <w:p>
      <w:pPr>
        <w:spacing w:after="120"/>
      </w:pPr>
    </w:p>
    <w:p>
      <w:pPr>
        <w:pStyle w:val="Heading2"/>
        <w:spacing w:after="160" w:before="280"/>
      </w:pPr>
      <w:r>
        <w:rPr>
          <w:rFonts w:ascii="Calibri" w:cs="Calibri" w:eastAsia="Calibri" w:hAnsi="Calibri"/>
          <w:b/>
          <w:bCs/>
          <w:color w:val="1F4E79"/>
          <w:sz w:val="26"/>
          <w:szCs w:val="26"/>
        </w:rPr>
        <w:t xml:space="preserve">8.2 The Competitive Edge</w:t>
      </w:r>
    </w:p>
    <w:p>
      <w:pPr>
        <w:pStyle w:val="ListParagraph"/>
        <w:numPr>
          <w:ilvl w:val="0"/>
          <w:numId w:val="2"/>
        </w:numPr>
        <w:spacing w:after="80"/>
      </w:pPr>
      <w:r>
        <w:rPr>
          <w:rFonts w:ascii="Calibri" w:cs="Calibri" w:eastAsia="Calibri" w:hAnsi="Calibri"/>
          <w:b/>
          <w:bCs/>
          <w:color w:val="333333"/>
          <w:sz w:val="22"/>
          <w:szCs w:val="22"/>
        </w:rPr>
        <w:t xml:space="preserve">Intelligence, not dashboards:</w:t>
      </w:r>
      <w:r>
        <w:rPr>
          <w:rFonts w:ascii="Calibri" w:cs="Calibri" w:eastAsia="Calibri" w:hAnsi="Calibri"/>
          <w:color w:val="333333"/>
          <w:sz w:val="22"/>
          <w:szCs w:val="22"/>
        </w:rPr>
        <w:t xml:space="preserve"> SupplyGuard interprets data using GenAI, not just displays it</w:t>
      </w:r>
    </w:p>
    <w:p>
      <w:pPr>
        <w:pStyle w:val="ListParagraph"/>
        <w:numPr>
          <w:ilvl w:val="0"/>
          <w:numId w:val="2"/>
        </w:numPr>
        <w:spacing w:after="80"/>
      </w:pPr>
      <w:r>
        <w:rPr>
          <w:rFonts w:ascii="Calibri" w:cs="Calibri" w:eastAsia="Calibri" w:hAnsi="Calibri"/>
          <w:b/>
          <w:bCs/>
          <w:color w:val="333333"/>
          <w:sz w:val="22"/>
          <w:szCs w:val="22"/>
        </w:rPr>
        <w:t xml:space="preserve">Contextual analysis:</w:t>
      </w:r>
      <w:r>
        <w:rPr>
          <w:rFonts w:ascii="Calibri" w:cs="Calibri" w:eastAsia="Calibri" w:hAnsi="Calibri"/>
          <w:color w:val="333333"/>
          <w:sz w:val="22"/>
          <w:szCs w:val="22"/>
        </w:rPr>
        <w:t xml:space="preserve"> AI references actual supplier data points, not generic templates</w:t>
      </w:r>
    </w:p>
    <w:p>
      <w:pPr>
        <w:pStyle w:val="ListParagraph"/>
        <w:numPr>
          <w:ilvl w:val="0"/>
          <w:numId w:val="2"/>
        </w:numPr>
        <w:spacing w:after="80"/>
      </w:pPr>
      <w:r>
        <w:rPr>
          <w:rFonts w:ascii="Calibri" w:cs="Calibri" w:eastAsia="Calibri" w:hAnsi="Calibri"/>
          <w:b/>
          <w:bCs/>
          <w:color w:val="333333"/>
          <w:sz w:val="22"/>
          <w:szCs w:val="22"/>
        </w:rPr>
        <w:t xml:space="preserve">Democratized expertise:</w:t>
      </w:r>
      <w:r>
        <w:rPr>
          <w:rFonts w:ascii="Calibri" w:cs="Calibri" w:eastAsia="Calibri" w:hAnsi="Calibri"/>
          <w:color w:val="333333"/>
          <w:sz w:val="22"/>
          <w:szCs w:val="22"/>
        </w:rPr>
        <w:t xml:space="preserve"> Junior analysts get senior-level insights</w:t>
      </w:r>
    </w:p>
    <w:p>
      <w:pPr>
        <w:pStyle w:val="ListParagraph"/>
        <w:numPr>
          <w:ilvl w:val="0"/>
          <w:numId w:val="2"/>
        </w:numPr>
        <w:spacing w:after="80"/>
      </w:pPr>
      <w:r>
        <w:rPr>
          <w:rFonts w:ascii="Calibri" w:cs="Calibri" w:eastAsia="Calibri" w:hAnsi="Calibri"/>
          <w:b/>
          <w:bCs/>
          <w:color w:val="333333"/>
          <w:sz w:val="22"/>
          <w:szCs w:val="22"/>
        </w:rPr>
        <w:t xml:space="preserve">Speed:</w:t>
      </w:r>
      <w:r>
        <w:rPr>
          <w:rFonts w:ascii="Calibri" w:cs="Calibri" w:eastAsia="Calibri" w:hAnsi="Calibri"/>
          <w:color w:val="333333"/>
          <w:sz w:val="22"/>
          <w:szCs w:val="22"/>
        </w:rPr>
        <w:t xml:space="preserve"> From hours to seconds</w:t>
      </w:r>
    </w:p>
    <w:p>
      <w:pPr>
        <w:pStyle w:val="ListParagraph"/>
        <w:numPr>
          <w:ilvl w:val="0"/>
          <w:numId w:val="2"/>
        </w:numPr>
        <w:spacing w:after="80"/>
      </w:pPr>
      <w:r>
        <w:rPr>
          <w:rFonts w:ascii="Calibri" w:cs="Calibri" w:eastAsia="Calibri" w:hAnsi="Calibri"/>
          <w:b/>
          <w:bCs/>
          <w:color w:val="333333"/>
          <w:sz w:val="22"/>
          <w:szCs w:val="22"/>
        </w:rPr>
        <w:t xml:space="preserve">Cost:</w:t>
      </w:r>
      <w:r>
        <w:rPr>
          <w:rFonts w:ascii="Calibri" w:cs="Calibri" w:eastAsia="Calibri" w:hAnsi="Calibri"/>
          <w:color w:val="333333"/>
          <w:sz w:val="22"/>
          <w:szCs w:val="22"/>
        </w:rPr>
        <w:t xml:space="preserve"> Open-source stack, no licensing fees</w:t>
      </w:r>
    </w:p>
    <w:p>
      <w:pPr>
        <w:pStyle w:val="ListParagraph"/>
        <w:numPr>
          <w:ilvl w:val="0"/>
          <w:numId w:val="2"/>
        </w:numPr>
        <w:spacing w:after="80"/>
      </w:pPr>
      <w:r>
        <w:rPr>
          <w:rFonts w:ascii="Calibri" w:cs="Calibri" w:eastAsia="Calibri" w:hAnsi="Calibri"/>
          <w:b/>
          <w:bCs/>
          <w:color w:val="333333"/>
          <w:sz w:val="22"/>
          <w:szCs w:val="22"/>
        </w:rPr>
        <w:t xml:space="preserve">Modern UX:</w:t>
      </w:r>
      <w:r>
        <w:rPr>
          <w:rFonts w:ascii="Calibri" w:cs="Calibri" w:eastAsia="Calibri" w:hAnsi="Calibri"/>
          <w:color w:val="333333"/>
          <w:sz w:val="22"/>
          <w:szCs w:val="22"/>
        </w:rPr>
        <w:t xml:space="preserve"> Feels like modern SaaS, not legacy enterprise</w:t>
      </w:r>
    </w:p>
    <w:p>
      <w:pPr>
        <w:spacing w:after="60"/>
      </w:pPr>
    </w:p>
    <w:p>
      <w:pPr>
        <w:pStyle w:val="Heading2"/>
        <w:spacing w:after="160" w:before="280"/>
      </w:pPr>
      <w:r>
        <w:rPr>
          <w:rFonts w:ascii="Calibri" w:cs="Calibri" w:eastAsia="Calibri" w:hAnsi="Calibri"/>
          <w:b/>
          <w:bCs/>
          <w:color w:val="1F4E79"/>
          <w:sz w:val="26"/>
          <w:szCs w:val="26"/>
        </w:rPr>
        <w:t xml:space="preserve">8.3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Enhancement</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AI Technology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Predictive Risk Scoring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Predict which suppliers will become high-risk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Time-series ML models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Document Processing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Extract and validate info from uploaded docs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OCR + NLP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Natural Language Search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“Show critical suppliers in Asia with expiring contracts”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LLM-powered query parsing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Anomaly Detection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Flag unusual changes in supplier behavior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Statistical anomaly models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Auto Compliance Reports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Generate board-ready reports with AI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Document generation LLM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Blockchain Audit Trail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Immutable compliance records shared across customers, banks, suppliers, and agencies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Distributed ledger (experimental)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Real-Time Traceability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Track materials in transit (IoT integration)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Sensor data + ML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ERP Integration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Connect to SAP/Oracle for order impact analysis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API connectors</w:t>
            </w:r>
          </w:p>
        </w:tc>
      </w:tr>
    </w:tbl>
    <w:p>
      <w:r>
        <w:br w:type="page"/>
      </w:r>
    </w:p>
    <w:p>
      <w:pPr>
        <w:pStyle w:val="Heading2"/>
        <w:spacing w:after="160" w:before="280"/>
      </w:pPr>
      <w:r>
        <w:rPr>
          <w:rFonts w:ascii="Calibri" w:cs="Calibri" w:eastAsia="Calibri" w:hAnsi="Calibri"/>
          <w:b/>
          <w:bCs/>
          <w:color w:val="1F4E79"/>
          <w:sz w:val="26"/>
          <w:szCs w:val="26"/>
        </w:rPr>
        <w:t xml:space="preserve">8.4 Emerging Technologies in SCM Compliance</w:t>
      </w:r>
    </w:p>
    <w:p>
      <w:pPr>
        <w:spacing w:after="120"/>
        <w:jc w:val="left"/>
      </w:pPr>
      <w:r>
        <w:rPr>
          <w:rFonts w:ascii="Calibri" w:cs="Calibri" w:eastAsia="Calibri" w:hAnsi="Calibri"/>
          <w:b w:val="false"/>
          <w:bCs w:val="false"/>
          <w:i w:val="false"/>
          <w:iCs w:val="false"/>
          <w:color w:val="333333"/>
          <w:sz w:val="22"/>
          <w:szCs w:val="22"/>
        </w:rPr>
        <w:t xml:space="preserve">Beyond AI, several emerging technologies are reshaping supply chain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Application in Compliance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Generative AI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Active in SupplyGuard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Risk assessments, portfolio insights, natural language analysis of supplier data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Blockchain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Experimental (industry-wide)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Immutable audit trails where customers, banks, suppliers, and agencies collaborate on shared compliance records. Enables trustless verification across multi-tier supply chains.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IoT / Real-Time Traceability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Future roadmap</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GPS/sensor tracking of materials from source to destination. Monitoring disruptions from natural calamities, war, and trade barriers.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Computer Vision / OCR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Future roadmap</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Automated extraction and validation of compliance documents (certificates, declarations, audit reports)</w:t>
            </w:r>
          </w:p>
        </w:tc>
      </w:tr>
    </w:tbl>
    <w:p>
      <w:pPr>
        <w:spacing w:after="60"/>
      </w:pPr>
    </w:p>
    <w:p>
      <w:pPr>
        <w:spacing w:after="120"/>
        <w:jc w:val="left"/>
      </w:pPr>
      <w:r>
        <w:rPr>
          <w:rFonts w:ascii="Calibri" w:cs="Calibri" w:eastAsia="Calibri" w:hAnsi="Calibri"/>
          <w:b w:val="false"/>
          <w:bCs w:val="false"/>
          <w:i/>
          <w:iCs/>
          <w:color w:val="333333"/>
          <w:sz w:val="22"/>
          <w:szCs w:val="22"/>
        </w:rPr>
        <w:t xml:space="preserve">SupplyGuard is positioned to integrate these technologies as they mature — the modular architecture and API-first design make it straightforward to add new data sources and intelligence layers.</w:t>
      </w:r>
    </w:p>
    <w:p>
      <w:r>
        <w:br w:type="page"/>
      </w:r>
    </w:p>
    <w:p>
      <w:pPr>
        <w:pStyle w:val="Heading1"/>
        <w:spacing w:after="200" w:before="360"/>
      </w:pPr>
      <w:r>
        <w:rPr>
          <w:rFonts w:ascii="Calibri" w:cs="Calibri" w:eastAsia="Calibri" w:hAnsi="Calibri"/>
          <w:b/>
          <w:bCs/>
          <w:color w:val="1F4E79"/>
          <w:sz w:val="32"/>
          <w:szCs w:val="32"/>
        </w:rPr>
        <w:t xml:space="preserve">9. Technical Highlights</w:t>
      </w:r>
    </w:p>
    <w:p>
      <w:pPr>
        <w:pStyle w:val="ListParagraph"/>
        <w:numPr>
          <w:ilvl w:val="0"/>
          <w:numId w:val="2"/>
        </w:numPr>
        <w:spacing w:after="80"/>
      </w:pPr>
      <w:r>
        <w:rPr>
          <w:rFonts w:ascii="Calibri" w:cs="Calibri" w:eastAsia="Calibri" w:hAnsi="Calibri"/>
          <w:color w:val="333333"/>
          <w:sz w:val="22"/>
          <w:szCs w:val="22"/>
        </w:rPr>
        <w:t xml:space="preserve">TypeScript strict mode with Database generics for Supabase</w:t>
      </w:r>
    </w:p>
    <w:p>
      <w:pPr>
        <w:pStyle w:val="ListParagraph"/>
        <w:numPr>
          <w:ilvl w:val="0"/>
          <w:numId w:val="2"/>
        </w:numPr>
        <w:spacing w:after="80"/>
      </w:pPr>
      <w:r>
        <w:rPr>
          <w:rFonts w:ascii="Calibri" w:cs="Calibri" w:eastAsia="Calibri" w:hAnsi="Calibri"/>
          <w:color w:val="333333"/>
          <w:sz w:val="22"/>
          <w:szCs w:val="22"/>
        </w:rPr>
        <w:t xml:space="preserve">Server-side API routes — API keys never reach the client</w:t>
      </w:r>
    </w:p>
    <w:p>
      <w:pPr>
        <w:pStyle w:val="ListParagraph"/>
        <w:numPr>
          <w:ilvl w:val="0"/>
          <w:numId w:val="2"/>
        </w:numPr>
        <w:spacing w:after="80"/>
      </w:pPr>
      <w:r>
        <w:rPr>
          <w:rFonts w:ascii="Calibri" w:cs="Calibri" w:eastAsia="Calibri" w:hAnsi="Calibri"/>
          <w:color w:val="333333"/>
          <w:sz w:val="22"/>
          <w:szCs w:val="22"/>
        </w:rPr>
        <w:t xml:space="preserve">Graceful degradation: Supabase → demo data fallback</w:t>
      </w:r>
    </w:p>
    <w:p>
      <w:pPr>
        <w:pStyle w:val="ListParagraph"/>
        <w:numPr>
          <w:ilvl w:val="0"/>
          <w:numId w:val="2"/>
        </w:numPr>
        <w:spacing w:after="80"/>
      </w:pPr>
      <w:r>
        <w:rPr>
          <w:rFonts w:ascii="Calibri" w:cs="Calibri" w:eastAsia="Calibri" w:hAnsi="Calibri"/>
          <w:color w:val="333333"/>
          <w:sz w:val="22"/>
          <w:szCs w:val="22"/>
        </w:rPr>
        <w:t xml:space="preserve">Seeded random number generator for deterministic demo data</w:t>
      </w:r>
    </w:p>
    <w:p>
      <w:pPr>
        <w:pStyle w:val="ListParagraph"/>
        <w:numPr>
          <w:ilvl w:val="0"/>
          <w:numId w:val="2"/>
        </w:numPr>
        <w:spacing w:after="80"/>
      </w:pPr>
      <w:r>
        <w:rPr>
          <w:rFonts w:ascii="Calibri" w:cs="Calibri" w:eastAsia="Calibri" w:hAnsi="Calibri"/>
          <w:color w:val="333333"/>
          <w:sz w:val="22"/>
          <w:szCs w:val="22"/>
        </w:rPr>
        <w:t xml:space="preserve">Row Level Security (RLS) policies on all tables</w:t>
      </w:r>
    </w:p>
    <w:p>
      <w:pPr>
        <w:pStyle w:val="ListParagraph"/>
        <w:numPr>
          <w:ilvl w:val="0"/>
          <w:numId w:val="2"/>
        </w:numPr>
        <w:spacing w:after="80"/>
      </w:pPr>
      <w:r>
        <w:rPr>
          <w:rFonts w:ascii="Calibri" w:cs="Calibri" w:eastAsia="Calibri" w:hAnsi="Calibri"/>
          <w:color w:val="333333"/>
          <w:sz w:val="22"/>
          <w:szCs w:val="22"/>
        </w:rPr>
        <w:t xml:space="preserve">Real-time subscriptions via PostgreSQL logical replication</w:t>
      </w:r>
    </w:p>
    <w:p>
      <w:pPr>
        <w:pStyle w:val="ListParagraph"/>
        <w:numPr>
          <w:ilvl w:val="0"/>
          <w:numId w:val="2"/>
        </w:numPr>
        <w:spacing w:after="80"/>
      </w:pPr>
      <w:r>
        <w:rPr>
          <w:rFonts w:ascii="Calibri" w:cs="Calibri" w:eastAsia="Calibri" w:hAnsi="Calibri"/>
          <w:color w:val="333333"/>
          <w:sz w:val="22"/>
          <w:szCs w:val="22"/>
        </w:rPr>
        <w:t xml:space="preserve">OAuth 2.0 with PKCE for secure Google authentication</w:t>
      </w:r>
    </w:p>
    <w:p>
      <w:pPr>
        <w:pStyle w:val="ListParagraph"/>
        <w:numPr>
          <w:ilvl w:val="0"/>
          <w:numId w:val="2"/>
        </w:numPr>
        <w:spacing w:after="80"/>
      </w:pPr>
      <w:r>
        <w:rPr>
          <w:rFonts w:ascii="Calibri" w:cs="Calibri" w:eastAsia="Calibri" w:hAnsi="Calibri"/>
          <w:color w:val="333333"/>
          <w:sz w:val="22"/>
          <w:szCs w:val="22"/>
        </w:rPr>
        <w:t xml:space="preserve">Responsive design with Tailwind CSS</w:t>
      </w:r>
    </w:p>
    <w:p>
      <w:pPr>
        <w:pStyle w:val="ListParagraph"/>
        <w:numPr>
          <w:ilvl w:val="0"/>
          <w:numId w:val="2"/>
        </w:numPr>
        <w:spacing w:after="80"/>
      </w:pPr>
      <w:r>
        <w:rPr>
          <w:rFonts w:ascii="Calibri" w:cs="Calibri" w:eastAsia="Calibri" w:hAnsi="Calibri"/>
          <w:color w:val="333333"/>
          <w:sz w:val="22"/>
          <w:szCs w:val="22"/>
        </w:rPr>
        <w:t xml:space="preserve">Accessible component primitives via shadcn/ui</w:t>
      </w:r>
    </w:p>
    <w:p>
      <w:pPr>
        <w:pStyle w:val="ListParagraph"/>
        <w:numPr>
          <w:ilvl w:val="0"/>
          <w:numId w:val="2"/>
        </w:numPr>
        <w:spacing w:after="80"/>
      </w:pPr>
      <w:r>
        <w:rPr>
          <w:rFonts w:ascii="Calibri" w:cs="Calibri" w:eastAsia="Calibri" w:hAnsi="Calibri"/>
          <w:color w:val="333333"/>
          <w:sz w:val="22"/>
          <w:szCs w:val="22"/>
        </w:rPr>
        <w:t xml:space="preserve">Edge deployment on Vercel with auto CI/CD</w:t>
      </w:r>
    </w:p>
    <w:p>
      <w:r>
        <w:br w:type="page"/>
      </w:r>
    </w:p>
    <w:p>
      <w:pPr>
        <w:pStyle w:val="Heading1"/>
        <w:spacing w:after="200" w:before="360"/>
      </w:pPr>
      <w:r>
        <w:rPr>
          <w:rFonts w:ascii="Calibri" w:cs="Calibri" w:eastAsia="Calibri" w:hAnsi="Calibri"/>
          <w:b/>
          <w:bCs/>
          <w:color w:val="1F4E79"/>
          <w:sz w:val="32"/>
          <w:szCs w:val="32"/>
        </w:rPr>
        <w:t xml:space="preserve">10. Conclusion</w:t>
      </w:r>
    </w:p>
    <w:p>
      <w:pPr>
        <w:spacing w:after="120"/>
        <w:jc w:val="left"/>
      </w:pPr>
      <w:r>
        <w:rPr>
          <w:rFonts w:ascii="Calibri" w:cs="Calibri" w:eastAsia="Calibri" w:hAnsi="Calibri"/>
          <w:b w:val="false"/>
          <w:bCs w:val="false"/>
          <w:i w:val="false"/>
          <w:iCs w:val="false"/>
          <w:color w:val="333333"/>
          <w:sz w:val="22"/>
          <w:szCs w:val="22"/>
        </w:rPr>
        <w:t xml:space="preserve">SupplyGuard demonstrates how modern web technologies combined with Generative AI can transform supplier risk management from a reactive, manual process into a proactive, intelligent system.</w:t>
      </w:r>
    </w:p>
    <w:p>
      <w:pPr>
        <w:spacing w:after="60"/>
      </w:pPr>
    </w:p>
    <w:p>
      <w:pPr>
        <w:spacing w:after="120"/>
        <w:jc w:val="left"/>
      </w:pPr>
      <w:r>
        <w:rPr>
          <w:rFonts w:ascii="Calibri" w:cs="Calibri" w:eastAsia="Calibri" w:hAnsi="Calibri"/>
          <w:b w:val="false"/>
          <w:bCs w:val="false"/>
          <w:i w:val="false"/>
          <w:iCs w:val="false"/>
          <w:color w:val="333333"/>
          <w:sz w:val="22"/>
          <w:szCs w:val="22"/>
        </w:rPr>
        <w:t xml:space="preserve">By addressing the compliance and risk assessment layers of supply chain management, the platform enables procurement teams to:</w:t>
      </w:r>
    </w:p>
    <w:p>
      <w:pPr>
        <w:pStyle w:val="ListParagraph"/>
        <w:numPr>
          <w:ilvl w:val="0"/>
          <w:numId w:val="2"/>
        </w:numPr>
        <w:spacing w:after="80"/>
      </w:pPr>
      <w:r>
        <w:rPr>
          <w:rFonts w:ascii="Calibri" w:cs="Calibri" w:eastAsia="Calibri" w:hAnsi="Calibri"/>
          <w:color w:val="333333"/>
          <w:sz w:val="22"/>
          <w:szCs w:val="22"/>
        </w:rPr>
        <w:t xml:space="preserve">Reduce risk assessment time from hours to seconds</w:t>
      </w:r>
    </w:p>
    <w:p>
      <w:pPr>
        <w:pStyle w:val="ListParagraph"/>
        <w:numPr>
          <w:ilvl w:val="0"/>
          <w:numId w:val="2"/>
        </w:numPr>
        <w:spacing w:after="80"/>
      </w:pPr>
      <w:r>
        <w:rPr>
          <w:rFonts w:ascii="Calibri" w:cs="Calibri" w:eastAsia="Calibri" w:hAnsi="Calibri"/>
          <w:color w:val="333333"/>
          <w:sz w:val="22"/>
          <w:szCs w:val="22"/>
        </w:rPr>
        <w:t xml:space="preserve">Catch compliance issues before they become crises</w:t>
      </w:r>
    </w:p>
    <w:p>
      <w:pPr>
        <w:pStyle w:val="ListParagraph"/>
        <w:numPr>
          <w:ilvl w:val="0"/>
          <w:numId w:val="2"/>
        </w:numPr>
        <w:spacing w:after="80"/>
      </w:pPr>
      <w:r>
        <w:rPr>
          <w:rFonts w:ascii="Calibri" w:cs="Calibri" w:eastAsia="Calibri" w:hAnsi="Calibri"/>
          <w:color w:val="333333"/>
          <w:sz w:val="22"/>
          <w:szCs w:val="22"/>
        </w:rPr>
        <w:t xml:space="preserve">Make data-driven decisions backed by AI analysis</w:t>
      </w:r>
    </w:p>
    <w:p>
      <w:pPr>
        <w:pStyle w:val="ListParagraph"/>
        <w:numPr>
          <w:ilvl w:val="0"/>
          <w:numId w:val="2"/>
        </w:numPr>
        <w:spacing w:after="80"/>
      </w:pPr>
      <w:r>
        <w:rPr>
          <w:rFonts w:ascii="Calibri" w:cs="Calibri" w:eastAsia="Calibri" w:hAnsi="Calibri"/>
          <w:color w:val="333333"/>
          <w:sz w:val="22"/>
          <w:szCs w:val="22"/>
        </w:rPr>
        <w:t xml:space="preserve">Monitor their entire supplier portfolio in real time</w:t>
      </w:r>
    </w:p>
    <w:p>
      <w:pPr>
        <w:spacing w:after="60"/>
      </w:pPr>
    </w:p>
    <w:p>
      <w:pPr>
        <w:spacing w:after="120"/>
        <w:jc w:val="left"/>
      </w:pPr>
      <w:r>
        <w:rPr>
          <w:rFonts w:ascii="Calibri" w:cs="Calibri" w:eastAsia="Calibri" w:hAnsi="Calibri"/>
          <w:b w:val="false"/>
          <w:bCs w:val="false"/>
          <w:i w:val="false"/>
          <w:iCs w:val="false"/>
          <w:color w:val="333333"/>
          <w:sz w:val="22"/>
          <w:szCs w:val="22"/>
        </w:rPr>
        <w:t xml:space="preserve">The project showcases full-stack engineering (Next.js, TypeScript, PostgreSQL, OAuth), AI integration (prompt engineering, API architecture), and product thinking (solving a real business problem with a polished interface).</w:t>
      </w:r>
    </w:p>
    <w:p>
      <w:pPr>
        <w:spacing w:after="60"/>
      </w:pPr>
    </w:p>
    <w:p>
      <w:pPr>
        <w:spacing w:after="120"/>
        <w:jc w:val="left"/>
      </w:pPr>
      <w:r>
        <w:rPr>
          <w:rFonts w:ascii="Calibri" w:cs="Calibri" w:eastAsia="Calibri" w:hAnsi="Calibri"/>
          <w:b/>
          <w:bCs/>
          <w:i/>
          <w:iCs/>
          <w:color w:val="333333"/>
          <w:sz w:val="22"/>
          <w:szCs w:val="22"/>
        </w:rPr>
        <w:t xml:space="preserve">In the era of AI, the organizations that win are not those with the most data — but those that can turn data into actionable intelligence fastest. SupplyGuard is built for that future.</w:t>
      </w:r>
    </w:p>
    <w:p>
      <w:r>
        <w:br w:type="page"/>
      </w:r>
    </w:p>
    <w:p>
      <w:pPr>
        <w:pStyle w:val="Heading1"/>
        <w:spacing w:after="200" w:before="360"/>
      </w:pPr>
      <w:r>
        <w:rPr>
          <w:rFonts w:ascii="Calibri" w:cs="Calibri" w:eastAsia="Calibri" w:hAnsi="Calibri"/>
          <w:b/>
          <w:bCs/>
          <w:color w:val="1F4E79"/>
          <w:sz w:val="32"/>
          <w:szCs w:val="32"/>
        </w:rPr>
        <w:t xml:space="preserve">11. Links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Live Application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https://supply-chain-tracker-azure.vercel.app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GitHub Repository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https://github.com/saxenasameer98-1858s/supply-chain-tracker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Tech Stack</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Next.js 16, TypeScript, Tailwind CSS, Supabase, OpenAI API, Vercel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AI Model</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OpenAI GPT-4o-mini</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Industry Reference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TrusTrace (trustrace.com) — supply chain traceability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Industry Reference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Sourcemap (sourcemap.com) — supply chain transparency &amp; due diligence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Author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333333"/>
                <w:sz w:val="20"/>
                <w:szCs w:val="20"/>
              </w:rPr>
              <w:t xml:space="preserve">Sameer Saxena, University of Maryland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SupplyGuard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2026-04-06T03:06:06.378Z</dcterms:created>
  <dcterms:modified xsi:type="dcterms:W3CDTF">2026-04-06T03:06:06.384Z</dcterms:modified>
</cp:coreProperties>
</file>

<file path=docProps/custom.xml><?xml version="1.0" encoding="utf-8"?>
<Properties xmlns="http://schemas.openxmlformats.org/officeDocument/2006/custom-properties" xmlns:vt="http://schemas.openxmlformats.org/officeDocument/2006/docPropsVTypes"/>
</file>