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6BCDBB4" w14:textId="77777777" w:rsidR="00F2396B" w:rsidRDefault="00E90219">
      <w:pPr>
        <w:pStyle w:val="Title"/>
        <w:spacing w:after="240"/>
      </w:pPr>
      <w:r>
        <w:t>Financial Analysis for Fashion Industry</w:t>
      </w:r>
    </w:p>
    <w:p w14:paraId="464590AF" w14:textId="60CA2484" w:rsidR="00F2396B" w:rsidRDefault="00513D82">
      <w:pPr>
        <w:jc w:val="center"/>
        <w:rPr>
          <w:sz w:val="20"/>
          <w:szCs w:val="20"/>
        </w:rPr>
      </w:pPr>
      <w:r>
        <w:rPr>
          <w:sz w:val="20"/>
          <w:szCs w:val="20"/>
        </w:rPr>
        <w:t xml:space="preserve">Kavi </w:t>
      </w:r>
      <w:proofErr w:type="spellStart"/>
      <w:r>
        <w:rPr>
          <w:sz w:val="20"/>
          <w:szCs w:val="20"/>
        </w:rPr>
        <w:t>Smita</w:t>
      </w:r>
      <w:proofErr w:type="spellEnd"/>
      <w:r>
        <w:rPr>
          <w:sz w:val="20"/>
          <w:szCs w:val="20"/>
        </w:rPr>
        <w:t xml:space="preserve"> </w:t>
      </w:r>
      <w:proofErr w:type="spellStart"/>
      <w:r w:rsidR="001A703C">
        <w:rPr>
          <w:sz w:val="20"/>
          <w:szCs w:val="20"/>
        </w:rPr>
        <w:t>Ramya</w:t>
      </w:r>
      <w:proofErr w:type="spellEnd"/>
      <w:r w:rsidR="001A703C">
        <w:rPr>
          <w:sz w:val="20"/>
          <w:szCs w:val="20"/>
        </w:rPr>
        <w:t xml:space="preserve">, Johal </w:t>
      </w:r>
      <w:proofErr w:type="spellStart"/>
      <w:r w:rsidR="001A703C">
        <w:rPr>
          <w:sz w:val="20"/>
          <w:szCs w:val="20"/>
        </w:rPr>
        <w:t>Navleen</w:t>
      </w:r>
      <w:proofErr w:type="spellEnd"/>
      <w:r w:rsidR="001A703C">
        <w:rPr>
          <w:sz w:val="20"/>
          <w:szCs w:val="20"/>
        </w:rPr>
        <w:t xml:space="preserve">, Gupta Shreya, </w:t>
      </w:r>
      <w:proofErr w:type="spellStart"/>
      <w:r w:rsidR="004F3C79">
        <w:rPr>
          <w:sz w:val="20"/>
          <w:szCs w:val="20"/>
        </w:rPr>
        <w:t>Anvar</w:t>
      </w:r>
      <w:proofErr w:type="spellEnd"/>
      <w:r w:rsidR="004F3C79">
        <w:rPr>
          <w:sz w:val="20"/>
          <w:szCs w:val="20"/>
        </w:rPr>
        <w:t xml:space="preserve"> </w:t>
      </w:r>
      <w:r w:rsidR="001A703C">
        <w:rPr>
          <w:sz w:val="20"/>
          <w:szCs w:val="20"/>
        </w:rPr>
        <w:t xml:space="preserve">Maryam, </w:t>
      </w:r>
      <w:r w:rsidR="00EB2A7F">
        <w:rPr>
          <w:sz w:val="20"/>
          <w:szCs w:val="20"/>
        </w:rPr>
        <w:t xml:space="preserve">Bhargava </w:t>
      </w:r>
      <w:r w:rsidR="001A703C">
        <w:rPr>
          <w:sz w:val="20"/>
          <w:szCs w:val="20"/>
        </w:rPr>
        <w:t>Samarth</w:t>
      </w:r>
    </w:p>
    <w:p w14:paraId="75CC72FF" w14:textId="77777777" w:rsidR="00F2396B" w:rsidRDefault="00702746">
      <w:pPr>
        <w:jc w:val="center"/>
        <w:rPr>
          <w:sz w:val="20"/>
          <w:szCs w:val="20"/>
        </w:rPr>
      </w:pPr>
      <w:r>
        <w:rPr>
          <w:sz w:val="20"/>
          <w:szCs w:val="20"/>
        </w:rPr>
        <w:t>ISE 200, San José State University, San José, CA</w:t>
      </w:r>
    </w:p>
    <w:p w14:paraId="3F649048" w14:textId="77777777" w:rsidR="00F2396B" w:rsidRDefault="00EA52EC" w:rsidP="004E1257">
      <w:pPr>
        <w:spacing w:before="200"/>
        <w:ind w:left="1080" w:right="1080"/>
        <w:jc w:val="both"/>
        <w:rPr>
          <w:sz w:val="20"/>
          <w:szCs w:val="20"/>
        </w:rPr>
      </w:pPr>
      <w:r>
        <w:rPr>
          <w:sz w:val="20"/>
          <w:szCs w:val="20"/>
        </w:rPr>
        <w:t xml:space="preserve">Fashion industry makes a massive amount of revenue each year. It </w:t>
      </w:r>
      <w:r w:rsidR="00702746">
        <w:rPr>
          <w:sz w:val="20"/>
          <w:szCs w:val="20"/>
        </w:rPr>
        <w:t xml:space="preserve">consists of a whopping 7.2% of the total world consumption segment with an immense opportunity for growth and investment. Some of the most notable and sought after brands are Gap Inc., Ralph Lauren, American Eagle Outfitters, Under </w:t>
      </w:r>
      <w:proofErr w:type="spellStart"/>
      <w:r w:rsidR="00702746">
        <w:rPr>
          <w:sz w:val="20"/>
          <w:szCs w:val="20"/>
        </w:rPr>
        <w:t>Armour</w:t>
      </w:r>
      <w:proofErr w:type="spellEnd"/>
      <w:r w:rsidR="00702746">
        <w:rPr>
          <w:sz w:val="20"/>
          <w:szCs w:val="20"/>
        </w:rPr>
        <w:t xml:space="preserve"> Inc. and PVH Corp. For a common man, it seems to be a wise choice to compare amongst these brands and invest in the firm with best return on investment. </w:t>
      </w:r>
      <w:r w:rsidR="004E1257">
        <w:rPr>
          <w:sz w:val="20"/>
          <w:szCs w:val="20"/>
        </w:rPr>
        <w:t>Our objective of this report is to evaluate their ethical grounds and financial strength of each company based on their annual revenue across all the regions and analyze their financial grip on the market by calculating different financial ratios. Among the listed companies, we found GAP Inc. to be the best company based on both their financial strength and ethical grounds.</w:t>
      </w:r>
    </w:p>
    <w:p w14:paraId="0FFFE683" w14:textId="77777777" w:rsidR="00F2396B" w:rsidRDefault="00F2396B">
      <w:pPr>
        <w:ind w:left="567"/>
        <w:rPr>
          <w:sz w:val="20"/>
          <w:szCs w:val="20"/>
        </w:rPr>
      </w:pPr>
    </w:p>
    <w:p w14:paraId="673AE696" w14:textId="77777777" w:rsidR="00F2396B" w:rsidRDefault="00F2396B">
      <w:pPr>
        <w:rPr>
          <w:sz w:val="20"/>
          <w:szCs w:val="20"/>
        </w:rPr>
        <w:sectPr w:rsidR="00F2396B">
          <w:headerReference w:type="default" r:id="rId7"/>
          <w:footerReference w:type="default" r:id="rId8"/>
          <w:pgSz w:w="12240" w:h="15840"/>
          <w:pgMar w:top="1440" w:right="720" w:bottom="720" w:left="720" w:header="0" w:footer="720" w:gutter="0"/>
          <w:pgNumType w:start="1"/>
          <w:cols w:space="720"/>
        </w:sectPr>
      </w:pPr>
    </w:p>
    <w:p w14:paraId="59ACEEC5" w14:textId="77777777" w:rsidR="00F2396B" w:rsidRDefault="00702746">
      <w:pPr>
        <w:keepNext/>
        <w:spacing w:after="200"/>
        <w:jc w:val="center"/>
        <w:rPr>
          <w:b/>
          <w:smallCaps/>
          <w:sz w:val="20"/>
          <w:szCs w:val="20"/>
        </w:rPr>
      </w:pPr>
      <w:r>
        <w:rPr>
          <w:b/>
          <w:smallCaps/>
          <w:sz w:val="20"/>
          <w:szCs w:val="20"/>
        </w:rPr>
        <w:t>Introduction</w:t>
      </w:r>
    </w:p>
    <w:p w14:paraId="5A50D315" w14:textId="77777777" w:rsidR="00F266CB" w:rsidRPr="00F266CB" w:rsidRDefault="00BA69EE" w:rsidP="00F266CB">
      <w:pPr>
        <w:rPr>
          <w:color w:val="auto"/>
        </w:rPr>
      </w:pPr>
      <w:bookmarkStart w:id="0" w:name="_gjdgxs" w:colFirst="0" w:colLast="0"/>
      <w:bookmarkEnd w:id="0"/>
      <w:r>
        <w:rPr>
          <w:sz w:val="20"/>
          <w:szCs w:val="20"/>
        </w:rPr>
        <w:t xml:space="preserve">Fashion industry is the most glamourous and still an underrated industry in few scenarios. We all wear clothes whether it’s from a famous designer store or ordinary store. Everybody in this world makes his or hers first impression through looks and personality. </w:t>
      </w:r>
      <w:r w:rsidR="00926AA2">
        <w:rPr>
          <w:sz w:val="20"/>
          <w:szCs w:val="20"/>
        </w:rPr>
        <w:t xml:space="preserve">Each industry </w:t>
      </w:r>
      <w:r w:rsidR="00F266CB">
        <w:rPr>
          <w:sz w:val="20"/>
          <w:szCs w:val="20"/>
        </w:rPr>
        <w:t>must</w:t>
      </w:r>
      <w:r w:rsidR="00926AA2">
        <w:rPr>
          <w:sz w:val="20"/>
          <w:szCs w:val="20"/>
        </w:rPr>
        <w:t xml:space="preserve"> update its product by keeping up to new trends and even by introducing new trends. </w:t>
      </w:r>
      <w:r w:rsidR="00F266CB">
        <w:rPr>
          <w:sz w:val="20"/>
          <w:szCs w:val="20"/>
        </w:rPr>
        <w:t xml:space="preserve">As per one of the statistics, the global apparel market of </w:t>
      </w:r>
      <w:r w:rsidR="00F266CB" w:rsidRPr="00F266CB">
        <w:rPr>
          <w:sz w:val="20"/>
          <w:szCs w:val="20"/>
        </w:rPr>
        <w:t>United States is expected to grow from USD 225 billion in 2012 to USD 285 billion in 2025</w:t>
      </w:r>
      <w:r w:rsidR="00F266CB">
        <w:rPr>
          <w:sz w:val="20"/>
          <w:szCs w:val="20"/>
        </w:rPr>
        <w:t xml:space="preserve">. </w:t>
      </w:r>
    </w:p>
    <w:p w14:paraId="69BEAC76" w14:textId="77777777" w:rsidR="00F2396B" w:rsidRDefault="00F2396B" w:rsidP="00F266CB">
      <w:pPr>
        <w:ind w:firstLine="360"/>
        <w:jc w:val="both"/>
        <w:rPr>
          <w:sz w:val="20"/>
          <w:szCs w:val="20"/>
        </w:rPr>
      </w:pPr>
    </w:p>
    <w:p w14:paraId="52EB10EB" w14:textId="77777777" w:rsidR="00F2396B" w:rsidRDefault="00F2396B">
      <w:pPr>
        <w:rPr>
          <w:sz w:val="20"/>
          <w:szCs w:val="20"/>
        </w:rPr>
      </w:pPr>
    </w:p>
    <w:p w14:paraId="1EF4F059" w14:textId="77777777" w:rsidR="00F2396B" w:rsidRDefault="00702746">
      <w:pPr>
        <w:pStyle w:val="Heading2"/>
      </w:pPr>
      <w:r>
        <w:t>American Eagle Outfitters, Inc</w:t>
      </w:r>
    </w:p>
    <w:p w14:paraId="35B54C2B" w14:textId="77777777" w:rsidR="00F2396B" w:rsidRDefault="00702746">
      <w:pPr>
        <w:ind w:firstLine="360"/>
        <w:jc w:val="both"/>
        <w:rPr>
          <w:sz w:val="20"/>
          <w:szCs w:val="20"/>
        </w:rPr>
      </w:pPr>
      <w:r>
        <w:rPr>
          <w:sz w:val="20"/>
          <w:szCs w:val="20"/>
        </w:rPr>
        <w:t xml:space="preserve">American Eagle Outfitters, Inc. (AEO) is built on more than 38 years of customer focus, dedication and innovation. AEO is a chain of mall-based stores that sells casual, outdoor-inspired fashion apparel. Founded by brothers Jerry and Mark Silverman with one store, in Michigan, in 1977. Today, American Eagle has more than 1,000 stores and 40,000 associates worldwide. Built with distinctive global company culture and its core values are – People, Integrity, Passion, Innovation and Teamwork. In June 2009, the company signed the franchise agreement with M. H. </w:t>
      </w:r>
      <w:proofErr w:type="spellStart"/>
      <w:r>
        <w:rPr>
          <w:sz w:val="20"/>
          <w:szCs w:val="20"/>
        </w:rPr>
        <w:t>Alshaya</w:t>
      </w:r>
      <w:proofErr w:type="spellEnd"/>
      <w:r>
        <w:rPr>
          <w:sz w:val="20"/>
          <w:szCs w:val="20"/>
        </w:rPr>
        <w:t xml:space="preserve">, one of the leading retailers of the Middle East. </w:t>
      </w:r>
    </w:p>
    <w:p w14:paraId="0737CC31" w14:textId="77777777" w:rsidR="00F2396B" w:rsidRDefault="00702746">
      <w:pPr>
        <w:pStyle w:val="Heading2"/>
      </w:pPr>
      <w:r>
        <w:t>Ralph Lauren Corporation</w:t>
      </w:r>
    </w:p>
    <w:p w14:paraId="02A11A9E" w14:textId="77777777" w:rsidR="00F2396B" w:rsidRDefault="00702746">
      <w:pPr>
        <w:ind w:firstLine="360"/>
        <w:jc w:val="both"/>
        <w:rPr>
          <w:sz w:val="20"/>
          <w:szCs w:val="20"/>
        </w:rPr>
      </w:pPr>
      <w:r>
        <w:rPr>
          <w:sz w:val="20"/>
          <w:szCs w:val="20"/>
        </w:rPr>
        <w:t xml:space="preserve">Ralph Lauren Corporation is a worldwide leader in the fashion industry, showcasing and distributing premium items in four main categories: apparel, fragrances, accessories, and homes. Over the past few decades, Ralph Lauren reputation and symbolic logo have been reliably ventured across all corners of the globe. Ralph Lauren was originally founded in 1967 by Ralph </w:t>
      </w:r>
      <w:proofErr w:type="spellStart"/>
      <w:r>
        <w:rPr>
          <w:sz w:val="20"/>
          <w:szCs w:val="20"/>
        </w:rPr>
        <w:t>Lifshitz</w:t>
      </w:r>
      <w:proofErr w:type="spellEnd"/>
      <w:r>
        <w:rPr>
          <w:sz w:val="20"/>
          <w:szCs w:val="20"/>
        </w:rPr>
        <w:t>. Ralph introduced the brand to the world by creating men’s ties. The company brand names, which incorporate Ralph Lauren, Ralph Lauren Collection, Ralph Lauren Purple Label, Double RL, Polo Ralph Lauren, Lauren Ralph Lauren, Polo Ralph Lauren Children, Denim and Supply Ralph Lauren, Chaps, Club Monaco among others, constitute one of the world's most generally perceived groups of buyer brands. Moreover, the company has more than thirteen thousand stores worldwide, including department stores. In addition, based on the statistic, Ralph Lauren has approximately 25,000 employees working globally for them.</w:t>
      </w:r>
    </w:p>
    <w:p w14:paraId="7986D651" w14:textId="77777777" w:rsidR="00F2396B" w:rsidRDefault="00702746">
      <w:pPr>
        <w:pStyle w:val="Heading2"/>
      </w:pPr>
      <w:r>
        <w:t>Gap, Inc.</w:t>
      </w:r>
    </w:p>
    <w:p w14:paraId="44D8E71A" w14:textId="77777777" w:rsidR="00F2396B" w:rsidRDefault="00702746">
      <w:pPr>
        <w:ind w:firstLine="360"/>
        <w:jc w:val="both"/>
        <w:rPr>
          <w:sz w:val="20"/>
          <w:szCs w:val="20"/>
        </w:rPr>
      </w:pPr>
      <w:r>
        <w:rPr>
          <w:sz w:val="20"/>
          <w:szCs w:val="20"/>
        </w:rPr>
        <w:t xml:space="preserve">Gap, Inc. is a worldwide apparel retail company.  In July 1969, it was founded by Donald G. Fisher and Doris F. Fisher and is headquartered in San Francisco, CA. Arthur </w:t>
      </w:r>
      <w:proofErr w:type="spellStart"/>
      <w:r>
        <w:rPr>
          <w:sz w:val="20"/>
          <w:szCs w:val="20"/>
        </w:rPr>
        <w:t>L.Peck</w:t>
      </w:r>
      <w:proofErr w:type="spellEnd"/>
      <w:r>
        <w:rPr>
          <w:sz w:val="20"/>
          <w:szCs w:val="20"/>
        </w:rPr>
        <w:t xml:space="preserve"> has been the company’s Chief Executive Officer and Director since 2005. There are 135,000 full-time employees. Gap Inc. provides accessories, clothing, shoes, and handbags for women, men, and children under the Gap, Banana Republic, Old Navy, </w:t>
      </w:r>
      <w:proofErr w:type="spellStart"/>
      <w:r>
        <w:rPr>
          <w:sz w:val="20"/>
          <w:szCs w:val="20"/>
        </w:rPr>
        <w:t>Athleta</w:t>
      </w:r>
      <w:proofErr w:type="spellEnd"/>
      <w:r>
        <w:rPr>
          <w:sz w:val="20"/>
          <w:szCs w:val="20"/>
        </w:rPr>
        <w:t>, and Intermix brands. As of March 14, 2017, the company has 3,200 company-operated stores and 450 franchise stores in Asia, Europe, Australia, Latin America, Africa and the Middle East.</w:t>
      </w:r>
    </w:p>
    <w:p w14:paraId="50269CCC" w14:textId="77777777" w:rsidR="00F2396B" w:rsidRDefault="00702746">
      <w:pPr>
        <w:pStyle w:val="Heading2"/>
      </w:pPr>
      <w:r>
        <w:lastRenderedPageBreak/>
        <w:t>Phillips-Van Heusen Corporation</w:t>
      </w:r>
    </w:p>
    <w:p w14:paraId="745A1B78" w14:textId="77777777" w:rsidR="00F2396B" w:rsidRDefault="00702746">
      <w:pPr>
        <w:ind w:firstLine="360"/>
        <w:jc w:val="both"/>
        <w:rPr>
          <w:sz w:val="20"/>
          <w:szCs w:val="20"/>
        </w:rPr>
      </w:pPr>
      <w:r>
        <w:rPr>
          <w:sz w:val="20"/>
          <w:szCs w:val="20"/>
        </w:rPr>
        <w:t xml:space="preserve">The PVH Corp, or Phillips-Van Heusen Corporation, is a 8.2 billion USD clothing company in America that sells products through the brands, such as Calvin Klein, Tommy Hilfiger, Van Heusen, IZOD, ARROW, Warner’s, Olga, and Eagle; and licensed brands comprising Speedo, Geoffrey </w:t>
      </w:r>
      <w:proofErr w:type="spellStart"/>
      <w:r>
        <w:rPr>
          <w:sz w:val="20"/>
          <w:szCs w:val="20"/>
        </w:rPr>
        <w:t>Beene</w:t>
      </w:r>
      <w:proofErr w:type="spellEnd"/>
      <w:r>
        <w:rPr>
          <w:sz w:val="20"/>
          <w:szCs w:val="20"/>
        </w:rPr>
        <w:t>, Kenneth Cole New York, Kenneth Cole Reaction, Sean John, Michael Kors, Michael Kors Collection, and Chaps, as well as various other licensed and private label brands. It has also licensed its own brands over various products. It designs, markets, and retails men’s and women’s apparel and accessories, sportswear, handbags, footwear, golf apparel, fragrances, cosmetics, eyewear, socks, jewelry, watches, outerwear, small leather goods, and furnishings, as well as other related products. The company’s products are distributed at wholesale in department, chain, mass market, specialty, off-price, club, and independent stores; and through company-operated full-price specialty and outlet stores, as well as through e-commerce sites. PVH Corp. was founded in 1881 and is based in New York, New York and has more than 18,800 employees.</w:t>
      </w:r>
    </w:p>
    <w:p w14:paraId="3FDCB0DF" w14:textId="77777777" w:rsidR="00F2396B" w:rsidRDefault="00702746">
      <w:pPr>
        <w:pStyle w:val="Heading2"/>
      </w:pPr>
      <w:r>
        <w:t xml:space="preserve">Under </w:t>
      </w:r>
      <w:proofErr w:type="spellStart"/>
      <w:r>
        <w:t>Armour</w:t>
      </w:r>
      <w:proofErr w:type="spellEnd"/>
      <w:r>
        <w:t xml:space="preserve"> Inc.</w:t>
      </w:r>
    </w:p>
    <w:p w14:paraId="107A329B" w14:textId="77777777" w:rsidR="00F2396B" w:rsidRDefault="00702746">
      <w:pPr>
        <w:ind w:firstLine="360"/>
        <w:jc w:val="both"/>
        <w:rPr>
          <w:sz w:val="20"/>
          <w:szCs w:val="20"/>
        </w:rPr>
      </w:pPr>
      <w:r>
        <w:rPr>
          <w:sz w:val="20"/>
          <w:szCs w:val="20"/>
        </w:rPr>
        <w:t xml:space="preserve">Under </w:t>
      </w:r>
      <w:proofErr w:type="spellStart"/>
      <w:r>
        <w:rPr>
          <w:sz w:val="20"/>
          <w:szCs w:val="20"/>
        </w:rPr>
        <w:t>Armour</w:t>
      </w:r>
      <w:proofErr w:type="spellEnd"/>
      <w:r>
        <w:rPr>
          <w:sz w:val="20"/>
          <w:szCs w:val="20"/>
        </w:rPr>
        <w:t xml:space="preserve">, Inc. is an American company that manufactures footwear, sports and casual apparel including athletic shoes, t-shirts, jackets, hoodies, pants, leggings, shorts and accessories such as bags, gloves, caps and protective gear. Under </w:t>
      </w:r>
      <w:proofErr w:type="spellStart"/>
      <w:r>
        <w:rPr>
          <w:sz w:val="20"/>
          <w:szCs w:val="20"/>
        </w:rPr>
        <w:t>Armour's</w:t>
      </w:r>
      <w:proofErr w:type="spellEnd"/>
      <w:r>
        <w:rPr>
          <w:sz w:val="20"/>
          <w:szCs w:val="20"/>
        </w:rPr>
        <w:t xml:space="preserve"> global headquarters is in Baltimore, Maryland. Under </w:t>
      </w:r>
      <w:proofErr w:type="spellStart"/>
      <w:r>
        <w:rPr>
          <w:sz w:val="20"/>
          <w:szCs w:val="20"/>
        </w:rPr>
        <w:t>Armour</w:t>
      </w:r>
      <w:proofErr w:type="spellEnd"/>
      <w:r>
        <w:rPr>
          <w:sz w:val="20"/>
          <w:szCs w:val="20"/>
        </w:rPr>
        <w:t xml:space="preserve"> was founded in 1996 by Kevin Plank, a then 23-year-old former special teams captain of the University of Maryland football team and the Chief Executing Officer. Kevin Plank found that the microfibers used to make shorts were dry for a longer time so he came up with the idea of making t-shirts with the same materials and they today are called the dry fits. Major competitors like Nike and Adidas followed his footsteps. Number of employees is 15,200 and engages in the developing, marketing and distributing of branded performance apparel, footwear and accessories for men, women and youth. </w:t>
      </w:r>
    </w:p>
    <w:p w14:paraId="3AF424BF" w14:textId="77777777" w:rsidR="00F2396B" w:rsidRDefault="00702746">
      <w:pPr>
        <w:pStyle w:val="Heading1"/>
      </w:pPr>
      <w:r>
        <w:t>Financial Statement Analysis</w:t>
      </w:r>
    </w:p>
    <w:p w14:paraId="43329551" w14:textId="77777777" w:rsidR="00AC7773" w:rsidRDefault="00AC7773" w:rsidP="00AC7773">
      <w:pPr>
        <w:pStyle w:val="Heading2"/>
      </w:pPr>
      <w:r>
        <w:t>American Eagle Outfitters</w:t>
      </w:r>
    </w:p>
    <w:p w14:paraId="06972DC7" w14:textId="77777777" w:rsidR="00AC7773" w:rsidRPr="00AC7773" w:rsidRDefault="00AC7773" w:rsidP="00AC7773">
      <w:pPr>
        <w:ind w:firstLine="360"/>
        <w:jc w:val="both"/>
        <w:rPr>
          <w:sz w:val="20"/>
          <w:szCs w:val="20"/>
        </w:rPr>
      </w:pPr>
      <w:r>
        <w:rPr>
          <w:sz w:val="20"/>
          <w:szCs w:val="20"/>
        </w:rPr>
        <w:t xml:space="preserve">In 2013, due to a “disappointing product execution in the women's category", American Eagle posted only a 3% gain in the 2013 second quarter profits and the stock price dropped drastically. It was then in Jan 2014, when CEO Robert Hanson stepped down and Jay </w:t>
      </w:r>
      <w:proofErr w:type="spellStart"/>
      <w:r>
        <w:rPr>
          <w:sz w:val="20"/>
          <w:szCs w:val="20"/>
        </w:rPr>
        <w:t>Schottenstein</w:t>
      </w:r>
      <w:proofErr w:type="spellEnd"/>
      <w:r>
        <w:rPr>
          <w:sz w:val="20"/>
          <w:szCs w:val="20"/>
        </w:rPr>
        <w:t xml:space="preserve"> became interim CEO. It was then when, American Eagles announced about closing of 150 stores across the country and 300 more being considered for being shut down because of low profits rooting from fast fashion and e-commerce being on the rise.</w:t>
      </w:r>
    </w:p>
    <w:p w14:paraId="70C3ED9A" w14:textId="77777777" w:rsidR="00F2396B" w:rsidRDefault="00702746">
      <w:pPr>
        <w:pStyle w:val="Heading2"/>
      </w:pPr>
      <w:r>
        <w:t>Ralph Lauren</w:t>
      </w:r>
    </w:p>
    <w:p w14:paraId="277F23A2" w14:textId="77777777" w:rsidR="00F2396B" w:rsidRDefault="00702746">
      <w:pPr>
        <w:widowControl/>
        <w:ind w:firstLine="720"/>
      </w:pPr>
      <w:bookmarkStart w:id="1" w:name="_30j0zll" w:colFirst="0" w:colLast="0"/>
      <w:bookmarkEnd w:id="1"/>
      <w:r>
        <w:rPr>
          <w:sz w:val="20"/>
          <w:szCs w:val="20"/>
        </w:rPr>
        <w:t xml:space="preserve">In its 2014 proxy statement, Ralph Lauren said the proposed human-rights risk report would have been an “unnecessary and a potential diversion of corporate resources with no corresponding significant benefit to stockholders.” Ralph Lauren does offer a Citizenship Report, first released in 2013, which includes codes of conduct and ethical guidelines for its suppliers. The report does not detail where the company buys its clothing by country. In 2013, Ralph Lauren Corp., the retailer of its namesake brand clothing, paid about $1.6 million to resolve U.S. regulatory and criminal claims that a subsidiary paid bribe to officials in Argentina from 2005 to 2009. In 2016, and article mentioned how Ralph Lauren sales were affected because of the department closing because the brand made $1.8 billion from the department stores. Furthermore, the most recent backlash the brand received was when Ralph Lauren dressed </w:t>
      </w:r>
      <w:proofErr w:type="spellStart"/>
      <w:r>
        <w:rPr>
          <w:sz w:val="20"/>
          <w:szCs w:val="20"/>
        </w:rPr>
        <w:t>Melania</w:t>
      </w:r>
      <w:proofErr w:type="spellEnd"/>
      <w:r>
        <w:rPr>
          <w:sz w:val="20"/>
          <w:szCs w:val="20"/>
        </w:rPr>
        <w:t xml:space="preserve"> Trump for inauguration. This would affect the annual sales because how people don’t want to wear their clothing after they saw </w:t>
      </w:r>
      <w:proofErr w:type="spellStart"/>
      <w:r>
        <w:rPr>
          <w:sz w:val="20"/>
          <w:szCs w:val="20"/>
        </w:rPr>
        <w:t>Melania</w:t>
      </w:r>
      <w:proofErr w:type="spellEnd"/>
      <w:r>
        <w:rPr>
          <w:sz w:val="20"/>
          <w:szCs w:val="20"/>
        </w:rPr>
        <w:t xml:space="preserve"> dressed. </w:t>
      </w:r>
    </w:p>
    <w:p w14:paraId="5386CCE6" w14:textId="77777777" w:rsidR="00F2396B" w:rsidRDefault="00702746">
      <w:pPr>
        <w:pStyle w:val="Heading2"/>
      </w:pPr>
      <w:r>
        <w:t xml:space="preserve">Gap </w:t>
      </w:r>
    </w:p>
    <w:p w14:paraId="756F8598" w14:textId="77777777" w:rsidR="00F2396B" w:rsidRDefault="00702746">
      <w:pPr>
        <w:ind w:firstLine="360"/>
        <w:jc w:val="both"/>
        <w:rPr>
          <w:sz w:val="20"/>
          <w:szCs w:val="20"/>
        </w:rPr>
      </w:pPr>
      <w:r>
        <w:rPr>
          <w:sz w:val="20"/>
          <w:szCs w:val="20"/>
        </w:rPr>
        <w:t>In 2012, Al Jazeera covered a report on illegal child labor in Bangladesh employed by major clothing industry players. GAP Inc was one of those covered in this investigation. Gap Inc had denied the allegations thus ending in a final statement by the Al Jazeera as – “complex contracting schemes used by Western retailers can leave them oblivious to abuses committed by agents and subcontractors down the line. However, the “Old Navy” jeans wound up in a finishing house that apparently employs underage girls, it seems to have happened without the awareness or approval of Gap Inc.”</w:t>
      </w:r>
    </w:p>
    <w:p w14:paraId="52650397" w14:textId="77777777" w:rsidR="00F2396B" w:rsidRDefault="00F2396B">
      <w:pPr>
        <w:ind w:firstLine="360"/>
        <w:jc w:val="both"/>
        <w:rPr>
          <w:sz w:val="20"/>
          <w:szCs w:val="20"/>
        </w:rPr>
      </w:pPr>
    </w:p>
    <w:p w14:paraId="08479CF0" w14:textId="77777777" w:rsidR="00F2396B" w:rsidRDefault="00702746">
      <w:pPr>
        <w:ind w:firstLine="360"/>
        <w:jc w:val="both"/>
        <w:rPr>
          <w:sz w:val="20"/>
          <w:szCs w:val="20"/>
        </w:rPr>
      </w:pPr>
      <w:r>
        <w:rPr>
          <w:sz w:val="20"/>
          <w:szCs w:val="20"/>
        </w:rPr>
        <w:t xml:space="preserve">Old Navy opened its first store overseas, after expanding globally in 2012, outside North America in Japan. Old Navy had further </w:t>
      </w:r>
      <w:r>
        <w:rPr>
          <w:sz w:val="20"/>
          <w:szCs w:val="20"/>
        </w:rPr>
        <w:lastRenderedPageBreak/>
        <w:t>expanded its global presence, by opening its first Company-operated stores in China and franchise stores in the Philippines in 2014.</w:t>
      </w:r>
    </w:p>
    <w:p w14:paraId="3E5C57F0" w14:textId="77777777" w:rsidR="00F2396B" w:rsidRDefault="00F2396B">
      <w:pPr>
        <w:ind w:firstLine="360"/>
        <w:jc w:val="both"/>
        <w:rPr>
          <w:sz w:val="20"/>
          <w:szCs w:val="20"/>
        </w:rPr>
      </w:pPr>
    </w:p>
    <w:p w14:paraId="77A6673A" w14:textId="77777777" w:rsidR="00AC7773" w:rsidRDefault="00AC7773" w:rsidP="00AC7773">
      <w:pPr>
        <w:pStyle w:val="Heading2"/>
      </w:pPr>
      <w:r>
        <w:t>Phillips-Van Heusen Corporation</w:t>
      </w:r>
    </w:p>
    <w:p w14:paraId="45D3227E" w14:textId="77777777" w:rsidR="00F2396B" w:rsidRDefault="00702746" w:rsidP="003849B1">
      <w:pPr>
        <w:ind w:firstLine="360"/>
        <w:jc w:val="both"/>
        <w:rPr>
          <w:sz w:val="20"/>
          <w:szCs w:val="20"/>
        </w:rPr>
      </w:pPr>
      <w:r>
        <w:rPr>
          <w:sz w:val="20"/>
          <w:szCs w:val="20"/>
        </w:rPr>
        <w:t xml:space="preserve">PVH Corp to acquire </w:t>
      </w:r>
      <w:proofErr w:type="spellStart"/>
      <w:r>
        <w:rPr>
          <w:sz w:val="20"/>
          <w:szCs w:val="20"/>
        </w:rPr>
        <w:t>True&amp;Co</w:t>
      </w:r>
      <w:proofErr w:type="spellEnd"/>
      <w:r>
        <w:rPr>
          <w:sz w:val="20"/>
          <w:szCs w:val="20"/>
        </w:rPr>
        <w:t>., a direct-to-consumer intimate apparel e-commerce retailer. PVH is accused of working with suppliers in China who, according to the findings of the report, contribute to the pollution of the Yangtze and Pearl Rivers.</w:t>
      </w:r>
    </w:p>
    <w:p w14:paraId="4FDF1084" w14:textId="77777777" w:rsidR="003849B1" w:rsidRDefault="003849B1" w:rsidP="003849B1">
      <w:pPr>
        <w:ind w:firstLine="360"/>
        <w:jc w:val="both"/>
        <w:rPr>
          <w:sz w:val="20"/>
          <w:szCs w:val="20"/>
        </w:rPr>
      </w:pPr>
    </w:p>
    <w:p w14:paraId="3B898280" w14:textId="77777777" w:rsidR="00F2396B" w:rsidRDefault="00702746">
      <w:pPr>
        <w:ind w:firstLine="360"/>
        <w:jc w:val="both"/>
        <w:rPr>
          <w:sz w:val="20"/>
          <w:szCs w:val="20"/>
        </w:rPr>
      </w:pPr>
      <w:r>
        <w:rPr>
          <w:sz w:val="20"/>
          <w:szCs w:val="20"/>
        </w:rPr>
        <w:t>In February 2013, PVH had completed and acquisition of ‘Warnaco’ worth 2.9 billion USD. They believed that the acquisition would be an advantage since the complementary geographic platforms of Warnaco enhanced the opportunities of PVH in the high-growth regions of Asia and Latin America in the Calvin Klein businesses of Jeans and Underwear businesses. In the same year on  November 4, the sale of G.H Bass &amp; Co. was successfully completed which allowed PVH to focus their assets on their strategy to drive growth through the higher-margin Calvin Klein and Tommy Hilfiger businesses.</w:t>
      </w:r>
    </w:p>
    <w:p w14:paraId="25604D95" w14:textId="77777777" w:rsidR="00F2396B" w:rsidRDefault="00F2396B">
      <w:pPr>
        <w:ind w:firstLine="360"/>
        <w:jc w:val="both"/>
        <w:rPr>
          <w:sz w:val="20"/>
          <w:szCs w:val="20"/>
        </w:rPr>
      </w:pPr>
    </w:p>
    <w:p w14:paraId="7A8D01E0" w14:textId="77777777" w:rsidR="00F2396B" w:rsidRDefault="00702746">
      <w:pPr>
        <w:pStyle w:val="Heading2"/>
      </w:pPr>
      <w:r>
        <w:t xml:space="preserve">Under </w:t>
      </w:r>
      <w:proofErr w:type="spellStart"/>
      <w:r>
        <w:t>Armour</w:t>
      </w:r>
      <w:proofErr w:type="spellEnd"/>
    </w:p>
    <w:p w14:paraId="0E8DE9C9" w14:textId="77777777" w:rsidR="00F2396B" w:rsidRDefault="00702746">
      <w:pPr>
        <w:ind w:firstLine="360"/>
        <w:jc w:val="both"/>
        <w:rPr>
          <w:sz w:val="20"/>
          <w:szCs w:val="20"/>
        </w:rPr>
      </w:pPr>
      <w:r>
        <w:rPr>
          <w:sz w:val="20"/>
          <w:szCs w:val="20"/>
        </w:rPr>
        <w:t xml:space="preserve">On January 21,2014 University of Notre Dame and Under </w:t>
      </w:r>
      <w:proofErr w:type="spellStart"/>
      <w:r>
        <w:rPr>
          <w:sz w:val="20"/>
          <w:szCs w:val="20"/>
        </w:rPr>
        <w:t>Armour</w:t>
      </w:r>
      <w:proofErr w:type="spellEnd"/>
      <w:r>
        <w:rPr>
          <w:sz w:val="20"/>
          <w:szCs w:val="20"/>
        </w:rPr>
        <w:t xml:space="preserve"> started a contract for providing uniforms and athletic equipment for the university. It was the largest of its kind deal which came to effect on July 1,2014. Under </w:t>
      </w:r>
      <w:proofErr w:type="spellStart"/>
      <w:r>
        <w:rPr>
          <w:sz w:val="20"/>
          <w:szCs w:val="20"/>
        </w:rPr>
        <w:t>Armour</w:t>
      </w:r>
      <w:proofErr w:type="spellEnd"/>
      <w:r>
        <w:rPr>
          <w:sz w:val="20"/>
          <w:szCs w:val="20"/>
        </w:rPr>
        <w:t xml:space="preserve"> purchased </w:t>
      </w:r>
      <w:proofErr w:type="spellStart"/>
      <w:r>
        <w:rPr>
          <w:sz w:val="20"/>
          <w:szCs w:val="20"/>
        </w:rPr>
        <w:t>MapMyFitness</w:t>
      </w:r>
      <w:proofErr w:type="spellEnd"/>
      <w:r>
        <w:rPr>
          <w:sz w:val="20"/>
          <w:szCs w:val="20"/>
        </w:rPr>
        <w:t xml:space="preserve"> app in February 2015 for $475M. During 2016 Under </w:t>
      </w:r>
      <w:proofErr w:type="spellStart"/>
      <w:r>
        <w:rPr>
          <w:sz w:val="20"/>
          <w:szCs w:val="20"/>
        </w:rPr>
        <w:t>Armour</w:t>
      </w:r>
      <w:proofErr w:type="spellEnd"/>
      <w:r>
        <w:rPr>
          <w:sz w:val="20"/>
          <w:szCs w:val="20"/>
        </w:rPr>
        <w:t xml:space="preserve"> became Official Match Ball Partner of North American Soccer League. Under </w:t>
      </w:r>
      <w:proofErr w:type="spellStart"/>
      <w:r>
        <w:rPr>
          <w:sz w:val="20"/>
          <w:szCs w:val="20"/>
        </w:rPr>
        <w:t>Armour</w:t>
      </w:r>
      <w:proofErr w:type="spellEnd"/>
      <w:r>
        <w:rPr>
          <w:sz w:val="20"/>
          <w:szCs w:val="20"/>
        </w:rPr>
        <w:t xml:space="preserve"> and UCLA signed a contract of $280M making it largest show and apparel sponsor in NCAA history during May 2016. During December 2016 Under </w:t>
      </w:r>
      <w:proofErr w:type="spellStart"/>
      <w:r>
        <w:rPr>
          <w:sz w:val="20"/>
          <w:szCs w:val="20"/>
        </w:rPr>
        <w:t>Armour</w:t>
      </w:r>
      <w:proofErr w:type="spellEnd"/>
      <w:r>
        <w:rPr>
          <w:sz w:val="20"/>
          <w:szCs w:val="20"/>
        </w:rPr>
        <w:t xml:space="preserve"> signed a 10-year agreement with Major League Baseball to become the uniform provider of MLB starting 2020.</w:t>
      </w:r>
    </w:p>
    <w:p w14:paraId="754E7DC9" w14:textId="77777777" w:rsidR="00F2396B" w:rsidRDefault="00702746" w:rsidP="00AC7773">
      <w:pPr>
        <w:ind w:firstLine="360"/>
        <w:jc w:val="both"/>
        <w:rPr>
          <w:sz w:val="20"/>
          <w:szCs w:val="20"/>
        </w:rPr>
      </w:pPr>
      <w:r>
        <w:rPr>
          <w:sz w:val="20"/>
          <w:szCs w:val="20"/>
        </w:rPr>
        <w:t xml:space="preserve">In February 2017, CEO of Under </w:t>
      </w:r>
      <w:proofErr w:type="spellStart"/>
      <w:r>
        <w:rPr>
          <w:sz w:val="20"/>
          <w:szCs w:val="20"/>
        </w:rPr>
        <w:t>Armour</w:t>
      </w:r>
      <w:proofErr w:type="spellEnd"/>
      <w:r>
        <w:rPr>
          <w:sz w:val="20"/>
          <w:szCs w:val="20"/>
        </w:rPr>
        <w:t xml:space="preserve"> Kevin Plank supported President Trump and addressed him as “an asset to the country” and was boycotted by the people for the same. Leading to a #</w:t>
      </w:r>
      <w:proofErr w:type="spellStart"/>
      <w:r>
        <w:rPr>
          <w:sz w:val="20"/>
          <w:szCs w:val="20"/>
        </w:rPr>
        <w:t>BoycottUnderArmour</w:t>
      </w:r>
      <w:proofErr w:type="spellEnd"/>
      <w:r>
        <w:rPr>
          <w:sz w:val="20"/>
          <w:szCs w:val="20"/>
        </w:rPr>
        <w:t xml:space="preserve"> hashtag on twitter.</w:t>
      </w:r>
    </w:p>
    <w:p w14:paraId="5F3C89F2" w14:textId="77777777" w:rsidR="00F2396B" w:rsidRDefault="00F2396B">
      <w:pPr>
        <w:jc w:val="both"/>
        <w:rPr>
          <w:sz w:val="20"/>
          <w:szCs w:val="20"/>
        </w:rPr>
      </w:pPr>
    </w:p>
    <w:p w14:paraId="3084E18E" w14:textId="77777777" w:rsidR="00F2396B" w:rsidRDefault="00702746">
      <w:pPr>
        <w:pStyle w:val="Heading1"/>
      </w:pPr>
      <w:r>
        <w:t>Comparisons of Financial Ratios</w:t>
      </w:r>
    </w:p>
    <w:p w14:paraId="74CDD9DA" w14:textId="77777777" w:rsidR="00F2396B" w:rsidRDefault="00702746">
      <w:pPr>
        <w:pStyle w:val="Heading2"/>
        <w:rPr>
          <w:b w:val="0"/>
          <w:u w:val="single"/>
        </w:rPr>
      </w:pPr>
      <w:bookmarkStart w:id="2" w:name="1fob9te" w:colFirst="0" w:colLast="0"/>
      <w:bookmarkStart w:id="3" w:name="3znysh7" w:colFirst="0" w:colLast="0"/>
      <w:bookmarkEnd w:id="2"/>
      <w:bookmarkEnd w:id="3"/>
      <w:r>
        <w:t>Net Profit Margin</w:t>
      </w:r>
    </w:p>
    <w:p w14:paraId="182B7529" w14:textId="77777777" w:rsidR="00F2396B" w:rsidRDefault="00702746">
      <w:pPr>
        <w:ind w:firstLine="360"/>
        <w:jc w:val="both"/>
        <w:rPr>
          <w:sz w:val="20"/>
          <w:szCs w:val="20"/>
        </w:rPr>
      </w:pPr>
      <w:r>
        <w:rPr>
          <w:sz w:val="20"/>
          <w:szCs w:val="20"/>
        </w:rPr>
        <w:t>Net Profit Margin means that how a company converts their sales into a profit, generally expressed in percentage. It is the percentage of income remaining after all the costs, taxes, dividends and interest are paid and deducted from the overall revenue of the company.</w:t>
      </w:r>
    </w:p>
    <w:p w14:paraId="563A6E33" w14:textId="77777777" w:rsidR="00F2396B" w:rsidRDefault="00702746">
      <w:pPr>
        <w:jc w:val="both"/>
        <w:rPr>
          <w:sz w:val="20"/>
          <w:szCs w:val="20"/>
        </w:rPr>
      </w:pPr>
      <w:r>
        <w:rPr>
          <w:noProof/>
          <w:lang w:eastAsia="en-US"/>
        </w:rPr>
        <w:drawing>
          <wp:anchor distT="0" distB="0" distL="114300" distR="114300" simplePos="0" relativeHeight="251658240" behindDoc="0" locked="0" layoutInCell="0" hidden="0" allowOverlap="1" wp14:anchorId="6D684412" wp14:editId="54085F8C">
            <wp:simplePos x="0" y="0"/>
            <wp:positionH relativeFrom="margin">
              <wp:posOffset>3596005</wp:posOffset>
            </wp:positionH>
            <wp:positionV relativeFrom="paragraph">
              <wp:posOffset>119379</wp:posOffset>
            </wp:positionV>
            <wp:extent cx="2980055" cy="160020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980055" cy="1600200"/>
                    </a:xfrm>
                    <a:prstGeom prst="rect">
                      <a:avLst/>
                    </a:prstGeom>
                    <a:ln/>
                  </pic:spPr>
                </pic:pic>
              </a:graphicData>
            </a:graphic>
          </wp:anchor>
        </w:drawing>
      </w:r>
    </w:p>
    <w:tbl>
      <w:tblPr>
        <w:tblStyle w:val="a"/>
        <w:tblW w:w="4585" w:type="dxa"/>
        <w:tblInd w:w="736" w:type="dxa"/>
        <w:tblLayout w:type="fixed"/>
        <w:tblLook w:val="0400" w:firstRow="0" w:lastRow="0" w:firstColumn="0" w:lastColumn="0" w:noHBand="0" w:noVBand="1"/>
      </w:tblPr>
      <w:tblGrid>
        <w:gridCol w:w="1594"/>
        <w:gridCol w:w="801"/>
        <w:gridCol w:w="801"/>
        <w:gridCol w:w="693"/>
        <w:gridCol w:w="696"/>
      </w:tblGrid>
      <w:tr w:rsidR="00F2396B" w14:paraId="66F7D911" w14:textId="77777777">
        <w:trPr>
          <w:trHeight w:val="340"/>
        </w:trPr>
        <w:tc>
          <w:tcPr>
            <w:tcW w:w="4585"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14:paraId="1AA27F3C" w14:textId="77777777" w:rsidR="00F2396B" w:rsidRDefault="00702746">
            <w:pPr>
              <w:contextualSpacing w:val="0"/>
              <w:rPr>
                <w:rFonts w:ascii="Calibri" w:eastAsia="Calibri" w:hAnsi="Calibri" w:cs="Calibri"/>
                <w:b/>
                <w:sz w:val="20"/>
                <w:szCs w:val="20"/>
              </w:rPr>
            </w:pPr>
            <w:r>
              <w:rPr>
                <w:rFonts w:ascii="Calibri" w:eastAsia="Calibri" w:hAnsi="Calibri" w:cs="Calibri"/>
                <w:b/>
                <w:sz w:val="20"/>
                <w:szCs w:val="20"/>
              </w:rPr>
              <w:t>Net Profit Margin</w:t>
            </w:r>
          </w:p>
        </w:tc>
      </w:tr>
      <w:tr w:rsidR="00F2396B" w14:paraId="6C0DACF7" w14:textId="77777777">
        <w:trPr>
          <w:trHeight w:val="340"/>
        </w:trPr>
        <w:tc>
          <w:tcPr>
            <w:tcW w:w="1594" w:type="dxa"/>
            <w:tcBorders>
              <w:top w:val="nil"/>
              <w:left w:val="single" w:sz="8" w:space="0" w:color="000000"/>
              <w:bottom w:val="single" w:sz="8" w:space="0" w:color="000000"/>
              <w:right w:val="single" w:sz="4" w:space="0" w:color="000000"/>
            </w:tcBorders>
            <w:shd w:val="clear" w:color="auto" w:fill="FFFFFF"/>
            <w:vAlign w:val="center"/>
          </w:tcPr>
          <w:p w14:paraId="4D4F4AD3" w14:textId="77777777" w:rsidR="00F2396B" w:rsidRDefault="00702746">
            <w:pPr>
              <w:contextualSpacing w:val="0"/>
              <w:jc w:val="both"/>
              <w:rPr>
                <w:rFonts w:ascii="Calibri" w:eastAsia="Calibri" w:hAnsi="Calibri" w:cs="Calibri"/>
                <w:b/>
                <w:sz w:val="20"/>
                <w:szCs w:val="20"/>
              </w:rPr>
            </w:pPr>
            <w:r>
              <w:rPr>
                <w:rFonts w:ascii="Calibri" w:eastAsia="Calibri" w:hAnsi="Calibri" w:cs="Calibri"/>
                <w:b/>
                <w:sz w:val="20"/>
                <w:szCs w:val="20"/>
              </w:rPr>
              <w:t>Years</w:t>
            </w:r>
          </w:p>
        </w:tc>
        <w:tc>
          <w:tcPr>
            <w:tcW w:w="801" w:type="dxa"/>
            <w:tcBorders>
              <w:top w:val="nil"/>
              <w:left w:val="nil"/>
              <w:bottom w:val="single" w:sz="8" w:space="0" w:color="000000"/>
              <w:right w:val="single" w:sz="4" w:space="0" w:color="000000"/>
            </w:tcBorders>
            <w:shd w:val="clear" w:color="auto" w:fill="FFFFFF"/>
            <w:vAlign w:val="center"/>
          </w:tcPr>
          <w:p w14:paraId="75F65ED6" w14:textId="77777777" w:rsidR="00F2396B" w:rsidRDefault="00702746">
            <w:pPr>
              <w:contextualSpacing w:val="0"/>
              <w:jc w:val="both"/>
              <w:rPr>
                <w:rFonts w:ascii="Calibri" w:eastAsia="Calibri" w:hAnsi="Calibri" w:cs="Calibri"/>
                <w:b/>
                <w:sz w:val="20"/>
                <w:szCs w:val="20"/>
              </w:rPr>
            </w:pPr>
            <w:r>
              <w:rPr>
                <w:rFonts w:ascii="Calibri" w:eastAsia="Calibri" w:hAnsi="Calibri" w:cs="Calibri"/>
                <w:b/>
                <w:sz w:val="20"/>
                <w:szCs w:val="20"/>
              </w:rPr>
              <w:t>2013</w:t>
            </w:r>
          </w:p>
        </w:tc>
        <w:tc>
          <w:tcPr>
            <w:tcW w:w="801" w:type="dxa"/>
            <w:tcBorders>
              <w:top w:val="nil"/>
              <w:left w:val="nil"/>
              <w:bottom w:val="single" w:sz="8" w:space="0" w:color="000000"/>
              <w:right w:val="single" w:sz="4" w:space="0" w:color="000000"/>
            </w:tcBorders>
            <w:shd w:val="clear" w:color="auto" w:fill="FFFFFF"/>
            <w:vAlign w:val="center"/>
          </w:tcPr>
          <w:p w14:paraId="07A11DF3" w14:textId="77777777" w:rsidR="00F2396B" w:rsidRDefault="00702746">
            <w:pPr>
              <w:contextualSpacing w:val="0"/>
              <w:jc w:val="both"/>
              <w:rPr>
                <w:rFonts w:ascii="Calibri" w:eastAsia="Calibri" w:hAnsi="Calibri" w:cs="Calibri"/>
                <w:b/>
                <w:sz w:val="20"/>
                <w:szCs w:val="20"/>
              </w:rPr>
            </w:pPr>
            <w:r>
              <w:rPr>
                <w:rFonts w:ascii="Calibri" w:eastAsia="Calibri" w:hAnsi="Calibri" w:cs="Calibri"/>
                <w:b/>
                <w:sz w:val="20"/>
                <w:szCs w:val="20"/>
              </w:rPr>
              <w:t>2014</w:t>
            </w:r>
          </w:p>
        </w:tc>
        <w:tc>
          <w:tcPr>
            <w:tcW w:w="693" w:type="dxa"/>
            <w:tcBorders>
              <w:top w:val="nil"/>
              <w:left w:val="nil"/>
              <w:bottom w:val="single" w:sz="8" w:space="0" w:color="000000"/>
              <w:right w:val="single" w:sz="4" w:space="0" w:color="000000"/>
            </w:tcBorders>
            <w:shd w:val="clear" w:color="auto" w:fill="FFFFFF"/>
            <w:vAlign w:val="center"/>
          </w:tcPr>
          <w:p w14:paraId="4B069D76" w14:textId="77777777" w:rsidR="00F2396B" w:rsidRDefault="00702746">
            <w:pPr>
              <w:contextualSpacing w:val="0"/>
              <w:jc w:val="both"/>
              <w:rPr>
                <w:rFonts w:ascii="Calibri" w:eastAsia="Calibri" w:hAnsi="Calibri" w:cs="Calibri"/>
                <w:b/>
                <w:sz w:val="20"/>
                <w:szCs w:val="20"/>
              </w:rPr>
            </w:pPr>
            <w:r>
              <w:rPr>
                <w:rFonts w:ascii="Calibri" w:eastAsia="Calibri" w:hAnsi="Calibri" w:cs="Calibri"/>
                <w:b/>
                <w:sz w:val="20"/>
                <w:szCs w:val="20"/>
              </w:rPr>
              <w:t>2015</w:t>
            </w:r>
          </w:p>
        </w:tc>
        <w:tc>
          <w:tcPr>
            <w:tcW w:w="696" w:type="dxa"/>
            <w:tcBorders>
              <w:top w:val="nil"/>
              <w:left w:val="nil"/>
              <w:bottom w:val="single" w:sz="8" w:space="0" w:color="000000"/>
              <w:right w:val="single" w:sz="8" w:space="0" w:color="000000"/>
            </w:tcBorders>
            <w:shd w:val="clear" w:color="auto" w:fill="FFFFFF"/>
            <w:vAlign w:val="center"/>
          </w:tcPr>
          <w:p w14:paraId="57D39BD2" w14:textId="77777777" w:rsidR="00F2396B" w:rsidRDefault="00702746">
            <w:pPr>
              <w:contextualSpacing w:val="0"/>
              <w:jc w:val="both"/>
              <w:rPr>
                <w:rFonts w:ascii="Calibri" w:eastAsia="Calibri" w:hAnsi="Calibri" w:cs="Calibri"/>
                <w:b/>
                <w:sz w:val="20"/>
                <w:szCs w:val="20"/>
              </w:rPr>
            </w:pPr>
            <w:r>
              <w:rPr>
                <w:rFonts w:ascii="Calibri" w:eastAsia="Calibri" w:hAnsi="Calibri" w:cs="Calibri"/>
                <w:b/>
                <w:sz w:val="20"/>
                <w:szCs w:val="20"/>
              </w:rPr>
              <w:t>2016</w:t>
            </w:r>
          </w:p>
        </w:tc>
      </w:tr>
      <w:tr w:rsidR="00F2396B" w14:paraId="45090CBE" w14:textId="77777777">
        <w:trPr>
          <w:trHeight w:val="320"/>
        </w:trPr>
        <w:tc>
          <w:tcPr>
            <w:tcW w:w="1594" w:type="dxa"/>
            <w:tcBorders>
              <w:top w:val="nil"/>
              <w:left w:val="single" w:sz="8" w:space="0" w:color="000000"/>
              <w:bottom w:val="single" w:sz="4" w:space="0" w:color="000000"/>
              <w:right w:val="single" w:sz="4" w:space="0" w:color="000000"/>
            </w:tcBorders>
            <w:shd w:val="clear" w:color="auto" w:fill="FFFFFF"/>
            <w:vAlign w:val="center"/>
          </w:tcPr>
          <w:p w14:paraId="63B16C3A" w14:textId="77777777" w:rsidR="00F2396B" w:rsidRDefault="00702746">
            <w:pPr>
              <w:contextualSpacing w:val="0"/>
              <w:jc w:val="both"/>
              <w:rPr>
                <w:rFonts w:ascii="Calibri" w:eastAsia="Calibri" w:hAnsi="Calibri" w:cs="Calibri"/>
                <w:b/>
                <w:sz w:val="20"/>
                <w:szCs w:val="20"/>
              </w:rPr>
            </w:pPr>
            <w:r>
              <w:rPr>
                <w:rFonts w:ascii="Calibri" w:eastAsia="Calibri" w:hAnsi="Calibri" w:cs="Calibri"/>
                <w:b/>
                <w:sz w:val="20"/>
                <w:szCs w:val="20"/>
              </w:rPr>
              <w:t>AEO</w:t>
            </w:r>
          </w:p>
        </w:tc>
        <w:tc>
          <w:tcPr>
            <w:tcW w:w="801" w:type="dxa"/>
            <w:tcBorders>
              <w:top w:val="nil"/>
              <w:left w:val="nil"/>
              <w:bottom w:val="single" w:sz="4" w:space="0" w:color="000000"/>
              <w:right w:val="single" w:sz="4" w:space="0" w:color="000000"/>
            </w:tcBorders>
            <w:shd w:val="clear" w:color="auto" w:fill="FFFFFF"/>
            <w:vAlign w:val="center"/>
          </w:tcPr>
          <w:p w14:paraId="2891C783" w14:textId="77777777" w:rsidR="00F2396B" w:rsidRDefault="00702746">
            <w:pPr>
              <w:contextualSpacing w:val="0"/>
              <w:jc w:val="both"/>
              <w:rPr>
                <w:rFonts w:ascii="Calibri" w:eastAsia="Calibri" w:hAnsi="Calibri" w:cs="Calibri"/>
                <w:sz w:val="20"/>
                <w:szCs w:val="20"/>
              </w:rPr>
            </w:pPr>
            <w:r>
              <w:rPr>
                <w:rFonts w:ascii="Calibri" w:eastAsia="Calibri" w:hAnsi="Calibri" w:cs="Calibri"/>
                <w:sz w:val="20"/>
                <w:szCs w:val="20"/>
              </w:rPr>
              <w:t>7.6%</w:t>
            </w:r>
          </w:p>
        </w:tc>
        <w:tc>
          <w:tcPr>
            <w:tcW w:w="801" w:type="dxa"/>
            <w:tcBorders>
              <w:top w:val="nil"/>
              <w:left w:val="nil"/>
              <w:bottom w:val="single" w:sz="4" w:space="0" w:color="000000"/>
              <w:right w:val="single" w:sz="4" w:space="0" w:color="000000"/>
            </w:tcBorders>
            <w:shd w:val="clear" w:color="auto" w:fill="FFFFFF"/>
            <w:vAlign w:val="center"/>
          </w:tcPr>
          <w:p w14:paraId="7B9FA947" w14:textId="77777777" w:rsidR="00F2396B" w:rsidRDefault="00702746">
            <w:pPr>
              <w:contextualSpacing w:val="0"/>
              <w:jc w:val="both"/>
              <w:rPr>
                <w:rFonts w:ascii="Calibri" w:eastAsia="Calibri" w:hAnsi="Calibri" w:cs="Calibri"/>
                <w:sz w:val="20"/>
                <w:szCs w:val="20"/>
              </w:rPr>
            </w:pPr>
            <w:r>
              <w:rPr>
                <w:rFonts w:ascii="Calibri" w:eastAsia="Calibri" w:hAnsi="Calibri" w:cs="Calibri"/>
                <w:sz w:val="20"/>
                <w:szCs w:val="20"/>
              </w:rPr>
              <w:t>2.5%</w:t>
            </w:r>
          </w:p>
        </w:tc>
        <w:tc>
          <w:tcPr>
            <w:tcW w:w="693" w:type="dxa"/>
            <w:tcBorders>
              <w:top w:val="nil"/>
              <w:left w:val="nil"/>
              <w:bottom w:val="single" w:sz="4" w:space="0" w:color="000000"/>
              <w:right w:val="single" w:sz="4" w:space="0" w:color="000000"/>
            </w:tcBorders>
            <w:shd w:val="clear" w:color="auto" w:fill="FFFFFF"/>
            <w:vAlign w:val="center"/>
          </w:tcPr>
          <w:p w14:paraId="372E0DF1" w14:textId="77777777" w:rsidR="00F2396B" w:rsidRDefault="00702746">
            <w:pPr>
              <w:contextualSpacing w:val="0"/>
              <w:jc w:val="both"/>
              <w:rPr>
                <w:rFonts w:ascii="Calibri" w:eastAsia="Calibri" w:hAnsi="Calibri" w:cs="Calibri"/>
                <w:sz w:val="20"/>
                <w:szCs w:val="20"/>
              </w:rPr>
            </w:pPr>
            <w:r>
              <w:rPr>
                <w:rFonts w:ascii="Calibri" w:eastAsia="Calibri" w:hAnsi="Calibri" w:cs="Calibri"/>
                <w:sz w:val="20"/>
                <w:szCs w:val="20"/>
              </w:rPr>
              <w:t>2.7%</w:t>
            </w:r>
          </w:p>
        </w:tc>
        <w:tc>
          <w:tcPr>
            <w:tcW w:w="696" w:type="dxa"/>
            <w:tcBorders>
              <w:top w:val="nil"/>
              <w:left w:val="nil"/>
              <w:bottom w:val="single" w:sz="4" w:space="0" w:color="000000"/>
              <w:right w:val="single" w:sz="8" w:space="0" w:color="000000"/>
            </w:tcBorders>
            <w:shd w:val="clear" w:color="auto" w:fill="FFFFFF"/>
            <w:vAlign w:val="center"/>
          </w:tcPr>
          <w:p w14:paraId="7CD9A7D8" w14:textId="77777777" w:rsidR="00F2396B" w:rsidRDefault="00702746">
            <w:pPr>
              <w:contextualSpacing w:val="0"/>
              <w:jc w:val="both"/>
              <w:rPr>
                <w:rFonts w:ascii="Calibri" w:eastAsia="Calibri" w:hAnsi="Calibri" w:cs="Calibri"/>
                <w:sz w:val="20"/>
                <w:szCs w:val="20"/>
              </w:rPr>
            </w:pPr>
            <w:r>
              <w:rPr>
                <w:rFonts w:ascii="Calibri" w:eastAsia="Calibri" w:hAnsi="Calibri" w:cs="Calibri"/>
                <w:sz w:val="20"/>
                <w:szCs w:val="20"/>
              </w:rPr>
              <w:t>6.1%</w:t>
            </w:r>
          </w:p>
        </w:tc>
      </w:tr>
      <w:tr w:rsidR="00F2396B" w14:paraId="7C85EA43" w14:textId="77777777">
        <w:trPr>
          <w:trHeight w:val="340"/>
        </w:trPr>
        <w:tc>
          <w:tcPr>
            <w:tcW w:w="1594" w:type="dxa"/>
            <w:tcBorders>
              <w:top w:val="nil"/>
              <w:left w:val="single" w:sz="8" w:space="0" w:color="000000"/>
              <w:bottom w:val="single" w:sz="4" w:space="0" w:color="000000"/>
              <w:right w:val="single" w:sz="4" w:space="0" w:color="000000"/>
            </w:tcBorders>
            <w:shd w:val="clear" w:color="auto" w:fill="FFFFFF"/>
            <w:vAlign w:val="center"/>
          </w:tcPr>
          <w:p w14:paraId="073AB7DC" w14:textId="77777777" w:rsidR="00F2396B" w:rsidRDefault="00702746">
            <w:pPr>
              <w:contextualSpacing w:val="0"/>
              <w:jc w:val="both"/>
              <w:rPr>
                <w:rFonts w:ascii="Calibri" w:eastAsia="Calibri" w:hAnsi="Calibri" w:cs="Calibri"/>
                <w:b/>
                <w:sz w:val="20"/>
                <w:szCs w:val="20"/>
              </w:rPr>
            </w:pPr>
            <w:r>
              <w:rPr>
                <w:rFonts w:ascii="Calibri" w:eastAsia="Calibri" w:hAnsi="Calibri" w:cs="Calibri"/>
                <w:b/>
                <w:sz w:val="20"/>
                <w:szCs w:val="20"/>
              </w:rPr>
              <w:t>GAP</w:t>
            </w:r>
          </w:p>
        </w:tc>
        <w:tc>
          <w:tcPr>
            <w:tcW w:w="801" w:type="dxa"/>
            <w:tcBorders>
              <w:top w:val="nil"/>
              <w:left w:val="nil"/>
              <w:bottom w:val="single" w:sz="4" w:space="0" w:color="000000"/>
              <w:right w:val="single" w:sz="4" w:space="0" w:color="000000"/>
            </w:tcBorders>
            <w:shd w:val="clear" w:color="auto" w:fill="FFFFFF"/>
            <w:vAlign w:val="center"/>
          </w:tcPr>
          <w:p w14:paraId="72AC166F" w14:textId="77777777" w:rsidR="00F2396B" w:rsidRDefault="00702746">
            <w:pPr>
              <w:contextualSpacing w:val="0"/>
              <w:jc w:val="both"/>
              <w:rPr>
                <w:rFonts w:ascii="Calibri" w:eastAsia="Calibri" w:hAnsi="Calibri" w:cs="Calibri"/>
                <w:sz w:val="20"/>
                <w:szCs w:val="20"/>
              </w:rPr>
            </w:pPr>
            <w:r>
              <w:rPr>
                <w:rFonts w:ascii="Calibri" w:eastAsia="Calibri" w:hAnsi="Calibri" w:cs="Calibri"/>
                <w:sz w:val="20"/>
                <w:szCs w:val="20"/>
              </w:rPr>
              <w:t>7.3%</w:t>
            </w:r>
          </w:p>
        </w:tc>
        <w:tc>
          <w:tcPr>
            <w:tcW w:w="801" w:type="dxa"/>
            <w:tcBorders>
              <w:top w:val="nil"/>
              <w:left w:val="nil"/>
              <w:bottom w:val="single" w:sz="4" w:space="0" w:color="000000"/>
              <w:right w:val="single" w:sz="4" w:space="0" w:color="000000"/>
            </w:tcBorders>
            <w:shd w:val="clear" w:color="auto" w:fill="FFFFFF"/>
            <w:vAlign w:val="center"/>
          </w:tcPr>
          <w:p w14:paraId="4EE5A446" w14:textId="77777777" w:rsidR="00F2396B" w:rsidRDefault="00702746">
            <w:pPr>
              <w:contextualSpacing w:val="0"/>
              <w:jc w:val="both"/>
              <w:rPr>
                <w:rFonts w:ascii="Calibri" w:eastAsia="Calibri" w:hAnsi="Calibri" w:cs="Calibri"/>
                <w:sz w:val="20"/>
                <w:szCs w:val="20"/>
              </w:rPr>
            </w:pPr>
            <w:r>
              <w:rPr>
                <w:rFonts w:ascii="Calibri" w:eastAsia="Calibri" w:hAnsi="Calibri" w:cs="Calibri"/>
                <w:sz w:val="20"/>
                <w:szCs w:val="20"/>
              </w:rPr>
              <w:t>7.9%</w:t>
            </w:r>
          </w:p>
        </w:tc>
        <w:tc>
          <w:tcPr>
            <w:tcW w:w="693" w:type="dxa"/>
            <w:tcBorders>
              <w:top w:val="nil"/>
              <w:left w:val="nil"/>
              <w:bottom w:val="single" w:sz="4" w:space="0" w:color="000000"/>
              <w:right w:val="single" w:sz="4" w:space="0" w:color="000000"/>
            </w:tcBorders>
            <w:shd w:val="clear" w:color="auto" w:fill="FFFFFF"/>
            <w:vAlign w:val="center"/>
          </w:tcPr>
          <w:p w14:paraId="5ADBE652" w14:textId="77777777" w:rsidR="00F2396B" w:rsidRDefault="00702746">
            <w:pPr>
              <w:contextualSpacing w:val="0"/>
              <w:jc w:val="both"/>
              <w:rPr>
                <w:rFonts w:ascii="Calibri" w:eastAsia="Calibri" w:hAnsi="Calibri" w:cs="Calibri"/>
                <w:sz w:val="20"/>
                <w:szCs w:val="20"/>
              </w:rPr>
            </w:pPr>
            <w:r>
              <w:rPr>
                <w:rFonts w:ascii="Calibri" w:eastAsia="Calibri" w:hAnsi="Calibri" w:cs="Calibri"/>
                <w:sz w:val="20"/>
                <w:szCs w:val="20"/>
              </w:rPr>
              <w:t>7.7%</w:t>
            </w:r>
          </w:p>
        </w:tc>
        <w:tc>
          <w:tcPr>
            <w:tcW w:w="696" w:type="dxa"/>
            <w:tcBorders>
              <w:top w:val="nil"/>
              <w:left w:val="nil"/>
              <w:bottom w:val="single" w:sz="4" w:space="0" w:color="000000"/>
              <w:right w:val="single" w:sz="8" w:space="0" w:color="000000"/>
            </w:tcBorders>
            <w:shd w:val="clear" w:color="auto" w:fill="FFFFFF"/>
            <w:vAlign w:val="center"/>
          </w:tcPr>
          <w:p w14:paraId="411FD046" w14:textId="77777777" w:rsidR="00F2396B" w:rsidRDefault="00702746">
            <w:pPr>
              <w:contextualSpacing w:val="0"/>
              <w:jc w:val="both"/>
              <w:rPr>
                <w:rFonts w:ascii="Calibri" w:eastAsia="Calibri" w:hAnsi="Calibri" w:cs="Calibri"/>
                <w:sz w:val="20"/>
                <w:szCs w:val="20"/>
              </w:rPr>
            </w:pPr>
            <w:r>
              <w:rPr>
                <w:rFonts w:ascii="Calibri" w:eastAsia="Calibri" w:hAnsi="Calibri" w:cs="Calibri"/>
                <w:sz w:val="20"/>
                <w:szCs w:val="20"/>
              </w:rPr>
              <w:t>5.8%</w:t>
            </w:r>
          </w:p>
        </w:tc>
      </w:tr>
      <w:tr w:rsidR="00F2396B" w14:paraId="0C2762E7" w14:textId="77777777">
        <w:trPr>
          <w:trHeight w:val="340"/>
        </w:trPr>
        <w:tc>
          <w:tcPr>
            <w:tcW w:w="1594" w:type="dxa"/>
            <w:tcBorders>
              <w:top w:val="nil"/>
              <w:left w:val="single" w:sz="8" w:space="0" w:color="000000"/>
              <w:bottom w:val="single" w:sz="4" w:space="0" w:color="000000"/>
              <w:right w:val="single" w:sz="4" w:space="0" w:color="000000"/>
            </w:tcBorders>
            <w:shd w:val="clear" w:color="auto" w:fill="FFFFFF"/>
            <w:vAlign w:val="center"/>
          </w:tcPr>
          <w:p w14:paraId="38790E91" w14:textId="77777777" w:rsidR="00F2396B" w:rsidRDefault="00702746">
            <w:pPr>
              <w:contextualSpacing w:val="0"/>
              <w:jc w:val="both"/>
              <w:rPr>
                <w:rFonts w:ascii="Calibri" w:eastAsia="Calibri" w:hAnsi="Calibri" w:cs="Calibri"/>
                <w:b/>
                <w:sz w:val="20"/>
                <w:szCs w:val="20"/>
              </w:rPr>
            </w:pPr>
            <w:r>
              <w:rPr>
                <w:rFonts w:ascii="Calibri" w:eastAsia="Calibri" w:hAnsi="Calibri" w:cs="Calibri"/>
                <w:b/>
                <w:sz w:val="20"/>
                <w:szCs w:val="20"/>
              </w:rPr>
              <w:t>Ralph Lauren</w:t>
            </w:r>
          </w:p>
        </w:tc>
        <w:tc>
          <w:tcPr>
            <w:tcW w:w="801" w:type="dxa"/>
            <w:tcBorders>
              <w:top w:val="nil"/>
              <w:left w:val="nil"/>
              <w:bottom w:val="single" w:sz="4" w:space="0" w:color="000000"/>
              <w:right w:val="single" w:sz="4" w:space="0" w:color="000000"/>
            </w:tcBorders>
            <w:shd w:val="clear" w:color="auto" w:fill="FFFFFF"/>
            <w:vAlign w:val="center"/>
          </w:tcPr>
          <w:p w14:paraId="17309ED4" w14:textId="77777777" w:rsidR="00F2396B" w:rsidRDefault="00702746">
            <w:pPr>
              <w:contextualSpacing w:val="0"/>
              <w:jc w:val="both"/>
              <w:rPr>
                <w:rFonts w:ascii="Calibri" w:eastAsia="Calibri" w:hAnsi="Calibri" w:cs="Calibri"/>
                <w:sz w:val="20"/>
                <w:szCs w:val="20"/>
              </w:rPr>
            </w:pPr>
            <w:r>
              <w:rPr>
                <w:rFonts w:ascii="Calibri" w:eastAsia="Calibri" w:hAnsi="Calibri" w:cs="Calibri"/>
                <w:sz w:val="20"/>
                <w:szCs w:val="20"/>
              </w:rPr>
              <w:t>10.8%</w:t>
            </w:r>
          </w:p>
        </w:tc>
        <w:tc>
          <w:tcPr>
            <w:tcW w:w="801" w:type="dxa"/>
            <w:tcBorders>
              <w:top w:val="nil"/>
              <w:left w:val="nil"/>
              <w:bottom w:val="single" w:sz="4" w:space="0" w:color="000000"/>
              <w:right w:val="single" w:sz="4" w:space="0" w:color="000000"/>
            </w:tcBorders>
            <w:shd w:val="clear" w:color="auto" w:fill="FFFFFF"/>
            <w:vAlign w:val="center"/>
          </w:tcPr>
          <w:p w14:paraId="3F49EFCD" w14:textId="77777777" w:rsidR="00F2396B" w:rsidRDefault="00702746">
            <w:pPr>
              <w:contextualSpacing w:val="0"/>
              <w:jc w:val="both"/>
              <w:rPr>
                <w:rFonts w:ascii="Calibri" w:eastAsia="Calibri" w:hAnsi="Calibri" w:cs="Calibri"/>
                <w:sz w:val="20"/>
                <w:szCs w:val="20"/>
              </w:rPr>
            </w:pPr>
            <w:r>
              <w:rPr>
                <w:rFonts w:ascii="Calibri" w:eastAsia="Calibri" w:hAnsi="Calibri" w:cs="Calibri"/>
                <w:sz w:val="20"/>
                <w:szCs w:val="20"/>
              </w:rPr>
              <w:t>10.4%</w:t>
            </w:r>
          </w:p>
        </w:tc>
        <w:tc>
          <w:tcPr>
            <w:tcW w:w="693" w:type="dxa"/>
            <w:tcBorders>
              <w:top w:val="nil"/>
              <w:left w:val="nil"/>
              <w:bottom w:val="single" w:sz="4" w:space="0" w:color="000000"/>
              <w:right w:val="single" w:sz="4" w:space="0" w:color="000000"/>
            </w:tcBorders>
            <w:shd w:val="clear" w:color="auto" w:fill="FFFFFF"/>
            <w:vAlign w:val="center"/>
          </w:tcPr>
          <w:p w14:paraId="12815B93" w14:textId="77777777" w:rsidR="00F2396B" w:rsidRDefault="00702746">
            <w:pPr>
              <w:contextualSpacing w:val="0"/>
              <w:jc w:val="both"/>
              <w:rPr>
                <w:rFonts w:ascii="Calibri" w:eastAsia="Calibri" w:hAnsi="Calibri" w:cs="Calibri"/>
                <w:sz w:val="20"/>
                <w:szCs w:val="20"/>
              </w:rPr>
            </w:pPr>
            <w:r>
              <w:rPr>
                <w:rFonts w:ascii="Calibri" w:eastAsia="Calibri" w:hAnsi="Calibri" w:cs="Calibri"/>
                <w:sz w:val="20"/>
                <w:szCs w:val="20"/>
              </w:rPr>
              <w:t>9.2%</w:t>
            </w:r>
          </w:p>
        </w:tc>
        <w:tc>
          <w:tcPr>
            <w:tcW w:w="696" w:type="dxa"/>
            <w:tcBorders>
              <w:top w:val="nil"/>
              <w:left w:val="nil"/>
              <w:bottom w:val="single" w:sz="4" w:space="0" w:color="000000"/>
              <w:right w:val="single" w:sz="8" w:space="0" w:color="000000"/>
            </w:tcBorders>
            <w:shd w:val="clear" w:color="auto" w:fill="FFFFFF"/>
            <w:vAlign w:val="center"/>
          </w:tcPr>
          <w:p w14:paraId="07A2D08D" w14:textId="77777777" w:rsidR="00F2396B" w:rsidRDefault="00702746">
            <w:pPr>
              <w:contextualSpacing w:val="0"/>
              <w:jc w:val="both"/>
              <w:rPr>
                <w:rFonts w:ascii="Calibri" w:eastAsia="Calibri" w:hAnsi="Calibri" w:cs="Calibri"/>
                <w:sz w:val="20"/>
                <w:szCs w:val="20"/>
              </w:rPr>
            </w:pPr>
            <w:r>
              <w:rPr>
                <w:rFonts w:ascii="Calibri" w:eastAsia="Calibri" w:hAnsi="Calibri" w:cs="Calibri"/>
                <w:sz w:val="20"/>
                <w:szCs w:val="20"/>
              </w:rPr>
              <w:t>5.3%</w:t>
            </w:r>
          </w:p>
        </w:tc>
      </w:tr>
      <w:tr w:rsidR="00F2396B" w14:paraId="488D29F7" w14:textId="77777777">
        <w:trPr>
          <w:trHeight w:val="380"/>
        </w:trPr>
        <w:tc>
          <w:tcPr>
            <w:tcW w:w="1594" w:type="dxa"/>
            <w:tcBorders>
              <w:top w:val="nil"/>
              <w:left w:val="single" w:sz="8" w:space="0" w:color="000000"/>
              <w:bottom w:val="single" w:sz="4" w:space="0" w:color="000000"/>
              <w:right w:val="single" w:sz="4" w:space="0" w:color="000000"/>
            </w:tcBorders>
            <w:shd w:val="clear" w:color="auto" w:fill="FFFFFF"/>
            <w:vAlign w:val="center"/>
          </w:tcPr>
          <w:p w14:paraId="5E09FBCD" w14:textId="77777777" w:rsidR="00F2396B" w:rsidRDefault="00702746">
            <w:pPr>
              <w:contextualSpacing w:val="0"/>
              <w:jc w:val="both"/>
              <w:rPr>
                <w:rFonts w:ascii="Calibri" w:eastAsia="Calibri" w:hAnsi="Calibri" w:cs="Calibri"/>
                <w:b/>
                <w:sz w:val="20"/>
                <w:szCs w:val="20"/>
              </w:rPr>
            </w:pPr>
            <w:r>
              <w:rPr>
                <w:rFonts w:ascii="Calibri" w:eastAsia="Calibri" w:hAnsi="Calibri" w:cs="Calibri"/>
                <w:b/>
                <w:sz w:val="20"/>
                <w:szCs w:val="20"/>
              </w:rPr>
              <w:t xml:space="preserve">Under </w:t>
            </w:r>
            <w:proofErr w:type="spellStart"/>
            <w:r>
              <w:rPr>
                <w:rFonts w:ascii="Calibri" w:eastAsia="Calibri" w:hAnsi="Calibri" w:cs="Calibri"/>
                <w:b/>
                <w:sz w:val="20"/>
                <w:szCs w:val="20"/>
              </w:rPr>
              <w:t>Armour</w:t>
            </w:r>
            <w:proofErr w:type="spellEnd"/>
          </w:p>
        </w:tc>
        <w:tc>
          <w:tcPr>
            <w:tcW w:w="801" w:type="dxa"/>
            <w:tcBorders>
              <w:top w:val="nil"/>
              <w:left w:val="nil"/>
              <w:bottom w:val="single" w:sz="4" w:space="0" w:color="000000"/>
              <w:right w:val="single" w:sz="4" w:space="0" w:color="000000"/>
            </w:tcBorders>
            <w:shd w:val="clear" w:color="auto" w:fill="FFFFFF"/>
            <w:vAlign w:val="center"/>
          </w:tcPr>
          <w:p w14:paraId="400DD70B" w14:textId="77777777" w:rsidR="00F2396B" w:rsidRDefault="00702746">
            <w:pPr>
              <w:contextualSpacing w:val="0"/>
              <w:jc w:val="both"/>
              <w:rPr>
                <w:rFonts w:ascii="Calibri" w:eastAsia="Calibri" w:hAnsi="Calibri" w:cs="Calibri"/>
                <w:sz w:val="20"/>
                <w:szCs w:val="20"/>
              </w:rPr>
            </w:pPr>
            <w:r>
              <w:rPr>
                <w:rFonts w:ascii="Calibri" w:eastAsia="Calibri" w:hAnsi="Calibri" w:cs="Calibri"/>
                <w:sz w:val="20"/>
                <w:szCs w:val="20"/>
              </w:rPr>
              <w:t>7.0%</w:t>
            </w:r>
          </w:p>
        </w:tc>
        <w:tc>
          <w:tcPr>
            <w:tcW w:w="801" w:type="dxa"/>
            <w:tcBorders>
              <w:top w:val="nil"/>
              <w:left w:val="nil"/>
              <w:bottom w:val="single" w:sz="4" w:space="0" w:color="000000"/>
              <w:right w:val="single" w:sz="4" w:space="0" w:color="000000"/>
            </w:tcBorders>
            <w:shd w:val="clear" w:color="auto" w:fill="FFFFFF"/>
            <w:vAlign w:val="center"/>
          </w:tcPr>
          <w:p w14:paraId="6DFF863A" w14:textId="77777777" w:rsidR="00F2396B" w:rsidRDefault="00702746">
            <w:pPr>
              <w:contextualSpacing w:val="0"/>
              <w:jc w:val="both"/>
              <w:rPr>
                <w:rFonts w:ascii="Calibri" w:eastAsia="Calibri" w:hAnsi="Calibri" w:cs="Calibri"/>
                <w:sz w:val="20"/>
                <w:szCs w:val="20"/>
              </w:rPr>
            </w:pPr>
            <w:r>
              <w:rPr>
                <w:rFonts w:ascii="Calibri" w:eastAsia="Calibri" w:hAnsi="Calibri" w:cs="Calibri"/>
                <w:sz w:val="20"/>
                <w:szCs w:val="20"/>
              </w:rPr>
              <w:t>6.8%</w:t>
            </w:r>
          </w:p>
        </w:tc>
        <w:tc>
          <w:tcPr>
            <w:tcW w:w="693" w:type="dxa"/>
            <w:tcBorders>
              <w:top w:val="nil"/>
              <w:left w:val="nil"/>
              <w:bottom w:val="single" w:sz="4" w:space="0" w:color="000000"/>
              <w:right w:val="single" w:sz="4" w:space="0" w:color="000000"/>
            </w:tcBorders>
            <w:shd w:val="clear" w:color="auto" w:fill="FFFFFF"/>
            <w:vAlign w:val="center"/>
          </w:tcPr>
          <w:p w14:paraId="7ECD58FA" w14:textId="77777777" w:rsidR="00F2396B" w:rsidRDefault="00702746">
            <w:pPr>
              <w:contextualSpacing w:val="0"/>
              <w:jc w:val="both"/>
              <w:rPr>
                <w:rFonts w:ascii="Calibri" w:eastAsia="Calibri" w:hAnsi="Calibri" w:cs="Calibri"/>
                <w:sz w:val="20"/>
                <w:szCs w:val="20"/>
              </w:rPr>
            </w:pPr>
            <w:r>
              <w:rPr>
                <w:rFonts w:ascii="Calibri" w:eastAsia="Calibri" w:hAnsi="Calibri" w:cs="Calibri"/>
                <w:sz w:val="20"/>
                <w:szCs w:val="20"/>
              </w:rPr>
              <w:t>5.9%</w:t>
            </w:r>
          </w:p>
        </w:tc>
        <w:tc>
          <w:tcPr>
            <w:tcW w:w="696" w:type="dxa"/>
            <w:tcBorders>
              <w:top w:val="nil"/>
              <w:left w:val="nil"/>
              <w:bottom w:val="single" w:sz="4" w:space="0" w:color="000000"/>
              <w:right w:val="single" w:sz="8" w:space="0" w:color="000000"/>
            </w:tcBorders>
            <w:shd w:val="clear" w:color="auto" w:fill="FFFFFF"/>
            <w:vAlign w:val="center"/>
          </w:tcPr>
          <w:p w14:paraId="26DB5D0B" w14:textId="77777777" w:rsidR="00F2396B" w:rsidRDefault="00702746">
            <w:pPr>
              <w:contextualSpacing w:val="0"/>
              <w:jc w:val="both"/>
              <w:rPr>
                <w:rFonts w:ascii="Calibri" w:eastAsia="Calibri" w:hAnsi="Calibri" w:cs="Calibri"/>
                <w:sz w:val="20"/>
                <w:szCs w:val="20"/>
              </w:rPr>
            </w:pPr>
            <w:r>
              <w:rPr>
                <w:rFonts w:ascii="Calibri" w:eastAsia="Calibri" w:hAnsi="Calibri" w:cs="Calibri"/>
                <w:sz w:val="20"/>
                <w:szCs w:val="20"/>
              </w:rPr>
              <w:t>4.1%</w:t>
            </w:r>
          </w:p>
        </w:tc>
      </w:tr>
      <w:tr w:rsidR="00F2396B" w14:paraId="5695C582" w14:textId="77777777">
        <w:trPr>
          <w:trHeight w:val="300"/>
        </w:trPr>
        <w:tc>
          <w:tcPr>
            <w:tcW w:w="1594" w:type="dxa"/>
            <w:tcBorders>
              <w:top w:val="nil"/>
              <w:left w:val="single" w:sz="8" w:space="0" w:color="000000"/>
              <w:bottom w:val="single" w:sz="8" w:space="0" w:color="000000"/>
              <w:right w:val="single" w:sz="4" w:space="0" w:color="000000"/>
            </w:tcBorders>
            <w:shd w:val="clear" w:color="auto" w:fill="FFFFFF"/>
            <w:vAlign w:val="center"/>
          </w:tcPr>
          <w:p w14:paraId="6A8FC0B2" w14:textId="77777777" w:rsidR="00F2396B" w:rsidRDefault="00702746">
            <w:pPr>
              <w:contextualSpacing w:val="0"/>
              <w:jc w:val="both"/>
              <w:rPr>
                <w:rFonts w:ascii="Calibri" w:eastAsia="Calibri" w:hAnsi="Calibri" w:cs="Calibri"/>
                <w:b/>
                <w:sz w:val="20"/>
                <w:szCs w:val="20"/>
              </w:rPr>
            </w:pPr>
            <w:r>
              <w:rPr>
                <w:rFonts w:ascii="Calibri" w:eastAsia="Calibri" w:hAnsi="Calibri" w:cs="Calibri"/>
                <w:b/>
                <w:sz w:val="20"/>
                <w:szCs w:val="20"/>
              </w:rPr>
              <w:t>PVH</w:t>
            </w:r>
          </w:p>
        </w:tc>
        <w:tc>
          <w:tcPr>
            <w:tcW w:w="801" w:type="dxa"/>
            <w:tcBorders>
              <w:top w:val="nil"/>
              <w:left w:val="nil"/>
              <w:bottom w:val="single" w:sz="8" w:space="0" w:color="000000"/>
              <w:right w:val="single" w:sz="4" w:space="0" w:color="000000"/>
            </w:tcBorders>
            <w:shd w:val="clear" w:color="auto" w:fill="FFFFFF"/>
            <w:vAlign w:val="center"/>
          </w:tcPr>
          <w:p w14:paraId="27E04FF2" w14:textId="77777777" w:rsidR="00F2396B" w:rsidRDefault="00702746">
            <w:pPr>
              <w:contextualSpacing w:val="0"/>
              <w:jc w:val="both"/>
              <w:rPr>
                <w:rFonts w:ascii="Calibri" w:eastAsia="Calibri" w:hAnsi="Calibri" w:cs="Calibri"/>
                <w:sz w:val="20"/>
                <w:szCs w:val="20"/>
              </w:rPr>
            </w:pPr>
            <w:r>
              <w:rPr>
                <w:rFonts w:ascii="Calibri" w:eastAsia="Calibri" w:hAnsi="Calibri" w:cs="Calibri"/>
                <w:sz w:val="20"/>
                <w:szCs w:val="20"/>
              </w:rPr>
              <w:t>7.2%</w:t>
            </w:r>
          </w:p>
        </w:tc>
        <w:tc>
          <w:tcPr>
            <w:tcW w:w="801" w:type="dxa"/>
            <w:tcBorders>
              <w:top w:val="nil"/>
              <w:left w:val="nil"/>
              <w:bottom w:val="single" w:sz="8" w:space="0" w:color="000000"/>
              <w:right w:val="single" w:sz="4" w:space="0" w:color="000000"/>
            </w:tcBorders>
            <w:shd w:val="clear" w:color="auto" w:fill="FFFFFF"/>
            <w:vAlign w:val="center"/>
          </w:tcPr>
          <w:p w14:paraId="6367C43D" w14:textId="77777777" w:rsidR="00F2396B" w:rsidRDefault="00702746">
            <w:pPr>
              <w:contextualSpacing w:val="0"/>
              <w:jc w:val="both"/>
              <w:rPr>
                <w:rFonts w:ascii="Calibri" w:eastAsia="Calibri" w:hAnsi="Calibri" w:cs="Calibri"/>
                <w:sz w:val="20"/>
                <w:szCs w:val="20"/>
              </w:rPr>
            </w:pPr>
            <w:r>
              <w:rPr>
                <w:rFonts w:ascii="Calibri" w:eastAsia="Calibri" w:hAnsi="Calibri" w:cs="Calibri"/>
                <w:sz w:val="20"/>
                <w:szCs w:val="20"/>
              </w:rPr>
              <w:t>1.8%</w:t>
            </w:r>
          </w:p>
        </w:tc>
        <w:tc>
          <w:tcPr>
            <w:tcW w:w="693" w:type="dxa"/>
            <w:tcBorders>
              <w:top w:val="nil"/>
              <w:left w:val="nil"/>
              <w:bottom w:val="single" w:sz="8" w:space="0" w:color="000000"/>
              <w:right w:val="single" w:sz="4" w:space="0" w:color="000000"/>
            </w:tcBorders>
            <w:shd w:val="clear" w:color="auto" w:fill="FFFFFF"/>
            <w:vAlign w:val="center"/>
          </w:tcPr>
          <w:p w14:paraId="1EE04363" w14:textId="77777777" w:rsidR="00F2396B" w:rsidRDefault="00702746">
            <w:pPr>
              <w:contextualSpacing w:val="0"/>
              <w:jc w:val="both"/>
              <w:rPr>
                <w:rFonts w:ascii="Calibri" w:eastAsia="Calibri" w:hAnsi="Calibri" w:cs="Calibri"/>
                <w:sz w:val="20"/>
                <w:szCs w:val="20"/>
              </w:rPr>
            </w:pPr>
            <w:r>
              <w:rPr>
                <w:rFonts w:ascii="Calibri" w:eastAsia="Calibri" w:hAnsi="Calibri" w:cs="Calibri"/>
                <w:sz w:val="20"/>
                <w:szCs w:val="20"/>
              </w:rPr>
              <w:t>5.3%</w:t>
            </w:r>
          </w:p>
        </w:tc>
        <w:tc>
          <w:tcPr>
            <w:tcW w:w="696" w:type="dxa"/>
            <w:tcBorders>
              <w:top w:val="nil"/>
              <w:left w:val="nil"/>
              <w:bottom w:val="single" w:sz="8" w:space="0" w:color="000000"/>
              <w:right w:val="single" w:sz="8" w:space="0" w:color="000000"/>
            </w:tcBorders>
            <w:shd w:val="clear" w:color="auto" w:fill="FFFFFF"/>
            <w:vAlign w:val="center"/>
          </w:tcPr>
          <w:p w14:paraId="1C85DDAC" w14:textId="77777777" w:rsidR="00F2396B" w:rsidRDefault="00702746">
            <w:pPr>
              <w:contextualSpacing w:val="0"/>
              <w:jc w:val="both"/>
              <w:rPr>
                <w:rFonts w:ascii="Calibri" w:eastAsia="Calibri" w:hAnsi="Calibri" w:cs="Calibri"/>
                <w:sz w:val="20"/>
                <w:szCs w:val="20"/>
              </w:rPr>
            </w:pPr>
            <w:r>
              <w:rPr>
                <w:rFonts w:ascii="Calibri" w:eastAsia="Calibri" w:hAnsi="Calibri" w:cs="Calibri"/>
                <w:sz w:val="20"/>
                <w:szCs w:val="20"/>
              </w:rPr>
              <w:t>7.1%</w:t>
            </w:r>
          </w:p>
        </w:tc>
      </w:tr>
    </w:tbl>
    <w:p w14:paraId="4AC6E4A4" w14:textId="06EA3A2E" w:rsidR="00F2396B" w:rsidRPr="00C8299D" w:rsidRDefault="00C8299D" w:rsidP="00C8299D">
      <w:pPr>
        <w:tabs>
          <w:tab w:val="left" w:pos="1500"/>
          <w:tab w:val="left" w:pos="7584"/>
        </w:tabs>
        <w:jc w:val="both"/>
        <w:rPr>
          <w:b/>
          <w:sz w:val="20"/>
          <w:szCs w:val="20"/>
        </w:rPr>
      </w:pPr>
      <w:r w:rsidRPr="00C8299D">
        <w:rPr>
          <w:b/>
          <w:sz w:val="20"/>
          <w:szCs w:val="20"/>
        </w:rPr>
        <w:tab/>
        <w:t xml:space="preserve">                    Table 1</w:t>
      </w:r>
      <w:r>
        <w:rPr>
          <w:b/>
          <w:sz w:val="20"/>
          <w:szCs w:val="20"/>
        </w:rPr>
        <w:tab/>
        <w:t>Figure 1</w:t>
      </w:r>
    </w:p>
    <w:p w14:paraId="5A066634" w14:textId="4AC24D73" w:rsidR="00C8299D" w:rsidRDefault="00C8299D" w:rsidP="00C8299D">
      <w:pPr>
        <w:tabs>
          <w:tab w:val="left" w:pos="1500"/>
        </w:tabs>
        <w:jc w:val="both"/>
        <w:rPr>
          <w:sz w:val="20"/>
          <w:szCs w:val="20"/>
        </w:rPr>
      </w:pPr>
      <w:r>
        <w:rPr>
          <w:sz w:val="20"/>
          <w:szCs w:val="20"/>
        </w:rPr>
        <w:tab/>
      </w:r>
    </w:p>
    <w:p w14:paraId="4B3E4E4E" w14:textId="77777777" w:rsidR="00F2396B" w:rsidRDefault="00702746">
      <w:pPr>
        <w:ind w:firstLine="360"/>
        <w:jc w:val="both"/>
        <w:rPr>
          <w:sz w:val="20"/>
          <w:szCs w:val="20"/>
        </w:rPr>
      </w:pPr>
      <w:r>
        <w:rPr>
          <w:sz w:val="20"/>
          <w:szCs w:val="20"/>
        </w:rPr>
        <w:t>Higher the net profit margin the better is the financial strength of the company. Below are the following observations of the collected data:</w:t>
      </w:r>
    </w:p>
    <w:p w14:paraId="304EE14D" w14:textId="77777777" w:rsidR="00F2396B" w:rsidRDefault="00702746">
      <w:pPr>
        <w:numPr>
          <w:ilvl w:val="0"/>
          <w:numId w:val="3"/>
        </w:numPr>
        <w:ind w:hanging="360"/>
        <w:jc w:val="both"/>
        <w:rPr>
          <w:sz w:val="20"/>
          <w:szCs w:val="20"/>
        </w:rPr>
      </w:pPr>
      <w:r>
        <w:rPr>
          <w:sz w:val="20"/>
          <w:szCs w:val="20"/>
        </w:rPr>
        <w:t xml:space="preserve">Ralph Lauren and Under </w:t>
      </w:r>
      <w:proofErr w:type="spellStart"/>
      <w:r>
        <w:rPr>
          <w:sz w:val="20"/>
          <w:szCs w:val="20"/>
        </w:rPr>
        <w:t>Armour</w:t>
      </w:r>
      <w:proofErr w:type="spellEnd"/>
      <w:r>
        <w:rPr>
          <w:sz w:val="20"/>
          <w:szCs w:val="20"/>
        </w:rPr>
        <w:t xml:space="preserve"> has a very consistent decrease in the net profit margin</w:t>
      </w:r>
    </w:p>
    <w:p w14:paraId="5D260E14" w14:textId="77777777" w:rsidR="00F2396B" w:rsidRDefault="00702746">
      <w:pPr>
        <w:numPr>
          <w:ilvl w:val="0"/>
          <w:numId w:val="3"/>
        </w:numPr>
        <w:ind w:hanging="360"/>
        <w:jc w:val="both"/>
        <w:rPr>
          <w:sz w:val="20"/>
          <w:szCs w:val="20"/>
        </w:rPr>
      </w:pPr>
      <w:r>
        <w:rPr>
          <w:sz w:val="20"/>
          <w:szCs w:val="20"/>
        </w:rPr>
        <w:t>Net profit margin of American Eagle Outfitters went way too down in 2014 and 2015, but they gained approximately 3.4% from 2015 to 2016</w:t>
      </w:r>
    </w:p>
    <w:p w14:paraId="17F6FD92" w14:textId="77777777" w:rsidR="00F2396B" w:rsidRDefault="00702746">
      <w:pPr>
        <w:numPr>
          <w:ilvl w:val="0"/>
          <w:numId w:val="3"/>
        </w:numPr>
        <w:ind w:hanging="360"/>
        <w:jc w:val="both"/>
        <w:rPr>
          <w:sz w:val="20"/>
          <w:szCs w:val="20"/>
        </w:rPr>
      </w:pPr>
      <w:r>
        <w:rPr>
          <w:sz w:val="20"/>
          <w:szCs w:val="20"/>
        </w:rPr>
        <w:lastRenderedPageBreak/>
        <w:t>GAP had a consistent performance from 2013-2015, but their net profit margin fell by 1.9%</w:t>
      </w:r>
    </w:p>
    <w:p w14:paraId="796A7784" w14:textId="77777777" w:rsidR="00F2396B" w:rsidRDefault="00702746">
      <w:pPr>
        <w:numPr>
          <w:ilvl w:val="0"/>
          <w:numId w:val="3"/>
        </w:numPr>
        <w:ind w:hanging="360"/>
        <w:jc w:val="both"/>
        <w:rPr>
          <w:sz w:val="20"/>
          <w:szCs w:val="20"/>
        </w:rPr>
      </w:pPr>
      <w:r>
        <w:rPr>
          <w:sz w:val="20"/>
          <w:szCs w:val="20"/>
        </w:rPr>
        <w:t>As for PVH their net profit margin had its ups and downs. Even though out of all the five companies PVH had the highest Net profit margin in 2016, we can’t completely trust the company just based on this ratio.</w:t>
      </w:r>
    </w:p>
    <w:p w14:paraId="04780CFA" w14:textId="77777777" w:rsidR="00F2396B" w:rsidRDefault="00702746">
      <w:pPr>
        <w:ind w:firstLine="360"/>
        <w:jc w:val="both"/>
        <w:rPr>
          <w:sz w:val="20"/>
          <w:szCs w:val="20"/>
        </w:rPr>
      </w:pPr>
      <w:r>
        <w:rPr>
          <w:sz w:val="20"/>
          <w:szCs w:val="20"/>
        </w:rPr>
        <w:t>From the above evaluation, we can say that GAP has acceptable Net Profit Margin followed by PVH.</w:t>
      </w:r>
    </w:p>
    <w:p w14:paraId="0C96766A" w14:textId="77777777" w:rsidR="00F2396B" w:rsidRDefault="00702746">
      <w:pPr>
        <w:pStyle w:val="Heading2"/>
      </w:pPr>
      <w:r>
        <w:t>Sales Growth</w:t>
      </w:r>
    </w:p>
    <w:p w14:paraId="03497EB4" w14:textId="77777777" w:rsidR="00F2396B" w:rsidRDefault="00702746">
      <w:pPr>
        <w:ind w:firstLine="360"/>
        <w:jc w:val="both"/>
        <w:rPr>
          <w:sz w:val="20"/>
          <w:szCs w:val="20"/>
        </w:rPr>
      </w:pPr>
      <w:r>
        <w:rPr>
          <w:sz w:val="20"/>
          <w:szCs w:val="20"/>
        </w:rPr>
        <w:t>Sales growth is the increase in sales over a period, usually represented in percentage. The sales growth data provide a breakdown to show how the organization is performing. The main key terms used are the Current sale revenue and previous sales revenue. It is a way of stating how much the company has grown over a period.</w:t>
      </w:r>
    </w:p>
    <w:p w14:paraId="358E69BA" w14:textId="77777777" w:rsidR="00AC7773" w:rsidRDefault="00AC7773">
      <w:pPr>
        <w:ind w:firstLine="360"/>
        <w:jc w:val="both"/>
        <w:rPr>
          <w:sz w:val="20"/>
          <w:szCs w:val="20"/>
        </w:rPr>
      </w:pPr>
    </w:p>
    <w:tbl>
      <w:tblPr>
        <w:tblStyle w:val="a0"/>
        <w:tblpPr w:leftFromText="180" w:rightFromText="180" w:vertAnchor="text" w:horzAnchor="page" w:tblpX="1277" w:tblpY="281"/>
        <w:tblOverlap w:val="never"/>
        <w:tblW w:w="4793" w:type="dxa"/>
        <w:tblLayout w:type="fixed"/>
        <w:tblLook w:val="0400" w:firstRow="0" w:lastRow="0" w:firstColumn="0" w:lastColumn="0" w:noHBand="0" w:noVBand="1"/>
      </w:tblPr>
      <w:tblGrid>
        <w:gridCol w:w="1283"/>
        <w:gridCol w:w="900"/>
        <w:gridCol w:w="24"/>
        <w:gridCol w:w="823"/>
        <w:gridCol w:w="863"/>
        <w:gridCol w:w="900"/>
      </w:tblGrid>
      <w:tr w:rsidR="00F2396B" w14:paraId="098E4386" w14:textId="77777777" w:rsidTr="00AC7773">
        <w:trPr>
          <w:trHeight w:val="320"/>
        </w:trPr>
        <w:tc>
          <w:tcPr>
            <w:tcW w:w="4793" w:type="dxa"/>
            <w:gridSpan w:val="6"/>
            <w:tcBorders>
              <w:top w:val="single" w:sz="8" w:space="0" w:color="000000"/>
              <w:left w:val="single" w:sz="8" w:space="0" w:color="000000"/>
              <w:bottom w:val="nil"/>
              <w:right w:val="single" w:sz="8" w:space="0" w:color="000000"/>
            </w:tcBorders>
            <w:shd w:val="clear" w:color="auto" w:fill="FFFFFF"/>
            <w:vAlign w:val="center"/>
          </w:tcPr>
          <w:p w14:paraId="337AD01A" w14:textId="77777777" w:rsidR="00F2396B" w:rsidRDefault="00702746" w:rsidP="00AC7773">
            <w:pPr>
              <w:contextualSpacing w:val="0"/>
              <w:rPr>
                <w:rFonts w:ascii="Calibri" w:eastAsia="Calibri" w:hAnsi="Calibri" w:cs="Calibri"/>
                <w:b/>
                <w:sz w:val="20"/>
                <w:szCs w:val="20"/>
              </w:rPr>
            </w:pPr>
            <w:r>
              <w:rPr>
                <w:rFonts w:ascii="Calibri" w:eastAsia="Calibri" w:hAnsi="Calibri" w:cs="Calibri"/>
                <w:b/>
                <w:sz w:val="20"/>
                <w:szCs w:val="20"/>
              </w:rPr>
              <w:t>Sales Growth</w:t>
            </w:r>
          </w:p>
        </w:tc>
      </w:tr>
      <w:tr w:rsidR="00F2396B" w14:paraId="1C5CFDDE" w14:textId="77777777" w:rsidTr="00AC7773">
        <w:trPr>
          <w:trHeight w:val="320"/>
        </w:trPr>
        <w:tc>
          <w:tcPr>
            <w:tcW w:w="1283" w:type="dxa"/>
            <w:tcBorders>
              <w:top w:val="single" w:sz="8" w:space="0" w:color="000000"/>
              <w:left w:val="single" w:sz="8" w:space="0" w:color="000000"/>
              <w:bottom w:val="single" w:sz="8" w:space="0" w:color="000000"/>
              <w:right w:val="single" w:sz="4" w:space="0" w:color="000000"/>
            </w:tcBorders>
            <w:shd w:val="clear" w:color="auto" w:fill="FFFFFF"/>
            <w:vAlign w:val="center"/>
          </w:tcPr>
          <w:p w14:paraId="31C1297F" w14:textId="77777777" w:rsidR="00F2396B" w:rsidRDefault="00702746" w:rsidP="00AC7773">
            <w:pPr>
              <w:contextualSpacing w:val="0"/>
              <w:rPr>
                <w:rFonts w:ascii="Calibri" w:eastAsia="Calibri" w:hAnsi="Calibri" w:cs="Calibri"/>
                <w:b/>
                <w:sz w:val="20"/>
                <w:szCs w:val="20"/>
              </w:rPr>
            </w:pPr>
            <w:r>
              <w:rPr>
                <w:rFonts w:ascii="Calibri" w:eastAsia="Calibri" w:hAnsi="Calibri" w:cs="Calibri"/>
                <w:b/>
                <w:sz w:val="20"/>
                <w:szCs w:val="20"/>
              </w:rPr>
              <w:t>Years</w:t>
            </w:r>
          </w:p>
        </w:tc>
        <w:tc>
          <w:tcPr>
            <w:tcW w:w="924" w:type="dxa"/>
            <w:gridSpan w:val="2"/>
            <w:tcBorders>
              <w:top w:val="single" w:sz="8" w:space="0" w:color="000000"/>
              <w:left w:val="nil"/>
              <w:bottom w:val="single" w:sz="8" w:space="0" w:color="000000"/>
              <w:right w:val="single" w:sz="4" w:space="0" w:color="000000"/>
            </w:tcBorders>
            <w:shd w:val="clear" w:color="auto" w:fill="FFFFFF"/>
            <w:vAlign w:val="center"/>
          </w:tcPr>
          <w:p w14:paraId="5A61C15B" w14:textId="77777777" w:rsidR="00F2396B" w:rsidRDefault="00702746" w:rsidP="00AC7773">
            <w:pPr>
              <w:contextualSpacing w:val="0"/>
              <w:rPr>
                <w:rFonts w:ascii="Calibri" w:eastAsia="Calibri" w:hAnsi="Calibri" w:cs="Calibri"/>
                <w:b/>
                <w:sz w:val="20"/>
                <w:szCs w:val="20"/>
              </w:rPr>
            </w:pPr>
            <w:r>
              <w:rPr>
                <w:rFonts w:ascii="Calibri" w:eastAsia="Calibri" w:hAnsi="Calibri" w:cs="Calibri"/>
                <w:b/>
                <w:sz w:val="20"/>
                <w:szCs w:val="20"/>
              </w:rPr>
              <w:t>2013</w:t>
            </w:r>
          </w:p>
        </w:tc>
        <w:tc>
          <w:tcPr>
            <w:tcW w:w="823" w:type="dxa"/>
            <w:tcBorders>
              <w:top w:val="single" w:sz="8" w:space="0" w:color="000000"/>
              <w:left w:val="nil"/>
              <w:bottom w:val="single" w:sz="8" w:space="0" w:color="000000"/>
              <w:right w:val="single" w:sz="4" w:space="0" w:color="000000"/>
            </w:tcBorders>
            <w:shd w:val="clear" w:color="auto" w:fill="FFFFFF"/>
            <w:vAlign w:val="center"/>
          </w:tcPr>
          <w:p w14:paraId="7343A030" w14:textId="77777777" w:rsidR="00F2396B" w:rsidRDefault="00702746" w:rsidP="00AC7773">
            <w:pPr>
              <w:contextualSpacing w:val="0"/>
              <w:rPr>
                <w:rFonts w:ascii="Calibri" w:eastAsia="Calibri" w:hAnsi="Calibri" w:cs="Calibri"/>
                <w:b/>
                <w:sz w:val="20"/>
                <w:szCs w:val="20"/>
              </w:rPr>
            </w:pPr>
            <w:r>
              <w:rPr>
                <w:rFonts w:ascii="Calibri" w:eastAsia="Calibri" w:hAnsi="Calibri" w:cs="Calibri"/>
                <w:b/>
                <w:sz w:val="20"/>
                <w:szCs w:val="20"/>
              </w:rPr>
              <w:t>2014</w:t>
            </w:r>
          </w:p>
        </w:tc>
        <w:tc>
          <w:tcPr>
            <w:tcW w:w="863" w:type="dxa"/>
            <w:tcBorders>
              <w:top w:val="single" w:sz="8" w:space="0" w:color="000000"/>
              <w:left w:val="nil"/>
              <w:bottom w:val="single" w:sz="8" w:space="0" w:color="000000"/>
              <w:right w:val="single" w:sz="4" w:space="0" w:color="000000"/>
            </w:tcBorders>
            <w:shd w:val="clear" w:color="auto" w:fill="FFFFFF"/>
            <w:vAlign w:val="center"/>
          </w:tcPr>
          <w:p w14:paraId="0465535E" w14:textId="77777777" w:rsidR="00F2396B" w:rsidRDefault="00702746" w:rsidP="00AC7773">
            <w:pPr>
              <w:contextualSpacing w:val="0"/>
              <w:rPr>
                <w:rFonts w:ascii="Calibri" w:eastAsia="Calibri" w:hAnsi="Calibri" w:cs="Calibri"/>
                <w:b/>
                <w:sz w:val="20"/>
                <w:szCs w:val="20"/>
              </w:rPr>
            </w:pPr>
            <w:r>
              <w:rPr>
                <w:rFonts w:ascii="Calibri" w:eastAsia="Calibri" w:hAnsi="Calibri" w:cs="Calibri"/>
                <w:b/>
                <w:sz w:val="20"/>
                <w:szCs w:val="20"/>
              </w:rPr>
              <w:t>2015</w:t>
            </w:r>
          </w:p>
        </w:tc>
        <w:tc>
          <w:tcPr>
            <w:tcW w:w="900" w:type="dxa"/>
            <w:tcBorders>
              <w:top w:val="single" w:sz="8" w:space="0" w:color="000000"/>
              <w:left w:val="nil"/>
              <w:bottom w:val="single" w:sz="8" w:space="0" w:color="000000"/>
              <w:right w:val="single" w:sz="8" w:space="0" w:color="000000"/>
            </w:tcBorders>
            <w:shd w:val="clear" w:color="auto" w:fill="FFFFFF"/>
            <w:vAlign w:val="center"/>
          </w:tcPr>
          <w:p w14:paraId="3E3BEF6D" w14:textId="77777777" w:rsidR="00F2396B" w:rsidRDefault="00702746" w:rsidP="00AC7773">
            <w:pPr>
              <w:contextualSpacing w:val="0"/>
              <w:rPr>
                <w:rFonts w:ascii="Calibri" w:eastAsia="Calibri" w:hAnsi="Calibri" w:cs="Calibri"/>
                <w:b/>
                <w:sz w:val="20"/>
                <w:szCs w:val="20"/>
              </w:rPr>
            </w:pPr>
            <w:r>
              <w:rPr>
                <w:rFonts w:ascii="Calibri" w:eastAsia="Calibri" w:hAnsi="Calibri" w:cs="Calibri"/>
                <w:b/>
                <w:sz w:val="20"/>
                <w:szCs w:val="20"/>
              </w:rPr>
              <w:t>2016</w:t>
            </w:r>
          </w:p>
        </w:tc>
      </w:tr>
      <w:tr w:rsidR="00F2396B" w14:paraId="34DAB7E9" w14:textId="77777777" w:rsidTr="00AC7773">
        <w:trPr>
          <w:trHeight w:val="320"/>
        </w:trPr>
        <w:tc>
          <w:tcPr>
            <w:tcW w:w="1283" w:type="dxa"/>
            <w:tcBorders>
              <w:top w:val="nil"/>
              <w:left w:val="single" w:sz="8" w:space="0" w:color="000000"/>
              <w:bottom w:val="single" w:sz="4" w:space="0" w:color="000000"/>
              <w:right w:val="single" w:sz="4" w:space="0" w:color="000000"/>
            </w:tcBorders>
            <w:shd w:val="clear" w:color="auto" w:fill="FFFFFF"/>
            <w:vAlign w:val="center"/>
          </w:tcPr>
          <w:p w14:paraId="3683FC40" w14:textId="77777777" w:rsidR="00F2396B" w:rsidRDefault="00702746" w:rsidP="00AC7773">
            <w:pPr>
              <w:contextualSpacing w:val="0"/>
              <w:rPr>
                <w:rFonts w:ascii="Calibri" w:eastAsia="Calibri" w:hAnsi="Calibri" w:cs="Calibri"/>
                <w:b/>
                <w:sz w:val="20"/>
                <w:szCs w:val="20"/>
              </w:rPr>
            </w:pPr>
            <w:r>
              <w:rPr>
                <w:rFonts w:ascii="Calibri" w:eastAsia="Calibri" w:hAnsi="Calibri" w:cs="Calibri"/>
                <w:b/>
                <w:sz w:val="20"/>
                <w:szCs w:val="20"/>
              </w:rPr>
              <w:t>AEO</w:t>
            </w:r>
          </w:p>
        </w:tc>
        <w:tc>
          <w:tcPr>
            <w:tcW w:w="900" w:type="dxa"/>
            <w:tcBorders>
              <w:top w:val="nil"/>
              <w:left w:val="nil"/>
              <w:bottom w:val="single" w:sz="4" w:space="0" w:color="000000"/>
              <w:right w:val="single" w:sz="4" w:space="0" w:color="000000"/>
            </w:tcBorders>
            <w:shd w:val="clear" w:color="auto" w:fill="FFFFFF"/>
            <w:vAlign w:val="center"/>
          </w:tcPr>
          <w:p w14:paraId="0070EB7C" w14:textId="77777777" w:rsidR="00F2396B" w:rsidRDefault="00702746" w:rsidP="00AC7773">
            <w:pPr>
              <w:contextualSpacing w:val="0"/>
              <w:rPr>
                <w:rFonts w:ascii="Calibri" w:eastAsia="Calibri" w:hAnsi="Calibri" w:cs="Calibri"/>
                <w:sz w:val="20"/>
                <w:szCs w:val="20"/>
              </w:rPr>
            </w:pPr>
            <w:r>
              <w:rPr>
                <w:rFonts w:ascii="Calibri" w:eastAsia="Calibri" w:hAnsi="Calibri" w:cs="Calibri"/>
                <w:sz w:val="20"/>
                <w:szCs w:val="20"/>
              </w:rPr>
              <w:t>11.54%</w:t>
            </w:r>
          </w:p>
        </w:tc>
        <w:tc>
          <w:tcPr>
            <w:tcW w:w="847" w:type="dxa"/>
            <w:gridSpan w:val="2"/>
            <w:tcBorders>
              <w:top w:val="nil"/>
              <w:left w:val="nil"/>
              <w:bottom w:val="single" w:sz="4" w:space="0" w:color="000000"/>
              <w:right w:val="single" w:sz="4" w:space="0" w:color="000000"/>
            </w:tcBorders>
            <w:shd w:val="clear" w:color="auto" w:fill="FFFFFF"/>
            <w:vAlign w:val="center"/>
          </w:tcPr>
          <w:p w14:paraId="0706AB6C" w14:textId="77777777" w:rsidR="00F2396B" w:rsidRDefault="00702746" w:rsidP="00AC7773">
            <w:pPr>
              <w:contextualSpacing w:val="0"/>
              <w:rPr>
                <w:rFonts w:ascii="Calibri" w:eastAsia="Calibri" w:hAnsi="Calibri" w:cs="Calibri"/>
                <w:sz w:val="20"/>
                <w:szCs w:val="20"/>
              </w:rPr>
            </w:pPr>
            <w:r>
              <w:rPr>
                <w:rFonts w:ascii="Calibri" w:eastAsia="Calibri" w:hAnsi="Calibri" w:cs="Calibri"/>
                <w:sz w:val="20"/>
                <w:szCs w:val="20"/>
              </w:rPr>
              <w:t>-4.89%</w:t>
            </w:r>
          </w:p>
        </w:tc>
        <w:tc>
          <w:tcPr>
            <w:tcW w:w="863" w:type="dxa"/>
            <w:tcBorders>
              <w:top w:val="nil"/>
              <w:left w:val="nil"/>
              <w:bottom w:val="single" w:sz="4" w:space="0" w:color="000000"/>
              <w:right w:val="single" w:sz="4" w:space="0" w:color="000000"/>
            </w:tcBorders>
            <w:shd w:val="clear" w:color="auto" w:fill="FFFFFF"/>
            <w:vAlign w:val="center"/>
          </w:tcPr>
          <w:p w14:paraId="25EB0AA1" w14:textId="77777777" w:rsidR="00F2396B" w:rsidRDefault="00702746" w:rsidP="00AC7773">
            <w:pPr>
              <w:contextualSpacing w:val="0"/>
              <w:rPr>
                <w:rFonts w:ascii="Calibri" w:eastAsia="Calibri" w:hAnsi="Calibri" w:cs="Calibri"/>
                <w:sz w:val="20"/>
                <w:szCs w:val="20"/>
              </w:rPr>
            </w:pPr>
            <w:r>
              <w:rPr>
                <w:rFonts w:ascii="Calibri" w:eastAsia="Calibri" w:hAnsi="Calibri" w:cs="Calibri"/>
                <w:sz w:val="20"/>
                <w:szCs w:val="20"/>
              </w:rPr>
              <w:t>-0.91%</w:t>
            </w:r>
          </w:p>
        </w:tc>
        <w:tc>
          <w:tcPr>
            <w:tcW w:w="900" w:type="dxa"/>
            <w:tcBorders>
              <w:top w:val="nil"/>
              <w:left w:val="nil"/>
              <w:bottom w:val="single" w:sz="4" w:space="0" w:color="000000"/>
              <w:right w:val="single" w:sz="8" w:space="0" w:color="000000"/>
            </w:tcBorders>
            <w:shd w:val="clear" w:color="auto" w:fill="FFFFFF"/>
            <w:vAlign w:val="center"/>
          </w:tcPr>
          <w:p w14:paraId="450390E7" w14:textId="77777777" w:rsidR="00F2396B" w:rsidRDefault="00702746" w:rsidP="00AC7773">
            <w:pPr>
              <w:contextualSpacing w:val="0"/>
              <w:rPr>
                <w:rFonts w:ascii="Calibri" w:eastAsia="Calibri" w:hAnsi="Calibri" w:cs="Calibri"/>
                <w:sz w:val="20"/>
                <w:szCs w:val="20"/>
              </w:rPr>
            </w:pPr>
            <w:r>
              <w:rPr>
                <w:rFonts w:ascii="Calibri" w:eastAsia="Calibri" w:hAnsi="Calibri" w:cs="Calibri"/>
                <w:sz w:val="20"/>
                <w:szCs w:val="20"/>
              </w:rPr>
              <w:t>7.32%</w:t>
            </w:r>
          </w:p>
        </w:tc>
      </w:tr>
      <w:tr w:rsidR="00F2396B" w14:paraId="23704812" w14:textId="77777777" w:rsidTr="00AC7773">
        <w:trPr>
          <w:trHeight w:val="320"/>
        </w:trPr>
        <w:tc>
          <w:tcPr>
            <w:tcW w:w="1283" w:type="dxa"/>
            <w:tcBorders>
              <w:top w:val="nil"/>
              <w:left w:val="single" w:sz="8" w:space="0" w:color="000000"/>
              <w:bottom w:val="single" w:sz="4" w:space="0" w:color="000000"/>
              <w:right w:val="single" w:sz="4" w:space="0" w:color="000000"/>
            </w:tcBorders>
            <w:shd w:val="clear" w:color="auto" w:fill="FFFFFF"/>
            <w:vAlign w:val="center"/>
          </w:tcPr>
          <w:p w14:paraId="45CE3A77" w14:textId="77777777" w:rsidR="00F2396B" w:rsidRDefault="00702746" w:rsidP="00AC7773">
            <w:pPr>
              <w:contextualSpacing w:val="0"/>
              <w:rPr>
                <w:rFonts w:ascii="Calibri" w:eastAsia="Calibri" w:hAnsi="Calibri" w:cs="Calibri"/>
                <w:b/>
                <w:sz w:val="20"/>
                <w:szCs w:val="20"/>
              </w:rPr>
            </w:pPr>
            <w:r>
              <w:rPr>
                <w:rFonts w:ascii="Calibri" w:eastAsia="Calibri" w:hAnsi="Calibri" w:cs="Calibri"/>
                <w:b/>
                <w:sz w:val="20"/>
                <w:szCs w:val="20"/>
              </w:rPr>
              <w:t>GAP</w:t>
            </w:r>
          </w:p>
        </w:tc>
        <w:tc>
          <w:tcPr>
            <w:tcW w:w="900" w:type="dxa"/>
            <w:tcBorders>
              <w:top w:val="nil"/>
              <w:left w:val="nil"/>
              <w:bottom w:val="single" w:sz="4" w:space="0" w:color="000000"/>
              <w:right w:val="single" w:sz="4" w:space="0" w:color="000000"/>
            </w:tcBorders>
            <w:shd w:val="clear" w:color="auto" w:fill="FFFFFF"/>
            <w:vAlign w:val="center"/>
          </w:tcPr>
          <w:p w14:paraId="13A5B263" w14:textId="77777777" w:rsidR="00F2396B" w:rsidRDefault="00702746" w:rsidP="00AC7773">
            <w:pPr>
              <w:contextualSpacing w:val="0"/>
              <w:rPr>
                <w:rFonts w:ascii="Calibri" w:eastAsia="Calibri" w:hAnsi="Calibri" w:cs="Calibri"/>
                <w:sz w:val="20"/>
                <w:szCs w:val="20"/>
              </w:rPr>
            </w:pPr>
            <w:r>
              <w:rPr>
                <w:rFonts w:ascii="Calibri" w:eastAsia="Calibri" w:hAnsi="Calibri" w:cs="Calibri"/>
                <w:sz w:val="20"/>
                <w:szCs w:val="20"/>
              </w:rPr>
              <w:t>7.57%</w:t>
            </w:r>
          </w:p>
        </w:tc>
        <w:tc>
          <w:tcPr>
            <w:tcW w:w="847" w:type="dxa"/>
            <w:gridSpan w:val="2"/>
            <w:tcBorders>
              <w:top w:val="nil"/>
              <w:left w:val="nil"/>
              <w:bottom w:val="single" w:sz="4" w:space="0" w:color="000000"/>
              <w:right w:val="single" w:sz="4" w:space="0" w:color="000000"/>
            </w:tcBorders>
            <w:shd w:val="clear" w:color="auto" w:fill="FFFFFF"/>
            <w:vAlign w:val="center"/>
          </w:tcPr>
          <w:p w14:paraId="56B93A8F" w14:textId="77777777" w:rsidR="00F2396B" w:rsidRDefault="00702746" w:rsidP="00AC7773">
            <w:pPr>
              <w:contextualSpacing w:val="0"/>
              <w:rPr>
                <w:rFonts w:ascii="Calibri" w:eastAsia="Calibri" w:hAnsi="Calibri" w:cs="Calibri"/>
                <w:sz w:val="20"/>
                <w:szCs w:val="20"/>
              </w:rPr>
            </w:pPr>
            <w:r>
              <w:rPr>
                <w:rFonts w:ascii="Calibri" w:eastAsia="Calibri" w:hAnsi="Calibri" w:cs="Calibri"/>
                <w:sz w:val="20"/>
                <w:szCs w:val="20"/>
              </w:rPr>
              <w:t>3.19%</w:t>
            </w:r>
          </w:p>
        </w:tc>
        <w:tc>
          <w:tcPr>
            <w:tcW w:w="863" w:type="dxa"/>
            <w:tcBorders>
              <w:top w:val="nil"/>
              <w:left w:val="nil"/>
              <w:bottom w:val="single" w:sz="4" w:space="0" w:color="000000"/>
              <w:right w:val="single" w:sz="4" w:space="0" w:color="000000"/>
            </w:tcBorders>
            <w:shd w:val="clear" w:color="auto" w:fill="FFFFFF"/>
            <w:vAlign w:val="center"/>
          </w:tcPr>
          <w:p w14:paraId="1B085B70" w14:textId="77777777" w:rsidR="00F2396B" w:rsidRDefault="00702746" w:rsidP="00AC7773">
            <w:pPr>
              <w:contextualSpacing w:val="0"/>
              <w:rPr>
                <w:rFonts w:ascii="Calibri" w:eastAsia="Calibri" w:hAnsi="Calibri" w:cs="Calibri"/>
                <w:sz w:val="20"/>
                <w:szCs w:val="20"/>
              </w:rPr>
            </w:pPr>
            <w:r>
              <w:rPr>
                <w:rFonts w:ascii="Calibri" w:eastAsia="Calibri" w:hAnsi="Calibri" w:cs="Calibri"/>
                <w:sz w:val="20"/>
                <w:szCs w:val="20"/>
              </w:rPr>
              <w:t>1.80%</w:t>
            </w:r>
          </w:p>
        </w:tc>
        <w:tc>
          <w:tcPr>
            <w:tcW w:w="900" w:type="dxa"/>
            <w:tcBorders>
              <w:top w:val="nil"/>
              <w:left w:val="nil"/>
              <w:bottom w:val="single" w:sz="4" w:space="0" w:color="000000"/>
              <w:right w:val="single" w:sz="8" w:space="0" w:color="000000"/>
            </w:tcBorders>
            <w:shd w:val="clear" w:color="auto" w:fill="FFFFFF"/>
            <w:vAlign w:val="center"/>
          </w:tcPr>
          <w:p w14:paraId="2AA8A936" w14:textId="77777777" w:rsidR="00F2396B" w:rsidRDefault="00702746" w:rsidP="00AC7773">
            <w:pPr>
              <w:contextualSpacing w:val="0"/>
              <w:rPr>
                <w:rFonts w:ascii="Calibri" w:eastAsia="Calibri" w:hAnsi="Calibri" w:cs="Calibri"/>
                <w:sz w:val="20"/>
                <w:szCs w:val="20"/>
              </w:rPr>
            </w:pPr>
            <w:r>
              <w:rPr>
                <w:rFonts w:ascii="Calibri" w:eastAsia="Calibri" w:hAnsi="Calibri" w:cs="Calibri"/>
                <w:sz w:val="20"/>
                <w:szCs w:val="20"/>
              </w:rPr>
              <w:t>-3.89%</w:t>
            </w:r>
          </w:p>
        </w:tc>
      </w:tr>
      <w:tr w:rsidR="00F2396B" w14:paraId="3F436C04" w14:textId="77777777" w:rsidTr="00AC7773">
        <w:trPr>
          <w:trHeight w:val="300"/>
        </w:trPr>
        <w:tc>
          <w:tcPr>
            <w:tcW w:w="1283" w:type="dxa"/>
            <w:tcBorders>
              <w:top w:val="nil"/>
              <w:left w:val="single" w:sz="8" w:space="0" w:color="000000"/>
              <w:bottom w:val="single" w:sz="4" w:space="0" w:color="000000"/>
              <w:right w:val="single" w:sz="4" w:space="0" w:color="000000"/>
            </w:tcBorders>
            <w:shd w:val="clear" w:color="auto" w:fill="FFFFFF"/>
            <w:vAlign w:val="center"/>
          </w:tcPr>
          <w:p w14:paraId="2589B102" w14:textId="77777777" w:rsidR="00F2396B" w:rsidRDefault="00702746" w:rsidP="00AC7773">
            <w:pPr>
              <w:contextualSpacing w:val="0"/>
              <w:rPr>
                <w:rFonts w:ascii="Calibri" w:eastAsia="Calibri" w:hAnsi="Calibri" w:cs="Calibri"/>
                <w:b/>
                <w:sz w:val="20"/>
                <w:szCs w:val="20"/>
              </w:rPr>
            </w:pPr>
            <w:r>
              <w:rPr>
                <w:rFonts w:ascii="Calibri" w:eastAsia="Calibri" w:hAnsi="Calibri" w:cs="Calibri"/>
                <w:b/>
                <w:sz w:val="20"/>
                <w:szCs w:val="20"/>
              </w:rPr>
              <w:t>Ralph Lauren</w:t>
            </w:r>
          </w:p>
        </w:tc>
        <w:tc>
          <w:tcPr>
            <w:tcW w:w="900" w:type="dxa"/>
            <w:tcBorders>
              <w:top w:val="nil"/>
              <w:left w:val="nil"/>
              <w:bottom w:val="single" w:sz="4" w:space="0" w:color="000000"/>
              <w:right w:val="single" w:sz="4" w:space="0" w:color="000000"/>
            </w:tcBorders>
            <w:shd w:val="clear" w:color="auto" w:fill="FFFFFF"/>
            <w:vAlign w:val="center"/>
          </w:tcPr>
          <w:p w14:paraId="2E5864BB" w14:textId="77777777" w:rsidR="00F2396B" w:rsidRDefault="00702746" w:rsidP="00AC7773">
            <w:pPr>
              <w:contextualSpacing w:val="0"/>
              <w:rPr>
                <w:rFonts w:ascii="Calibri" w:eastAsia="Calibri" w:hAnsi="Calibri" w:cs="Calibri"/>
                <w:sz w:val="20"/>
                <w:szCs w:val="20"/>
              </w:rPr>
            </w:pPr>
            <w:r>
              <w:rPr>
                <w:rFonts w:ascii="Calibri" w:eastAsia="Calibri" w:hAnsi="Calibri" w:cs="Calibri"/>
                <w:sz w:val="20"/>
                <w:szCs w:val="20"/>
              </w:rPr>
              <w:t>1.17%</w:t>
            </w:r>
          </w:p>
        </w:tc>
        <w:tc>
          <w:tcPr>
            <w:tcW w:w="847" w:type="dxa"/>
            <w:gridSpan w:val="2"/>
            <w:tcBorders>
              <w:top w:val="nil"/>
              <w:left w:val="nil"/>
              <w:bottom w:val="single" w:sz="4" w:space="0" w:color="000000"/>
              <w:right w:val="single" w:sz="4" w:space="0" w:color="000000"/>
            </w:tcBorders>
            <w:shd w:val="clear" w:color="auto" w:fill="FFFFFF"/>
            <w:vAlign w:val="center"/>
          </w:tcPr>
          <w:p w14:paraId="101D2CF5" w14:textId="77777777" w:rsidR="00F2396B" w:rsidRDefault="00702746" w:rsidP="00AC7773">
            <w:pPr>
              <w:contextualSpacing w:val="0"/>
              <w:rPr>
                <w:rFonts w:ascii="Calibri" w:eastAsia="Calibri" w:hAnsi="Calibri" w:cs="Calibri"/>
                <w:sz w:val="20"/>
                <w:szCs w:val="20"/>
              </w:rPr>
            </w:pPr>
            <w:r>
              <w:rPr>
                <w:rFonts w:ascii="Calibri" w:eastAsia="Calibri" w:hAnsi="Calibri" w:cs="Calibri"/>
                <w:sz w:val="20"/>
                <w:szCs w:val="20"/>
              </w:rPr>
              <w:t>7.35%</w:t>
            </w:r>
          </w:p>
        </w:tc>
        <w:tc>
          <w:tcPr>
            <w:tcW w:w="863" w:type="dxa"/>
            <w:tcBorders>
              <w:top w:val="nil"/>
              <w:left w:val="nil"/>
              <w:bottom w:val="single" w:sz="4" w:space="0" w:color="000000"/>
              <w:right w:val="single" w:sz="4" w:space="0" w:color="000000"/>
            </w:tcBorders>
            <w:shd w:val="clear" w:color="auto" w:fill="FFFFFF"/>
            <w:vAlign w:val="center"/>
          </w:tcPr>
          <w:p w14:paraId="4A52705F" w14:textId="77777777" w:rsidR="00F2396B" w:rsidRDefault="00702746" w:rsidP="00AC7773">
            <w:pPr>
              <w:contextualSpacing w:val="0"/>
              <w:rPr>
                <w:rFonts w:ascii="Calibri" w:eastAsia="Calibri" w:hAnsi="Calibri" w:cs="Calibri"/>
                <w:sz w:val="20"/>
                <w:szCs w:val="20"/>
              </w:rPr>
            </w:pPr>
            <w:r>
              <w:rPr>
                <w:rFonts w:ascii="Calibri" w:eastAsia="Calibri" w:hAnsi="Calibri" w:cs="Calibri"/>
                <w:sz w:val="20"/>
                <w:szCs w:val="20"/>
              </w:rPr>
              <w:t>2.28%</w:t>
            </w:r>
          </w:p>
        </w:tc>
        <w:tc>
          <w:tcPr>
            <w:tcW w:w="900" w:type="dxa"/>
            <w:tcBorders>
              <w:top w:val="nil"/>
              <w:left w:val="nil"/>
              <w:bottom w:val="single" w:sz="4" w:space="0" w:color="000000"/>
              <w:right w:val="single" w:sz="8" w:space="0" w:color="000000"/>
            </w:tcBorders>
            <w:shd w:val="clear" w:color="auto" w:fill="FFFFFF"/>
            <w:vAlign w:val="center"/>
          </w:tcPr>
          <w:p w14:paraId="57ADBD49" w14:textId="77777777" w:rsidR="00F2396B" w:rsidRDefault="00702746" w:rsidP="00AC7773">
            <w:pPr>
              <w:contextualSpacing w:val="0"/>
              <w:rPr>
                <w:rFonts w:ascii="Calibri" w:eastAsia="Calibri" w:hAnsi="Calibri" w:cs="Calibri"/>
                <w:sz w:val="20"/>
                <w:szCs w:val="20"/>
              </w:rPr>
            </w:pPr>
            <w:r>
              <w:rPr>
                <w:rFonts w:ascii="Calibri" w:eastAsia="Calibri" w:hAnsi="Calibri" w:cs="Calibri"/>
                <w:sz w:val="20"/>
                <w:szCs w:val="20"/>
              </w:rPr>
              <w:t>-2.76%</w:t>
            </w:r>
          </w:p>
        </w:tc>
      </w:tr>
      <w:tr w:rsidR="00F2396B" w14:paraId="248B50E0" w14:textId="77777777" w:rsidTr="00AC7773">
        <w:trPr>
          <w:trHeight w:val="300"/>
        </w:trPr>
        <w:tc>
          <w:tcPr>
            <w:tcW w:w="1283" w:type="dxa"/>
            <w:tcBorders>
              <w:top w:val="nil"/>
              <w:left w:val="single" w:sz="8" w:space="0" w:color="000000"/>
              <w:bottom w:val="single" w:sz="4" w:space="0" w:color="000000"/>
              <w:right w:val="single" w:sz="4" w:space="0" w:color="000000"/>
            </w:tcBorders>
            <w:shd w:val="clear" w:color="auto" w:fill="FFFFFF"/>
            <w:vAlign w:val="center"/>
          </w:tcPr>
          <w:p w14:paraId="1893AEC5" w14:textId="77777777" w:rsidR="00F2396B" w:rsidRDefault="00702746" w:rsidP="00AC7773">
            <w:pPr>
              <w:contextualSpacing w:val="0"/>
              <w:rPr>
                <w:rFonts w:ascii="Calibri" w:eastAsia="Calibri" w:hAnsi="Calibri" w:cs="Calibri"/>
                <w:b/>
                <w:sz w:val="20"/>
                <w:szCs w:val="20"/>
              </w:rPr>
            </w:pPr>
            <w:r>
              <w:rPr>
                <w:rFonts w:ascii="Calibri" w:eastAsia="Calibri" w:hAnsi="Calibri" w:cs="Calibri"/>
                <w:b/>
                <w:sz w:val="20"/>
                <w:szCs w:val="20"/>
              </w:rPr>
              <w:t xml:space="preserve">Under </w:t>
            </w:r>
            <w:proofErr w:type="spellStart"/>
            <w:r>
              <w:rPr>
                <w:rFonts w:ascii="Calibri" w:eastAsia="Calibri" w:hAnsi="Calibri" w:cs="Calibri"/>
                <w:b/>
                <w:sz w:val="20"/>
                <w:szCs w:val="20"/>
              </w:rPr>
              <w:t>Armour</w:t>
            </w:r>
            <w:proofErr w:type="spellEnd"/>
          </w:p>
        </w:tc>
        <w:tc>
          <w:tcPr>
            <w:tcW w:w="900" w:type="dxa"/>
            <w:tcBorders>
              <w:top w:val="nil"/>
              <w:left w:val="nil"/>
              <w:bottom w:val="single" w:sz="4" w:space="0" w:color="000000"/>
              <w:right w:val="single" w:sz="4" w:space="0" w:color="000000"/>
            </w:tcBorders>
            <w:shd w:val="clear" w:color="auto" w:fill="FFFFFF"/>
            <w:vAlign w:val="center"/>
          </w:tcPr>
          <w:p w14:paraId="74A482D2" w14:textId="77777777" w:rsidR="00F2396B" w:rsidRDefault="00702746" w:rsidP="00AC7773">
            <w:pPr>
              <w:contextualSpacing w:val="0"/>
              <w:rPr>
                <w:rFonts w:ascii="Calibri" w:eastAsia="Calibri" w:hAnsi="Calibri" w:cs="Calibri"/>
                <w:sz w:val="20"/>
                <w:szCs w:val="20"/>
              </w:rPr>
            </w:pPr>
            <w:r>
              <w:rPr>
                <w:rFonts w:ascii="Calibri" w:eastAsia="Calibri" w:hAnsi="Calibri" w:cs="Calibri"/>
                <w:sz w:val="20"/>
                <w:szCs w:val="20"/>
              </w:rPr>
              <w:t>27.32%</w:t>
            </w:r>
          </w:p>
        </w:tc>
        <w:tc>
          <w:tcPr>
            <w:tcW w:w="847" w:type="dxa"/>
            <w:gridSpan w:val="2"/>
            <w:tcBorders>
              <w:top w:val="nil"/>
              <w:left w:val="nil"/>
              <w:bottom w:val="single" w:sz="4" w:space="0" w:color="000000"/>
              <w:right w:val="single" w:sz="4" w:space="0" w:color="000000"/>
            </w:tcBorders>
            <w:shd w:val="clear" w:color="auto" w:fill="FFFFFF"/>
            <w:vAlign w:val="center"/>
          </w:tcPr>
          <w:p w14:paraId="663BA886" w14:textId="77777777" w:rsidR="00F2396B" w:rsidRDefault="00702746" w:rsidP="00AC7773">
            <w:pPr>
              <w:contextualSpacing w:val="0"/>
              <w:rPr>
                <w:rFonts w:ascii="Calibri" w:eastAsia="Calibri" w:hAnsi="Calibri" w:cs="Calibri"/>
                <w:sz w:val="20"/>
                <w:szCs w:val="20"/>
              </w:rPr>
            </w:pPr>
            <w:r>
              <w:rPr>
                <w:rFonts w:ascii="Calibri" w:eastAsia="Calibri" w:hAnsi="Calibri" w:cs="Calibri"/>
                <w:sz w:val="20"/>
                <w:szCs w:val="20"/>
              </w:rPr>
              <w:t>32.19%</w:t>
            </w:r>
          </w:p>
        </w:tc>
        <w:tc>
          <w:tcPr>
            <w:tcW w:w="863" w:type="dxa"/>
            <w:tcBorders>
              <w:top w:val="nil"/>
              <w:left w:val="nil"/>
              <w:bottom w:val="single" w:sz="4" w:space="0" w:color="000000"/>
              <w:right w:val="single" w:sz="4" w:space="0" w:color="000000"/>
            </w:tcBorders>
            <w:shd w:val="clear" w:color="auto" w:fill="FFFFFF"/>
            <w:vAlign w:val="center"/>
          </w:tcPr>
          <w:p w14:paraId="19BD0ECC" w14:textId="77777777" w:rsidR="00F2396B" w:rsidRDefault="00702746" w:rsidP="00AC7773">
            <w:pPr>
              <w:contextualSpacing w:val="0"/>
              <w:rPr>
                <w:rFonts w:ascii="Calibri" w:eastAsia="Calibri" w:hAnsi="Calibri" w:cs="Calibri"/>
                <w:sz w:val="20"/>
                <w:szCs w:val="20"/>
              </w:rPr>
            </w:pPr>
            <w:r>
              <w:rPr>
                <w:rFonts w:ascii="Calibri" w:eastAsia="Calibri" w:hAnsi="Calibri" w:cs="Calibri"/>
                <w:sz w:val="20"/>
                <w:szCs w:val="20"/>
              </w:rPr>
              <w:t>28.57%</w:t>
            </w:r>
          </w:p>
        </w:tc>
        <w:tc>
          <w:tcPr>
            <w:tcW w:w="900" w:type="dxa"/>
            <w:tcBorders>
              <w:top w:val="nil"/>
              <w:left w:val="nil"/>
              <w:bottom w:val="single" w:sz="4" w:space="0" w:color="000000"/>
              <w:right w:val="single" w:sz="8" w:space="0" w:color="000000"/>
            </w:tcBorders>
            <w:shd w:val="clear" w:color="auto" w:fill="FFFFFF"/>
            <w:vAlign w:val="center"/>
          </w:tcPr>
          <w:p w14:paraId="04ED7417" w14:textId="77777777" w:rsidR="00F2396B" w:rsidRDefault="00702746" w:rsidP="00AC7773">
            <w:pPr>
              <w:contextualSpacing w:val="0"/>
              <w:rPr>
                <w:rFonts w:ascii="Calibri" w:eastAsia="Calibri" w:hAnsi="Calibri" w:cs="Calibri"/>
                <w:sz w:val="20"/>
                <w:szCs w:val="20"/>
              </w:rPr>
            </w:pPr>
            <w:r>
              <w:rPr>
                <w:rFonts w:ascii="Calibri" w:eastAsia="Calibri" w:hAnsi="Calibri" w:cs="Calibri"/>
                <w:sz w:val="20"/>
                <w:szCs w:val="20"/>
              </w:rPr>
              <w:t>21.97%</w:t>
            </w:r>
          </w:p>
        </w:tc>
      </w:tr>
      <w:tr w:rsidR="00F2396B" w14:paraId="32B4BC70" w14:textId="77777777" w:rsidTr="00AC7773">
        <w:trPr>
          <w:trHeight w:val="320"/>
        </w:trPr>
        <w:tc>
          <w:tcPr>
            <w:tcW w:w="1283" w:type="dxa"/>
            <w:tcBorders>
              <w:top w:val="nil"/>
              <w:left w:val="single" w:sz="8" w:space="0" w:color="000000"/>
              <w:bottom w:val="single" w:sz="8" w:space="0" w:color="000000"/>
              <w:right w:val="single" w:sz="4" w:space="0" w:color="000000"/>
            </w:tcBorders>
            <w:shd w:val="clear" w:color="auto" w:fill="FFFFFF"/>
            <w:vAlign w:val="center"/>
          </w:tcPr>
          <w:p w14:paraId="0FAA75E6" w14:textId="77777777" w:rsidR="00F2396B" w:rsidRDefault="00702746" w:rsidP="00AC7773">
            <w:pPr>
              <w:contextualSpacing w:val="0"/>
              <w:rPr>
                <w:rFonts w:ascii="Calibri" w:eastAsia="Calibri" w:hAnsi="Calibri" w:cs="Calibri"/>
                <w:b/>
                <w:sz w:val="20"/>
                <w:szCs w:val="20"/>
              </w:rPr>
            </w:pPr>
            <w:r>
              <w:rPr>
                <w:rFonts w:ascii="Calibri" w:eastAsia="Calibri" w:hAnsi="Calibri" w:cs="Calibri"/>
                <w:b/>
                <w:sz w:val="20"/>
                <w:szCs w:val="20"/>
              </w:rPr>
              <w:t>PVH</w:t>
            </w:r>
          </w:p>
        </w:tc>
        <w:tc>
          <w:tcPr>
            <w:tcW w:w="900" w:type="dxa"/>
            <w:tcBorders>
              <w:top w:val="nil"/>
              <w:left w:val="nil"/>
              <w:bottom w:val="single" w:sz="8" w:space="0" w:color="000000"/>
              <w:right w:val="single" w:sz="4" w:space="0" w:color="000000"/>
            </w:tcBorders>
            <w:shd w:val="clear" w:color="auto" w:fill="FFFFFF"/>
            <w:vAlign w:val="center"/>
          </w:tcPr>
          <w:p w14:paraId="1979A7D6" w14:textId="77777777" w:rsidR="00F2396B" w:rsidRDefault="00702746" w:rsidP="00AC7773">
            <w:pPr>
              <w:contextualSpacing w:val="0"/>
              <w:rPr>
                <w:rFonts w:ascii="Calibri" w:eastAsia="Calibri" w:hAnsi="Calibri" w:cs="Calibri"/>
                <w:sz w:val="20"/>
                <w:szCs w:val="20"/>
              </w:rPr>
            </w:pPr>
            <w:r>
              <w:rPr>
                <w:rFonts w:ascii="Calibri" w:eastAsia="Calibri" w:hAnsi="Calibri" w:cs="Calibri"/>
                <w:sz w:val="20"/>
                <w:szCs w:val="20"/>
              </w:rPr>
              <w:t>2.5%</w:t>
            </w:r>
          </w:p>
        </w:tc>
        <w:tc>
          <w:tcPr>
            <w:tcW w:w="847" w:type="dxa"/>
            <w:gridSpan w:val="2"/>
            <w:tcBorders>
              <w:top w:val="nil"/>
              <w:left w:val="nil"/>
              <w:bottom w:val="single" w:sz="8" w:space="0" w:color="000000"/>
              <w:right w:val="single" w:sz="4" w:space="0" w:color="000000"/>
            </w:tcBorders>
            <w:shd w:val="clear" w:color="auto" w:fill="FFFFFF"/>
            <w:vAlign w:val="center"/>
          </w:tcPr>
          <w:p w14:paraId="6B2887D1" w14:textId="77777777" w:rsidR="00F2396B" w:rsidRDefault="00702746" w:rsidP="00AC7773">
            <w:pPr>
              <w:contextualSpacing w:val="0"/>
              <w:rPr>
                <w:rFonts w:ascii="Calibri" w:eastAsia="Calibri" w:hAnsi="Calibri" w:cs="Calibri"/>
                <w:sz w:val="20"/>
                <w:szCs w:val="20"/>
              </w:rPr>
            </w:pPr>
            <w:r>
              <w:rPr>
                <w:rFonts w:ascii="Calibri" w:eastAsia="Calibri" w:hAnsi="Calibri" w:cs="Calibri"/>
                <w:sz w:val="20"/>
                <w:szCs w:val="20"/>
              </w:rPr>
              <w:t>35.60%</w:t>
            </w:r>
          </w:p>
        </w:tc>
        <w:tc>
          <w:tcPr>
            <w:tcW w:w="863" w:type="dxa"/>
            <w:tcBorders>
              <w:top w:val="nil"/>
              <w:left w:val="nil"/>
              <w:bottom w:val="single" w:sz="8" w:space="0" w:color="000000"/>
              <w:right w:val="single" w:sz="4" w:space="0" w:color="000000"/>
            </w:tcBorders>
            <w:shd w:val="clear" w:color="auto" w:fill="FFFFFF"/>
            <w:vAlign w:val="center"/>
          </w:tcPr>
          <w:p w14:paraId="0CEF5D48" w14:textId="77777777" w:rsidR="00F2396B" w:rsidRDefault="00702746" w:rsidP="00AC7773">
            <w:pPr>
              <w:contextualSpacing w:val="0"/>
              <w:rPr>
                <w:rFonts w:ascii="Calibri" w:eastAsia="Calibri" w:hAnsi="Calibri" w:cs="Calibri"/>
                <w:sz w:val="20"/>
                <w:szCs w:val="20"/>
              </w:rPr>
            </w:pPr>
            <w:r>
              <w:rPr>
                <w:rFonts w:ascii="Calibri" w:eastAsia="Calibri" w:hAnsi="Calibri" w:cs="Calibri"/>
                <w:sz w:val="20"/>
                <w:szCs w:val="20"/>
              </w:rPr>
              <w:t>0.61%</w:t>
            </w:r>
          </w:p>
        </w:tc>
        <w:tc>
          <w:tcPr>
            <w:tcW w:w="900" w:type="dxa"/>
            <w:tcBorders>
              <w:top w:val="nil"/>
              <w:left w:val="nil"/>
              <w:bottom w:val="single" w:sz="8" w:space="0" w:color="000000"/>
              <w:right w:val="single" w:sz="8" w:space="0" w:color="000000"/>
            </w:tcBorders>
            <w:shd w:val="clear" w:color="auto" w:fill="FFFFFF"/>
            <w:vAlign w:val="center"/>
          </w:tcPr>
          <w:p w14:paraId="55DA4C7A" w14:textId="77777777" w:rsidR="00F2396B" w:rsidRDefault="00702746" w:rsidP="00AC7773">
            <w:pPr>
              <w:contextualSpacing w:val="0"/>
              <w:rPr>
                <w:rFonts w:ascii="Calibri" w:eastAsia="Calibri" w:hAnsi="Calibri" w:cs="Calibri"/>
                <w:sz w:val="20"/>
                <w:szCs w:val="20"/>
              </w:rPr>
            </w:pPr>
            <w:r>
              <w:rPr>
                <w:rFonts w:ascii="Calibri" w:eastAsia="Calibri" w:hAnsi="Calibri" w:cs="Calibri"/>
                <w:sz w:val="20"/>
                <w:szCs w:val="20"/>
              </w:rPr>
              <w:t>-2.67%</w:t>
            </w:r>
          </w:p>
        </w:tc>
      </w:tr>
    </w:tbl>
    <w:p w14:paraId="5AADDF8A" w14:textId="77777777" w:rsidR="00F2396B" w:rsidRDefault="00F2396B">
      <w:pPr>
        <w:jc w:val="both"/>
        <w:rPr>
          <w:b/>
          <w:sz w:val="20"/>
          <w:szCs w:val="20"/>
          <w:u w:val="single"/>
        </w:rPr>
      </w:pPr>
    </w:p>
    <w:p w14:paraId="5B659C94" w14:textId="6829DB95" w:rsidR="00F2396B" w:rsidRDefault="00702746">
      <w:pPr>
        <w:jc w:val="both"/>
        <w:rPr>
          <w:sz w:val="20"/>
          <w:szCs w:val="20"/>
        </w:rPr>
      </w:pPr>
      <w:r>
        <w:rPr>
          <w:noProof/>
          <w:lang w:eastAsia="en-US"/>
        </w:rPr>
        <w:drawing>
          <wp:inline distT="0" distB="0" distL="0" distR="0" wp14:anchorId="6046652F" wp14:editId="07A4A86D">
            <wp:extent cx="3180626" cy="185483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195492" cy="1863504"/>
                    </a:xfrm>
                    <a:prstGeom prst="rect">
                      <a:avLst/>
                    </a:prstGeom>
                    <a:ln/>
                  </pic:spPr>
                </pic:pic>
              </a:graphicData>
            </a:graphic>
          </wp:inline>
        </w:drawing>
      </w:r>
    </w:p>
    <w:p w14:paraId="28D9D180" w14:textId="24EFE606" w:rsidR="00C8299D" w:rsidRPr="002601CC" w:rsidRDefault="002601CC" w:rsidP="002601CC">
      <w:pPr>
        <w:tabs>
          <w:tab w:val="left" w:pos="1428"/>
          <w:tab w:val="left" w:pos="7428"/>
        </w:tabs>
        <w:jc w:val="both"/>
        <w:rPr>
          <w:b/>
          <w:sz w:val="20"/>
          <w:szCs w:val="20"/>
        </w:rPr>
      </w:pPr>
      <w:r>
        <w:rPr>
          <w:sz w:val="20"/>
          <w:szCs w:val="20"/>
        </w:rPr>
        <w:tab/>
        <w:t xml:space="preserve">                  </w:t>
      </w:r>
      <w:r w:rsidRPr="002601CC">
        <w:rPr>
          <w:b/>
          <w:sz w:val="20"/>
          <w:szCs w:val="20"/>
        </w:rPr>
        <w:t>Table 2</w:t>
      </w:r>
      <w:r>
        <w:rPr>
          <w:b/>
          <w:sz w:val="20"/>
          <w:szCs w:val="20"/>
        </w:rPr>
        <w:tab/>
        <w:t>Figure 2</w:t>
      </w:r>
    </w:p>
    <w:p w14:paraId="7AD65879" w14:textId="77777777" w:rsidR="002601CC" w:rsidRDefault="002601CC">
      <w:pPr>
        <w:jc w:val="both"/>
        <w:rPr>
          <w:sz w:val="20"/>
          <w:szCs w:val="20"/>
        </w:rPr>
      </w:pPr>
    </w:p>
    <w:p w14:paraId="6434C5BC" w14:textId="77777777" w:rsidR="00F2396B" w:rsidRDefault="00702746">
      <w:pPr>
        <w:ind w:firstLine="360"/>
        <w:jc w:val="both"/>
        <w:rPr>
          <w:sz w:val="20"/>
          <w:szCs w:val="20"/>
        </w:rPr>
      </w:pPr>
      <w:r>
        <w:rPr>
          <w:sz w:val="20"/>
          <w:szCs w:val="20"/>
        </w:rPr>
        <w:t>After comparing the sales growth for all the five companies, following conclusions can be made:</w:t>
      </w:r>
    </w:p>
    <w:p w14:paraId="5792B3AF" w14:textId="77777777" w:rsidR="00F2396B" w:rsidRDefault="00702746">
      <w:pPr>
        <w:numPr>
          <w:ilvl w:val="0"/>
          <w:numId w:val="3"/>
        </w:numPr>
        <w:ind w:hanging="360"/>
        <w:jc w:val="both"/>
        <w:rPr>
          <w:sz w:val="20"/>
          <w:szCs w:val="20"/>
        </w:rPr>
      </w:pPr>
      <w:r>
        <w:rPr>
          <w:sz w:val="20"/>
          <w:szCs w:val="20"/>
        </w:rPr>
        <w:t>Ralph Lauren, GAP &amp; PVH has consistent drop in their individual sales growth</w:t>
      </w:r>
    </w:p>
    <w:p w14:paraId="32041A1D" w14:textId="77777777" w:rsidR="00F2396B" w:rsidRDefault="00702746">
      <w:pPr>
        <w:numPr>
          <w:ilvl w:val="0"/>
          <w:numId w:val="3"/>
        </w:numPr>
        <w:ind w:hanging="360"/>
        <w:jc w:val="both"/>
        <w:rPr>
          <w:sz w:val="20"/>
          <w:szCs w:val="20"/>
        </w:rPr>
      </w:pPr>
      <w:r>
        <w:rPr>
          <w:sz w:val="20"/>
          <w:szCs w:val="20"/>
        </w:rPr>
        <w:t>AEO, sales growth is not consistent and has its ups and downs.</w:t>
      </w:r>
    </w:p>
    <w:p w14:paraId="626AA6B2" w14:textId="77777777" w:rsidR="00F2396B" w:rsidRDefault="00702746">
      <w:pPr>
        <w:numPr>
          <w:ilvl w:val="0"/>
          <w:numId w:val="3"/>
        </w:numPr>
        <w:ind w:hanging="360"/>
        <w:jc w:val="both"/>
        <w:rPr>
          <w:sz w:val="20"/>
          <w:szCs w:val="20"/>
        </w:rPr>
      </w:pPr>
      <w:r>
        <w:rPr>
          <w:sz w:val="20"/>
          <w:szCs w:val="20"/>
        </w:rPr>
        <w:t xml:space="preserve">From all the five selected companies Under </w:t>
      </w:r>
      <w:proofErr w:type="spellStart"/>
      <w:r>
        <w:rPr>
          <w:sz w:val="20"/>
          <w:szCs w:val="20"/>
        </w:rPr>
        <w:t>Armour</w:t>
      </w:r>
      <w:proofErr w:type="spellEnd"/>
      <w:r>
        <w:rPr>
          <w:sz w:val="20"/>
          <w:szCs w:val="20"/>
        </w:rPr>
        <w:t xml:space="preserve"> has the best ratio/percentage. They have few variations in their sales growth throughout the four years.</w:t>
      </w:r>
    </w:p>
    <w:p w14:paraId="3089E48A" w14:textId="77777777" w:rsidR="00F2396B" w:rsidRDefault="00702746">
      <w:pPr>
        <w:ind w:firstLine="360"/>
        <w:jc w:val="both"/>
        <w:rPr>
          <w:sz w:val="20"/>
          <w:szCs w:val="20"/>
        </w:rPr>
      </w:pPr>
      <w:r>
        <w:rPr>
          <w:sz w:val="20"/>
          <w:szCs w:val="20"/>
        </w:rPr>
        <w:t xml:space="preserve">Hence, we can conclude that Under </w:t>
      </w:r>
      <w:proofErr w:type="spellStart"/>
      <w:r>
        <w:rPr>
          <w:sz w:val="20"/>
          <w:szCs w:val="20"/>
        </w:rPr>
        <w:t>Armour</w:t>
      </w:r>
      <w:proofErr w:type="spellEnd"/>
      <w:r>
        <w:rPr>
          <w:sz w:val="20"/>
          <w:szCs w:val="20"/>
        </w:rPr>
        <w:t xml:space="preserve"> has an excellent sales growth.</w:t>
      </w:r>
    </w:p>
    <w:p w14:paraId="35114EDC" w14:textId="77777777" w:rsidR="00F2396B" w:rsidRDefault="00F2396B">
      <w:pPr>
        <w:jc w:val="both"/>
        <w:rPr>
          <w:b/>
          <w:sz w:val="20"/>
          <w:szCs w:val="20"/>
        </w:rPr>
      </w:pPr>
    </w:p>
    <w:p w14:paraId="740B27C2" w14:textId="77777777" w:rsidR="00F2396B" w:rsidRDefault="00702746">
      <w:pPr>
        <w:jc w:val="both"/>
        <w:rPr>
          <w:b/>
          <w:sz w:val="20"/>
          <w:szCs w:val="20"/>
        </w:rPr>
      </w:pPr>
      <w:r>
        <w:rPr>
          <w:b/>
          <w:sz w:val="20"/>
          <w:szCs w:val="20"/>
        </w:rPr>
        <w:t>Earnings Per Share</w:t>
      </w:r>
    </w:p>
    <w:p w14:paraId="6B013582" w14:textId="77777777" w:rsidR="00F2396B" w:rsidRDefault="00F2396B">
      <w:pPr>
        <w:jc w:val="both"/>
        <w:rPr>
          <w:i/>
          <w:sz w:val="20"/>
          <w:szCs w:val="20"/>
        </w:rPr>
      </w:pPr>
    </w:p>
    <w:p w14:paraId="286EBC22" w14:textId="77777777" w:rsidR="00F2396B" w:rsidRDefault="00702746">
      <w:pPr>
        <w:ind w:firstLine="360"/>
        <w:jc w:val="both"/>
        <w:rPr>
          <w:sz w:val="20"/>
          <w:szCs w:val="20"/>
        </w:rPr>
      </w:pPr>
      <w:r>
        <w:rPr>
          <w:sz w:val="20"/>
          <w:szCs w:val="20"/>
        </w:rPr>
        <w:t>Earnings Per Share(EPS) is the amount reserved from the profit of the company that is allocated to each outstanding share of the common stock. Higher the earning per share higher the profits for the company i.e. it serves as an indicator for the profits made by the companies. Two companies can have the same EPS number but the company getting the EPS number by investing less is the better of the two and will be more efficient.</w:t>
      </w:r>
    </w:p>
    <w:p w14:paraId="3B341A3A" w14:textId="77777777" w:rsidR="00F2396B" w:rsidRDefault="00F2396B">
      <w:pPr>
        <w:ind w:firstLine="360"/>
        <w:jc w:val="both"/>
        <w:rPr>
          <w:sz w:val="20"/>
          <w:szCs w:val="20"/>
        </w:rPr>
      </w:pPr>
    </w:p>
    <w:tbl>
      <w:tblPr>
        <w:tblStyle w:val="a1"/>
        <w:tblpPr w:leftFromText="180" w:rightFromText="180" w:vertAnchor="text" w:horzAnchor="page" w:tblpX="1277" w:tblpY="37"/>
        <w:tblOverlap w:val="never"/>
        <w:tblW w:w="4406" w:type="dxa"/>
        <w:tblLayout w:type="fixed"/>
        <w:tblLook w:val="0400" w:firstRow="0" w:lastRow="0" w:firstColumn="0" w:lastColumn="0" w:noHBand="0" w:noVBand="1"/>
      </w:tblPr>
      <w:tblGrid>
        <w:gridCol w:w="1613"/>
        <w:gridCol w:w="717"/>
        <w:gridCol w:w="760"/>
        <w:gridCol w:w="648"/>
        <w:gridCol w:w="668"/>
      </w:tblGrid>
      <w:tr w:rsidR="00F2396B" w14:paraId="7B4C02D3" w14:textId="77777777" w:rsidTr="00AC7773">
        <w:trPr>
          <w:trHeight w:val="340"/>
        </w:trPr>
        <w:tc>
          <w:tcPr>
            <w:tcW w:w="4406" w:type="dxa"/>
            <w:gridSpan w:val="5"/>
            <w:tcBorders>
              <w:top w:val="single" w:sz="8" w:space="0" w:color="000000"/>
              <w:left w:val="single" w:sz="8" w:space="0" w:color="000000"/>
              <w:bottom w:val="single" w:sz="8" w:space="0" w:color="000000"/>
              <w:right w:val="single" w:sz="8" w:space="0" w:color="000000"/>
            </w:tcBorders>
            <w:shd w:val="clear" w:color="auto" w:fill="FFFFFF"/>
            <w:vAlign w:val="bottom"/>
          </w:tcPr>
          <w:p w14:paraId="58DEED8C" w14:textId="77777777" w:rsidR="00F2396B" w:rsidRDefault="00702746" w:rsidP="00AC7773">
            <w:pPr>
              <w:contextualSpacing w:val="0"/>
              <w:jc w:val="both"/>
              <w:rPr>
                <w:b/>
                <w:sz w:val="18"/>
                <w:szCs w:val="18"/>
              </w:rPr>
            </w:pPr>
            <w:r>
              <w:rPr>
                <w:b/>
                <w:sz w:val="18"/>
                <w:szCs w:val="18"/>
              </w:rPr>
              <w:t>Earnings Per Share (EPS)</w:t>
            </w:r>
          </w:p>
        </w:tc>
      </w:tr>
      <w:tr w:rsidR="00F2396B" w14:paraId="1E3965D3" w14:textId="77777777" w:rsidTr="00AC7773">
        <w:trPr>
          <w:trHeight w:val="340"/>
        </w:trPr>
        <w:tc>
          <w:tcPr>
            <w:tcW w:w="1613" w:type="dxa"/>
            <w:tcBorders>
              <w:top w:val="nil"/>
              <w:left w:val="single" w:sz="8" w:space="0" w:color="000000"/>
              <w:bottom w:val="single" w:sz="8" w:space="0" w:color="000000"/>
              <w:right w:val="single" w:sz="8" w:space="0" w:color="000000"/>
            </w:tcBorders>
            <w:shd w:val="clear" w:color="auto" w:fill="FFFFFF"/>
            <w:vAlign w:val="bottom"/>
          </w:tcPr>
          <w:p w14:paraId="2E15593B" w14:textId="77777777" w:rsidR="00F2396B" w:rsidRDefault="00702746" w:rsidP="00AC7773">
            <w:pPr>
              <w:contextualSpacing w:val="0"/>
              <w:jc w:val="both"/>
              <w:rPr>
                <w:b/>
                <w:sz w:val="18"/>
                <w:szCs w:val="18"/>
              </w:rPr>
            </w:pPr>
            <w:r>
              <w:rPr>
                <w:b/>
                <w:sz w:val="18"/>
                <w:szCs w:val="18"/>
              </w:rPr>
              <w:t>Years</w:t>
            </w:r>
          </w:p>
        </w:tc>
        <w:tc>
          <w:tcPr>
            <w:tcW w:w="717" w:type="dxa"/>
            <w:tcBorders>
              <w:top w:val="nil"/>
              <w:left w:val="nil"/>
              <w:bottom w:val="single" w:sz="8" w:space="0" w:color="000000"/>
              <w:right w:val="single" w:sz="4" w:space="0" w:color="000000"/>
            </w:tcBorders>
            <w:shd w:val="clear" w:color="auto" w:fill="FFFFFF"/>
            <w:vAlign w:val="bottom"/>
          </w:tcPr>
          <w:p w14:paraId="040CFA96" w14:textId="77777777" w:rsidR="00F2396B" w:rsidRDefault="00702746" w:rsidP="00AC7773">
            <w:pPr>
              <w:contextualSpacing w:val="0"/>
              <w:jc w:val="both"/>
              <w:rPr>
                <w:b/>
                <w:sz w:val="18"/>
                <w:szCs w:val="18"/>
              </w:rPr>
            </w:pPr>
            <w:r>
              <w:rPr>
                <w:b/>
                <w:sz w:val="18"/>
                <w:szCs w:val="18"/>
              </w:rPr>
              <w:t>2013</w:t>
            </w:r>
          </w:p>
        </w:tc>
        <w:tc>
          <w:tcPr>
            <w:tcW w:w="760" w:type="dxa"/>
            <w:tcBorders>
              <w:top w:val="nil"/>
              <w:left w:val="nil"/>
              <w:bottom w:val="single" w:sz="8" w:space="0" w:color="000000"/>
              <w:right w:val="single" w:sz="4" w:space="0" w:color="000000"/>
            </w:tcBorders>
            <w:shd w:val="clear" w:color="auto" w:fill="FFFFFF"/>
            <w:vAlign w:val="bottom"/>
          </w:tcPr>
          <w:p w14:paraId="00F61148" w14:textId="77777777" w:rsidR="00F2396B" w:rsidRDefault="00702746" w:rsidP="00AC7773">
            <w:pPr>
              <w:contextualSpacing w:val="0"/>
              <w:jc w:val="both"/>
              <w:rPr>
                <w:b/>
                <w:sz w:val="18"/>
                <w:szCs w:val="18"/>
              </w:rPr>
            </w:pPr>
            <w:r>
              <w:rPr>
                <w:b/>
                <w:sz w:val="18"/>
                <w:szCs w:val="18"/>
              </w:rPr>
              <w:t>2014</w:t>
            </w:r>
          </w:p>
        </w:tc>
        <w:tc>
          <w:tcPr>
            <w:tcW w:w="648" w:type="dxa"/>
            <w:tcBorders>
              <w:top w:val="nil"/>
              <w:left w:val="nil"/>
              <w:bottom w:val="single" w:sz="8" w:space="0" w:color="000000"/>
              <w:right w:val="single" w:sz="4" w:space="0" w:color="000000"/>
            </w:tcBorders>
            <w:shd w:val="clear" w:color="auto" w:fill="FFFFFF"/>
            <w:vAlign w:val="bottom"/>
          </w:tcPr>
          <w:p w14:paraId="7B01A0E3" w14:textId="77777777" w:rsidR="00F2396B" w:rsidRDefault="00702746" w:rsidP="00AC7773">
            <w:pPr>
              <w:contextualSpacing w:val="0"/>
              <w:jc w:val="both"/>
              <w:rPr>
                <w:b/>
                <w:sz w:val="18"/>
                <w:szCs w:val="18"/>
              </w:rPr>
            </w:pPr>
            <w:r>
              <w:rPr>
                <w:b/>
                <w:sz w:val="18"/>
                <w:szCs w:val="18"/>
              </w:rPr>
              <w:t>2015</w:t>
            </w:r>
          </w:p>
        </w:tc>
        <w:tc>
          <w:tcPr>
            <w:tcW w:w="668" w:type="dxa"/>
            <w:tcBorders>
              <w:top w:val="nil"/>
              <w:left w:val="nil"/>
              <w:bottom w:val="single" w:sz="8" w:space="0" w:color="000000"/>
              <w:right w:val="single" w:sz="8" w:space="0" w:color="000000"/>
            </w:tcBorders>
            <w:shd w:val="clear" w:color="auto" w:fill="FFFFFF"/>
            <w:vAlign w:val="bottom"/>
          </w:tcPr>
          <w:p w14:paraId="08862B57" w14:textId="77777777" w:rsidR="00F2396B" w:rsidRDefault="00702746" w:rsidP="00AC7773">
            <w:pPr>
              <w:contextualSpacing w:val="0"/>
              <w:jc w:val="both"/>
              <w:rPr>
                <w:b/>
                <w:sz w:val="18"/>
                <w:szCs w:val="18"/>
              </w:rPr>
            </w:pPr>
            <w:r>
              <w:rPr>
                <w:b/>
                <w:sz w:val="18"/>
                <w:szCs w:val="18"/>
              </w:rPr>
              <w:t>2016</w:t>
            </w:r>
          </w:p>
        </w:tc>
      </w:tr>
      <w:tr w:rsidR="00F2396B" w14:paraId="4DB0AA60" w14:textId="77777777" w:rsidTr="00AC7773">
        <w:trPr>
          <w:trHeight w:val="320"/>
        </w:trPr>
        <w:tc>
          <w:tcPr>
            <w:tcW w:w="1613" w:type="dxa"/>
            <w:tcBorders>
              <w:top w:val="nil"/>
              <w:left w:val="single" w:sz="8" w:space="0" w:color="000000"/>
              <w:bottom w:val="single" w:sz="4" w:space="0" w:color="000000"/>
              <w:right w:val="single" w:sz="8" w:space="0" w:color="000000"/>
            </w:tcBorders>
            <w:shd w:val="clear" w:color="auto" w:fill="FFFFFF"/>
            <w:vAlign w:val="bottom"/>
          </w:tcPr>
          <w:p w14:paraId="1B04127E" w14:textId="77777777" w:rsidR="00F2396B" w:rsidRDefault="00702746" w:rsidP="00AC7773">
            <w:pPr>
              <w:contextualSpacing w:val="0"/>
              <w:jc w:val="both"/>
              <w:rPr>
                <w:sz w:val="18"/>
                <w:szCs w:val="18"/>
              </w:rPr>
            </w:pPr>
            <w:r>
              <w:rPr>
                <w:sz w:val="18"/>
                <w:szCs w:val="18"/>
              </w:rPr>
              <w:t>AEO</w:t>
            </w:r>
          </w:p>
        </w:tc>
        <w:tc>
          <w:tcPr>
            <w:tcW w:w="717" w:type="dxa"/>
            <w:tcBorders>
              <w:top w:val="nil"/>
              <w:left w:val="nil"/>
              <w:bottom w:val="single" w:sz="4" w:space="0" w:color="000000"/>
              <w:right w:val="single" w:sz="4" w:space="0" w:color="000000"/>
            </w:tcBorders>
            <w:shd w:val="clear" w:color="auto" w:fill="FFFFFF"/>
            <w:vAlign w:val="bottom"/>
          </w:tcPr>
          <w:p w14:paraId="06462027" w14:textId="77777777" w:rsidR="00F2396B" w:rsidRDefault="00702746" w:rsidP="00AC7773">
            <w:pPr>
              <w:contextualSpacing w:val="0"/>
              <w:jc w:val="both"/>
              <w:rPr>
                <w:sz w:val="18"/>
                <w:szCs w:val="18"/>
              </w:rPr>
            </w:pPr>
            <w:r>
              <w:rPr>
                <w:sz w:val="18"/>
                <w:szCs w:val="18"/>
              </w:rPr>
              <w:t>1.35</w:t>
            </w:r>
          </w:p>
        </w:tc>
        <w:tc>
          <w:tcPr>
            <w:tcW w:w="760" w:type="dxa"/>
            <w:tcBorders>
              <w:top w:val="nil"/>
              <w:left w:val="nil"/>
              <w:bottom w:val="single" w:sz="4" w:space="0" w:color="000000"/>
              <w:right w:val="single" w:sz="4" w:space="0" w:color="000000"/>
            </w:tcBorders>
            <w:shd w:val="clear" w:color="auto" w:fill="FFFFFF"/>
            <w:vAlign w:val="bottom"/>
          </w:tcPr>
          <w:p w14:paraId="4B4C2A5F" w14:textId="77777777" w:rsidR="00F2396B" w:rsidRDefault="00702746" w:rsidP="00AC7773">
            <w:pPr>
              <w:contextualSpacing w:val="0"/>
              <w:jc w:val="both"/>
              <w:rPr>
                <w:sz w:val="18"/>
                <w:szCs w:val="18"/>
              </w:rPr>
            </w:pPr>
            <w:r>
              <w:rPr>
                <w:sz w:val="18"/>
                <w:szCs w:val="18"/>
              </w:rPr>
              <w:t>0.43</w:t>
            </w:r>
          </w:p>
        </w:tc>
        <w:tc>
          <w:tcPr>
            <w:tcW w:w="648" w:type="dxa"/>
            <w:tcBorders>
              <w:top w:val="nil"/>
              <w:left w:val="nil"/>
              <w:bottom w:val="single" w:sz="4" w:space="0" w:color="000000"/>
              <w:right w:val="single" w:sz="4" w:space="0" w:color="000000"/>
            </w:tcBorders>
            <w:shd w:val="clear" w:color="auto" w:fill="FFFFFF"/>
            <w:vAlign w:val="bottom"/>
          </w:tcPr>
          <w:p w14:paraId="44024CD0" w14:textId="77777777" w:rsidR="00F2396B" w:rsidRDefault="00702746" w:rsidP="00AC7773">
            <w:pPr>
              <w:contextualSpacing w:val="0"/>
              <w:jc w:val="both"/>
              <w:rPr>
                <w:sz w:val="18"/>
                <w:szCs w:val="18"/>
              </w:rPr>
            </w:pPr>
            <w:r>
              <w:rPr>
                <w:sz w:val="18"/>
                <w:szCs w:val="18"/>
              </w:rPr>
              <w:t>0.46</w:t>
            </w:r>
          </w:p>
        </w:tc>
        <w:tc>
          <w:tcPr>
            <w:tcW w:w="668" w:type="dxa"/>
            <w:tcBorders>
              <w:top w:val="nil"/>
              <w:left w:val="nil"/>
              <w:bottom w:val="single" w:sz="4" w:space="0" w:color="000000"/>
              <w:right w:val="single" w:sz="8" w:space="0" w:color="000000"/>
            </w:tcBorders>
            <w:shd w:val="clear" w:color="auto" w:fill="FFFFFF"/>
            <w:vAlign w:val="bottom"/>
          </w:tcPr>
          <w:p w14:paraId="27499A49" w14:textId="77777777" w:rsidR="00F2396B" w:rsidRDefault="00702746" w:rsidP="00AC7773">
            <w:pPr>
              <w:contextualSpacing w:val="0"/>
              <w:jc w:val="both"/>
              <w:rPr>
                <w:sz w:val="18"/>
                <w:szCs w:val="18"/>
              </w:rPr>
            </w:pPr>
            <w:r>
              <w:rPr>
                <w:sz w:val="18"/>
                <w:szCs w:val="18"/>
              </w:rPr>
              <w:t>1.10</w:t>
            </w:r>
          </w:p>
        </w:tc>
      </w:tr>
      <w:tr w:rsidR="00F2396B" w14:paraId="2378082A" w14:textId="77777777" w:rsidTr="00AC7773">
        <w:trPr>
          <w:trHeight w:val="320"/>
        </w:trPr>
        <w:tc>
          <w:tcPr>
            <w:tcW w:w="1613" w:type="dxa"/>
            <w:tcBorders>
              <w:top w:val="nil"/>
              <w:left w:val="single" w:sz="8" w:space="0" w:color="000000"/>
              <w:bottom w:val="single" w:sz="4" w:space="0" w:color="000000"/>
              <w:right w:val="single" w:sz="8" w:space="0" w:color="000000"/>
            </w:tcBorders>
            <w:shd w:val="clear" w:color="auto" w:fill="FFFFFF"/>
            <w:vAlign w:val="bottom"/>
          </w:tcPr>
          <w:p w14:paraId="0D850623" w14:textId="77777777" w:rsidR="00F2396B" w:rsidRDefault="00702746" w:rsidP="00AC7773">
            <w:pPr>
              <w:contextualSpacing w:val="0"/>
              <w:jc w:val="both"/>
              <w:rPr>
                <w:sz w:val="18"/>
                <w:szCs w:val="18"/>
              </w:rPr>
            </w:pPr>
            <w:r>
              <w:rPr>
                <w:sz w:val="18"/>
                <w:szCs w:val="18"/>
              </w:rPr>
              <w:t>GAP</w:t>
            </w:r>
          </w:p>
        </w:tc>
        <w:tc>
          <w:tcPr>
            <w:tcW w:w="717" w:type="dxa"/>
            <w:tcBorders>
              <w:top w:val="nil"/>
              <w:left w:val="nil"/>
              <w:bottom w:val="single" w:sz="4" w:space="0" w:color="000000"/>
              <w:right w:val="single" w:sz="4" w:space="0" w:color="000000"/>
            </w:tcBorders>
            <w:shd w:val="clear" w:color="auto" w:fill="FFFFFF"/>
            <w:vAlign w:val="bottom"/>
          </w:tcPr>
          <w:p w14:paraId="43491759" w14:textId="77777777" w:rsidR="00F2396B" w:rsidRDefault="00702746" w:rsidP="00AC7773">
            <w:pPr>
              <w:contextualSpacing w:val="0"/>
              <w:jc w:val="both"/>
              <w:rPr>
                <w:sz w:val="18"/>
                <w:szCs w:val="18"/>
              </w:rPr>
            </w:pPr>
            <w:r>
              <w:rPr>
                <w:sz w:val="18"/>
                <w:szCs w:val="18"/>
              </w:rPr>
              <w:t>2.37</w:t>
            </w:r>
          </w:p>
        </w:tc>
        <w:tc>
          <w:tcPr>
            <w:tcW w:w="760" w:type="dxa"/>
            <w:tcBorders>
              <w:top w:val="nil"/>
              <w:left w:val="nil"/>
              <w:bottom w:val="single" w:sz="4" w:space="0" w:color="000000"/>
              <w:right w:val="single" w:sz="4" w:space="0" w:color="000000"/>
            </w:tcBorders>
            <w:shd w:val="clear" w:color="auto" w:fill="FFFFFF"/>
            <w:vAlign w:val="bottom"/>
          </w:tcPr>
          <w:p w14:paraId="661198BB" w14:textId="77777777" w:rsidR="00F2396B" w:rsidRDefault="00702746" w:rsidP="00AC7773">
            <w:pPr>
              <w:contextualSpacing w:val="0"/>
              <w:jc w:val="both"/>
              <w:rPr>
                <w:sz w:val="18"/>
                <w:szCs w:val="18"/>
              </w:rPr>
            </w:pPr>
            <w:r>
              <w:rPr>
                <w:sz w:val="18"/>
                <w:szCs w:val="18"/>
              </w:rPr>
              <w:t>2.78</w:t>
            </w:r>
          </w:p>
        </w:tc>
        <w:tc>
          <w:tcPr>
            <w:tcW w:w="648" w:type="dxa"/>
            <w:tcBorders>
              <w:top w:val="nil"/>
              <w:left w:val="nil"/>
              <w:bottom w:val="single" w:sz="4" w:space="0" w:color="000000"/>
              <w:right w:val="single" w:sz="4" w:space="0" w:color="000000"/>
            </w:tcBorders>
            <w:shd w:val="clear" w:color="auto" w:fill="FFFFFF"/>
            <w:vAlign w:val="bottom"/>
          </w:tcPr>
          <w:p w14:paraId="4C1D313F" w14:textId="77777777" w:rsidR="00F2396B" w:rsidRDefault="00702746" w:rsidP="00AC7773">
            <w:pPr>
              <w:contextualSpacing w:val="0"/>
              <w:jc w:val="both"/>
              <w:rPr>
                <w:sz w:val="18"/>
                <w:szCs w:val="18"/>
              </w:rPr>
            </w:pPr>
            <w:r>
              <w:rPr>
                <w:sz w:val="18"/>
                <w:szCs w:val="18"/>
              </w:rPr>
              <w:t>2.90</w:t>
            </w:r>
          </w:p>
        </w:tc>
        <w:tc>
          <w:tcPr>
            <w:tcW w:w="668" w:type="dxa"/>
            <w:tcBorders>
              <w:top w:val="nil"/>
              <w:left w:val="nil"/>
              <w:bottom w:val="single" w:sz="4" w:space="0" w:color="000000"/>
              <w:right w:val="single" w:sz="8" w:space="0" w:color="000000"/>
            </w:tcBorders>
            <w:shd w:val="clear" w:color="auto" w:fill="FFFFFF"/>
            <w:vAlign w:val="bottom"/>
          </w:tcPr>
          <w:p w14:paraId="16F72CA2" w14:textId="77777777" w:rsidR="00F2396B" w:rsidRDefault="00702746" w:rsidP="00AC7773">
            <w:pPr>
              <w:contextualSpacing w:val="0"/>
              <w:jc w:val="both"/>
              <w:rPr>
                <w:sz w:val="18"/>
                <w:szCs w:val="18"/>
              </w:rPr>
            </w:pPr>
            <w:r>
              <w:rPr>
                <w:sz w:val="18"/>
                <w:szCs w:val="18"/>
              </w:rPr>
              <w:t>2.24</w:t>
            </w:r>
          </w:p>
        </w:tc>
      </w:tr>
      <w:tr w:rsidR="00F2396B" w14:paraId="719CFB35" w14:textId="77777777" w:rsidTr="00AC7773">
        <w:trPr>
          <w:trHeight w:val="320"/>
        </w:trPr>
        <w:tc>
          <w:tcPr>
            <w:tcW w:w="1613" w:type="dxa"/>
            <w:tcBorders>
              <w:top w:val="nil"/>
              <w:left w:val="single" w:sz="8" w:space="0" w:color="000000"/>
              <w:bottom w:val="single" w:sz="4" w:space="0" w:color="000000"/>
              <w:right w:val="single" w:sz="8" w:space="0" w:color="000000"/>
            </w:tcBorders>
            <w:shd w:val="clear" w:color="auto" w:fill="FFFFFF"/>
            <w:vAlign w:val="bottom"/>
          </w:tcPr>
          <w:p w14:paraId="4EDDE768" w14:textId="77777777" w:rsidR="00F2396B" w:rsidRDefault="00702746" w:rsidP="00AC7773">
            <w:pPr>
              <w:contextualSpacing w:val="0"/>
              <w:jc w:val="both"/>
              <w:rPr>
                <w:sz w:val="18"/>
                <w:szCs w:val="18"/>
              </w:rPr>
            </w:pPr>
            <w:r>
              <w:rPr>
                <w:sz w:val="18"/>
                <w:szCs w:val="18"/>
              </w:rPr>
              <w:t>Ralph Lauren</w:t>
            </w:r>
          </w:p>
        </w:tc>
        <w:tc>
          <w:tcPr>
            <w:tcW w:w="717" w:type="dxa"/>
            <w:tcBorders>
              <w:top w:val="nil"/>
              <w:left w:val="nil"/>
              <w:bottom w:val="single" w:sz="4" w:space="0" w:color="000000"/>
              <w:right w:val="single" w:sz="4" w:space="0" w:color="000000"/>
            </w:tcBorders>
            <w:shd w:val="clear" w:color="auto" w:fill="FFFFFF"/>
            <w:vAlign w:val="bottom"/>
          </w:tcPr>
          <w:p w14:paraId="32036ACE" w14:textId="77777777" w:rsidR="00F2396B" w:rsidRDefault="00702746" w:rsidP="00AC7773">
            <w:pPr>
              <w:contextualSpacing w:val="0"/>
              <w:jc w:val="both"/>
              <w:rPr>
                <w:sz w:val="18"/>
                <w:szCs w:val="18"/>
              </w:rPr>
            </w:pPr>
            <w:r>
              <w:rPr>
                <w:sz w:val="18"/>
                <w:szCs w:val="18"/>
              </w:rPr>
              <w:t>8.21</w:t>
            </w:r>
          </w:p>
        </w:tc>
        <w:tc>
          <w:tcPr>
            <w:tcW w:w="760" w:type="dxa"/>
            <w:tcBorders>
              <w:top w:val="nil"/>
              <w:left w:val="nil"/>
              <w:bottom w:val="single" w:sz="4" w:space="0" w:color="000000"/>
              <w:right w:val="single" w:sz="4" w:space="0" w:color="000000"/>
            </w:tcBorders>
            <w:shd w:val="clear" w:color="auto" w:fill="FFFFFF"/>
            <w:vAlign w:val="bottom"/>
          </w:tcPr>
          <w:p w14:paraId="48253B80" w14:textId="77777777" w:rsidR="00F2396B" w:rsidRDefault="00702746" w:rsidP="00AC7773">
            <w:pPr>
              <w:contextualSpacing w:val="0"/>
              <w:jc w:val="both"/>
              <w:rPr>
                <w:sz w:val="18"/>
                <w:szCs w:val="18"/>
              </w:rPr>
            </w:pPr>
            <w:r>
              <w:rPr>
                <w:sz w:val="18"/>
                <w:szCs w:val="18"/>
              </w:rPr>
              <w:t>8.56</w:t>
            </w:r>
          </w:p>
        </w:tc>
        <w:tc>
          <w:tcPr>
            <w:tcW w:w="648" w:type="dxa"/>
            <w:tcBorders>
              <w:top w:val="nil"/>
              <w:left w:val="nil"/>
              <w:bottom w:val="single" w:sz="4" w:space="0" w:color="000000"/>
              <w:right w:val="single" w:sz="4" w:space="0" w:color="000000"/>
            </w:tcBorders>
            <w:shd w:val="clear" w:color="auto" w:fill="FFFFFF"/>
            <w:vAlign w:val="bottom"/>
          </w:tcPr>
          <w:p w14:paraId="57686F19" w14:textId="77777777" w:rsidR="00F2396B" w:rsidRDefault="00702746" w:rsidP="00AC7773">
            <w:pPr>
              <w:contextualSpacing w:val="0"/>
              <w:jc w:val="both"/>
              <w:rPr>
                <w:sz w:val="18"/>
                <w:szCs w:val="18"/>
              </w:rPr>
            </w:pPr>
            <w:r>
              <w:rPr>
                <w:sz w:val="18"/>
                <w:szCs w:val="18"/>
              </w:rPr>
              <w:t>7.96</w:t>
            </w:r>
          </w:p>
        </w:tc>
        <w:tc>
          <w:tcPr>
            <w:tcW w:w="668" w:type="dxa"/>
            <w:tcBorders>
              <w:top w:val="nil"/>
              <w:left w:val="nil"/>
              <w:bottom w:val="single" w:sz="4" w:space="0" w:color="000000"/>
              <w:right w:val="single" w:sz="8" w:space="0" w:color="000000"/>
            </w:tcBorders>
            <w:shd w:val="clear" w:color="auto" w:fill="FFFFFF"/>
            <w:vAlign w:val="bottom"/>
          </w:tcPr>
          <w:p w14:paraId="5C7AE480" w14:textId="77777777" w:rsidR="00F2396B" w:rsidRDefault="00702746" w:rsidP="00AC7773">
            <w:pPr>
              <w:contextualSpacing w:val="0"/>
              <w:jc w:val="both"/>
              <w:rPr>
                <w:sz w:val="18"/>
                <w:szCs w:val="18"/>
              </w:rPr>
            </w:pPr>
            <w:r>
              <w:rPr>
                <w:sz w:val="18"/>
                <w:szCs w:val="18"/>
              </w:rPr>
              <w:t>4.65</w:t>
            </w:r>
          </w:p>
        </w:tc>
      </w:tr>
      <w:tr w:rsidR="00F2396B" w14:paraId="27052B1E" w14:textId="77777777" w:rsidTr="00AC7773">
        <w:trPr>
          <w:trHeight w:val="320"/>
        </w:trPr>
        <w:tc>
          <w:tcPr>
            <w:tcW w:w="1613" w:type="dxa"/>
            <w:tcBorders>
              <w:top w:val="nil"/>
              <w:left w:val="single" w:sz="8" w:space="0" w:color="000000"/>
              <w:bottom w:val="single" w:sz="4" w:space="0" w:color="000000"/>
              <w:right w:val="single" w:sz="8" w:space="0" w:color="000000"/>
            </w:tcBorders>
            <w:shd w:val="clear" w:color="auto" w:fill="FFFFFF"/>
            <w:vAlign w:val="bottom"/>
          </w:tcPr>
          <w:p w14:paraId="2E5E11FF" w14:textId="77777777" w:rsidR="00F2396B" w:rsidRDefault="00702746" w:rsidP="00AC7773">
            <w:pPr>
              <w:contextualSpacing w:val="0"/>
              <w:jc w:val="both"/>
              <w:rPr>
                <w:sz w:val="18"/>
                <w:szCs w:val="18"/>
              </w:rPr>
            </w:pPr>
            <w:r>
              <w:rPr>
                <w:sz w:val="18"/>
                <w:szCs w:val="18"/>
              </w:rPr>
              <w:t>Under Armor</w:t>
            </w:r>
          </w:p>
        </w:tc>
        <w:tc>
          <w:tcPr>
            <w:tcW w:w="717" w:type="dxa"/>
            <w:tcBorders>
              <w:top w:val="nil"/>
              <w:left w:val="nil"/>
              <w:bottom w:val="single" w:sz="4" w:space="0" w:color="000000"/>
              <w:right w:val="single" w:sz="4" w:space="0" w:color="000000"/>
            </w:tcBorders>
            <w:shd w:val="clear" w:color="auto" w:fill="FFFFFF"/>
            <w:vAlign w:val="bottom"/>
          </w:tcPr>
          <w:p w14:paraId="69E53349" w14:textId="77777777" w:rsidR="00F2396B" w:rsidRDefault="00702746" w:rsidP="00AC7773">
            <w:pPr>
              <w:contextualSpacing w:val="0"/>
              <w:jc w:val="both"/>
              <w:rPr>
                <w:sz w:val="18"/>
                <w:szCs w:val="18"/>
              </w:rPr>
            </w:pPr>
            <w:r>
              <w:rPr>
                <w:sz w:val="18"/>
                <w:szCs w:val="18"/>
              </w:rPr>
              <w:t>0.77</w:t>
            </w:r>
          </w:p>
        </w:tc>
        <w:tc>
          <w:tcPr>
            <w:tcW w:w="760" w:type="dxa"/>
            <w:tcBorders>
              <w:top w:val="nil"/>
              <w:left w:val="nil"/>
              <w:bottom w:val="single" w:sz="4" w:space="0" w:color="000000"/>
              <w:right w:val="single" w:sz="4" w:space="0" w:color="000000"/>
            </w:tcBorders>
            <w:shd w:val="clear" w:color="auto" w:fill="FFFFFF"/>
            <w:vAlign w:val="bottom"/>
          </w:tcPr>
          <w:p w14:paraId="18ED5495" w14:textId="77777777" w:rsidR="00F2396B" w:rsidRDefault="00702746" w:rsidP="00AC7773">
            <w:pPr>
              <w:contextualSpacing w:val="0"/>
              <w:jc w:val="both"/>
              <w:rPr>
                <w:sz w:val="18"/>
                <w:szCs w:val="18"/>
              </w:rPr>
            </w:pPr>
            <w:r>
              <w:rPr>
                <w:sz w:val="18"/>
                <w:szCs w:val="18"/>
              </w:rPr>
              <w:t>0.98</w:t>
            </w:r>
          </w:p>
        </w:tc>
        <w:tc>
          <w:tcPr>
            <w:tcW w:w="648" w:type="dxa"/>
            <w:tcBorders>
              <w:top w:val="nil"/>
              <w:left w:val="nil"/>
              <w:bottom w:val="single" w:sz="4" w:space="0" w:color="000000"/>
              <w:right w:val="single" w:sz="4" w:space="0" w:color="000000"/>
            </w:tcBorders>
            <w:shd w:val="clear" w:color="auto" w:fill="FFFFFF"/>
            <w:vAlign w:val="bottom"/>
          </w:tcPr>
          <w:p w14:paraId="63D2A288" w14:textId="77777777" w:rsidR="00F2396B" w:rsidRDefault="00702746" w:rsidP="00AC7773">
            <w:pPr>
              <w:contextualSpacing w:val="0"/>
              <w:jc w:val="both"/>
              <w:rPr>
                <w:sz w:val="18"/>
                <w:szCs w:val="18"/>
              </w:rPr>
            </w:pPr>
            <w:r>
              <w:rPr>
                <w:sz w:val="18"/>
                <w:szCs w:val="18"/>
              </w:rPr>
              <w:t>1.08</w:t>
            </w:r>
          </w:p>
        </w:tc>
        <w:tc>
          <w:tcPr>
            <w:tcW w:w="668" w:type="dxa"/>
            <w:tcBorders>
              <w:top w:val="nil"/>
              <w:left w:val="nil"/>
              <w:bottom w:val="single" w:sz="4" w:space="0" w:color="000000"/>
              <w:right w:val="single" w:sz="8" w:space="0" w:color="000000"/>
            </w:tcBorders>
            <w:shd w:val="clear" w:color="auto" w:fill="FFFFFF"/>
            <w:vAlign w:val="bottom"/>
          </w:tcPr>
          <w:p w14:paraId="22B22369" w14:textId="77777777" w:rsidR="00F2396B" w:rsidRDefault="00702746" w:rsidP="00AC7773">
            <w:pPr>
              <w:contextualSpacing w:val="0"/>
              <w:jc w:val="both"/>
              <w:rPr>
                <w:sz w:val="18"/>
                <w:szCs w:val="18"/>
              </w:rPr>
            </w:pPr>
            <w:r>
              <w:rPr>
                <w:sz w:val="18"/>
                <w:szCs w:val="18"/>
              </w:rPr>
              <w:t>0.45</w:t>
            </w:r>
          </w:p>
        </w:tc>
      </w:tr>
      <w:tr w:rsidR="00F2396B" w14:paraId="482D070A" w14:textId="77777777" w:rsidTr="00AC7773">
        <w:trPr>
          <w:trHeight w:val="340"/>
        </w:trPr>
        <w:tc>
          <w:tcPr>
            <w:tcW w:w="1613" w:type="dxa"/>
            <w:tcBorders>
              <w:top w:val="nil"/>
              <w:left w:val="single" w:sz="8" w:space="0" w:color="000000"/>
              <w:bottom w:val="single" w:sz="8" w:space="0" w:color="000000"/>
              <w:right w:val="single" w:sz="8" w:space="0" w:color="000000"/>
            </w:tcBorders>
            <w:shd w:val="clear" w:color="auto" w:fill="FFFFFF"/>
            <w:vAlign w:val="bottom"/>
          </w:tcPr>
          <w:p w14:paraId="0C53EBAD" w14:textId="77777777" w:rsidR="00F2396B" w:rsidRDefault="00702746" w:rsidP="00AC7773">
            <w:pPr>
              <w:contextualSpacing w:val="0"/>
              <w:jc w:val="both"/>
              <w:rPr>
                <w:sz w:val="18"/>
                <w:szCs w:val="18"/>
              </w:rPr>
            </w:pPr>
            <w:r>
              <w:rPr>
                <w:sz w:val="18"/>
                <w:szCs w:val="18"/>
              </w:rPr>
              <w:t>PVH</w:t>
            </w:r>
          </w:p>
        </w:tc>
        <w:tc>
          <w:tcPr>
            <w:tcW w:w="717" w:type="dxa"/>
            <w:tcBorders>
              <w:top w:val="nil"/>
              <w:left w:val="nil"/>
              <w:bottom w:val="single" w:sz="8" w:space="0" w:color="000000"/>
              <w:right w:val="single" w:sz="4" w:space="0" w:color="000000"/>
            </w:tcBorders>
            <w:shd w:val="clear" w:color="auto" w:fill="FFFFFF"/>
            <w:vAlign w:val="bottom"/>
          </w:tcPr>
          <w:p w14:paraId="0A851428" w14:textId="77777777" w:rsidR="00F2396B" w:rsidRDefault="00702746" w:rsidP="00AC7773">
            <w:pPr>
              <w:contextualSpacing w:val="0"/>
              <w:jc w:val="both"/>
              <w:rPr>
                <w:sz w:val="18"/>
                <w:szCs w:val="18"/>
              </w:rPr>
            </w:pPr>
            <w:r>
              <w:rPr>
                <w:sz w:val="18"/>
                <w:szCs w:val="18"/>
              </w:rPr>
              <w:t>5.98</w:t>
            </w:r>
          </w:p>
        </w:tc>
        <w:tc>
          <w:tcPr>
            <w:tcW w:w="760" w:type="dxa"/>
            <w:tcBorders>
              <w:top w:val="nil"/>
              <w:left w:val="nil"/>
              <w:bottom w:val="single" w:sz="8" w:space="0" w:color="000000"/>
              <w:right w:val="single" w:sz="4" w:space="0" w:color="000000"/>
            </w:tcBorders>
            <w:shd w:val="clear" w:color="auto" w:fill="FFFFFF"/>
            <w:vAlign w:val="bottom"/>
          </w:tcPr>
          <w:p w14:paraId="2E6300DF" w14:textId="77777777" w:rsidR="00F2396B" w:rsidRDefault="00702746" w:rsidP="00AC7773">
            <w:pPr>
              <w:contextualSpacing w:val="0"/>
              <w:jc w:val="both"/>
              <w:rPr>
                <w:sz w:val="18"/>
                <w:szCs w:val="18"/>
              </w:rPr>
            </w:pPr>
            <w:r>
              <w:rPr>
                <w:sz w:val="18"/>
                <w:szCs w:val="18"/>
              </w:rPr>
              <w:t>1.77</w:t>
            </w:r>
          </w:p>
        </w:tc>
        <w:tc>
          <w:tcPr>
            <w:tcW w:w="648" w:type="dxa"/>
            <w:tcBorders>
              <w:top w:val="nil"/>
              <w:left w:val="nil"/>
              <w:bottom w:val="single" w:sz="8" w:space="0" w:color="000000"/>
              <w:right w:val="single" w:sz="4" w:space="0" w:color="000000"/>
            </w:tcBorders>
            <w:shd w:val="clear" w:color="auto" w:fill="FFFFFF"/>
            <w:vAlign w:val="bottom"/>
          </w:tcPr>
          <w:p w14:paraId="272549A6" w14:textId="77777777" w:rsidR="00F2396B" w:rsidRDefault="00702746" w:rsidP="00AC7773">
            <w:pPr>
              <w:contextualSpacing w:val="0"/>
              <w:jc w:val="both"/>
              <w:rPr>
                <w:sz w:val="18"/>
                <w:szCs w:val="18"/>
              </w:rPr>
            </w:pPr>
            <w:r>
              <w:rPr>
                <w:sz w:val="18"/>
                <w:szCs w:val="18"/>
              </w:rPr>
              <w:t>5.33</w:t>
            </w:r>
          </w:p>
        </w:tc>
        <w:tc>
          <w:tcPr>
            <w:tcW w:w="668" w:type="dxa"/>
            <w:tcBorders>
              <w:top w:val="nil"/>
              <w:left w:val="nil"/>
              <w:bottom w:val="single" w:sz="8" w:space="0" w:color="000000"/>
              <w:right w:val="single" w:sz="8" w:space="0" w:color="000000"/>
            </w:tcBorders>
            <w:shd w:val="clear" w:color="auto" w:fill="FFFFFF"/>
            <w:vAlign w:val="bottom"/>
          </w:tcPr>
          <w:p w14:paraId="5C872897" w14:textId="77777777" w:rsidR="00F2396B" w:rsidRDefault="00702746" w:rsidP="00AC7773">
            <w:pPr>
              <w:contextualSpacing w:val="0"/>
              <w:jc w:val="both"/>
              <w:rPr>
                <w:sz w:val="18"/>
                <w:szCs w:val="18"/>
              </w:rPr>
            </w:pPr>
            <w:r>
              <w:rPr>
                <w:sz w:val="18"/>
                <w:szCs w:val="18"/>
              </w:rPr>
              <w:t>6.95</w:t>
            </w:r>
          </w:p>
        </w:tc>
      </w:tr>
    </w:tbl>
    <w:p w14:paraId="0273F0D7" w14:textId="77777777" w:rsidR="00F2396B" w:rsidRDefault="00702746">
      <w:pPr>
        <w:jc w:val="both"/>
        <w:rPr>
          <w:sz w:val="20"/>
          <w:szCs w:val="20"/>
        </w:rPr>
      </w:pPr>
      <w:r>
        <w:rPr>
          <w:noProof/>
          <w:lang w:eastAsia="en-US"/>
        </w:rPr>
        <w:drawing>
          <wp:inline distT="0" distB="0" distL="0" distR="0" wp14:anchorId="52DE03BC" wp14:editId="2A422E99">
            <wp:extent cx="2961005" cy="1563941"/>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961005" cy="1563941"/>
                    </a:xfrm>
                    <a:prstGeom prst="rect">
                      <a:avLst/>
                    </a:prstGeom>
                    <a:ln/>
                  </pic:spPr>
                </pic:pic>
              </a:graphicData>
            </a:graphic>
          </wp:inline>
        </w:drawing>
      </w:r>
    </w:p>
    <w:p w14:paraId="34EB124B" w14:textId="6BD961D8" w:rsidR="00F2396B" w:rsidRPr="002601CC" w:rsidRDefault="002601CC" w:rsidP="002601CC">
      <w:pPr>
        <w:tabs>
          <w:tab w:val="left" w:pos="1800"/>
          <w:tab w:val="left" w:pos="7104"/>
        </w:tabs>
        <w:ind w:firstLine="360"/>
        <w:jc w:val="both"/>
        <w:rPr>
          <w:b/>
          <w:sz w:val="20"/>
          <w:szCs w:val="20"/>
        </w:rPr>
      </w:pPr>
      <w:r>
        <w:rPr>
          <w:sz w:val="20"/>
          <w:szCs w:val="20"/>
        </w:rPr>
        <w:tab/>
        <w:t xml:space="preserve">      </w:t>
      </w:r>
      <w:r w:rsidRPr="002601CC">
        <w:rPr>
          <w:b/>
          <w:sz w:val="20"/>
          <w:szCs w:val="20"/>
        </w:rPr>
        <w:t>Table 3</w:t>
      </w:r>
      <w:r>
        <w:rPr>
          <w:b/>
          <w:sz w:val="20"/>
          <w:szCs w:val="20"/>
        </w:rPr>
        <w:tab/>
        <w:t>Figure 3</w:t>
      </w:r>
    </w:p>
    <w:p w14:paraId="392984D7" w14:textId="77777777" w:rsidR="00F2396B" w:rsidRDefault="00702746">
      <w:pPr>
        <w:ind w:firstLine="360"/>
        <w:jc w:val="both"/>
        <w:rPr>
          <w:sz w:val="20"/>
          <w:szCs w:val="20"/>
        </w:rPr>
      </w:pPr>
      <w:r>
        <w:rPr>
          <w:sz w:val="20"/>
          <w:szCs w:val="20"/>
        </w:rPr>
        <w:lastRenderedPageBreak/>
        <w:t>Following conclusions can be made from the above calculations,</w:t>
      </w:r>
    </w:p>
    <w:p w14:paraId="08DA026D" w14:textId="77777777" w:rsidR="00F2396B" w:rsidRDefault="00702746">
      <w:pPr>
        <w:numPr>
          <w:ilvl w:val="0"/>
          <w:numId w:val="5"/>
        </w:numPr>
        <w:ind w:hanging="360"/>
        <w:jc w:val="both"/>
        <w:rPr>
          <w:sz w:val="20"/>
          <w:szCs w:val="20"/>
        </w:rPr>
      </w:pPr>
      <w:r>
        <w:rPr>
          <w:sz w:val="20"/>
          <w:szCs w:val="20"/>
        </w:rPr>
        <w:t xml:space="preserve">Ralph Lauren and Under </w:t>
      </w:r>
      <w:proofErr w:type="spellStart"/>
      <w:r>
        <w:rPr>
          <w:sz w:val="20"/>
          <w:szCs w:val="20"/>
        </w:rPr>
        <w:t>Armour</w:t>
      </w:r>
      <w:proofErr w:type="spellEnd"/>
      <w:r>
        <w:rPr>
          <w:sz w:val="20"/>
          <w:szCs w:val="20"/>
        </w:rPr>
        <w:t xml:space="preserve"> have a decreasing trend in Earnings per share which is the most looked out indicator on the Wall Street in terms of a company’s profitability. </w:t>
      </w:r>
    </w:p>
    <w:p w14:paraId="2E9BCCAA" w14:textId="77777777" w:rsidR="00F2396B" w:rsidRDefault="00702746">
      <w:pPr>
        <w:numPr>
          <w:ilvl w:val="0"/>
          <w:numId w:val="5"/>
        </w:numPr>
        <w:ind w:hanging="360"/>
        <w:jc w:val="both"/>
        <w:rPr>
          <w:sz w:val="20"/>
          <w:szCs w:val="20"/>
        </w:rPr>
      </w:pPr>
      <w:r>
        <w:rPr>
          <w:sz w:val="20"/>
          <w:szCs w:val="20"/>
        </w:rPr>
        <w:t>EPS ratio for AEO is not consistent and has its ups and downs.</w:t>
      </w:r>
    </w:p>
    <w:p w14:paraId="2A077106" w14:textId="77777777" w:rsidR="00F2396B" w:rsidRDefault="00702746">
      <w:pPr>
        <w:numPr>
          <w:ilvl w:val="0"/>
          <w:numId w:val="5"/>
        </w:numPr>
        <w:ind w:hanging="360"/>
        <w:jc w:val="both"/>
        <w:rPr>
          <w:sz w:val="20"/>
          <w:szCs w:val="20"/>
        </w:rPr>
      </w:pPr>
      <w:r>
        <w:rPr>
          <w:sz w:val="20"/>
          <w:szCs w:val="20"/>
        </w:rPr>
        <w:t xml:space="preserve">GAP has almost a steady EPS ratio over 4 years. </w:t>
      </w:r>
    </w:p>
    <w:p w14:paraId="7A87AFCB" w14:textId="77777777" w:rsidR="00F2396B" w:rsidRDefault="00702746">
      <w:pPr>
        <w:numPr>
          <w:ilvl w:val="0"/>
          <w:numId w:val="5"/>
        </w:numPr>
        <w:ind w:hanging="360"/>
        <w:jc w:val="both"/>
        <w:rPr>
          <w:sz w:val="20"/>
          <w:szCs w:val="20"/>
        </w:rPr>
      </w:pPr>
      <w:r>
        <w:rPr>
          <w:sz w:val="20"/>
          <w:szCs w:val="20"/>
        </w:rPr>
        <w:t xml:space="preserve">PVH has an improved EPS ratio in the last two years. </w:t>
      </w:r>
    </w:p>
    <w:p w14:paraId="426FFCED" w14:textId="77777777" w:rsidR="00F2396B" w:rsidRDefault="00702746">
      <w:pPr>
        <w:ind w:firstLine="360"/>
        <w:jc w:val="both"/>
        <w:rPr>
          <w:sz w:val="20"/>
          <w:szCs w:val="20"/>
        </w:rPr>
      </w:pPr>
      <w:r>
        <w:rPr>
          <w:sz w:val="20"/>
          <w:szCs w:val="20"/>
        </w:rPr>
        <w:t>Hence, we can conclude PVH has acceptable Earnings Per Share (EPS) ratio.</w:t>
      </w:r>
    </w:p>
    <w:p w14:paraId="5D46E571" w14:textId="77777777" w:rsidR="00F2396B" w:rsidRDefault="00702746">
      <w:pPr>
        <w:pStyle w:val="Heading2"/>
      </w:pPr>
      <w:r>
        <w:t>Return on Investments</w:t>
      </w:r>
    </w:p>
    <w:p w14:paraId="03DCF59F" w14:textId="77777777" w:rsidR="00F2396B" w:rsidRDefault="00702746">
      <w:pPr>
        <w:ind w:firstLine="360"/>
        <w:jc w:val="both"/>
        <w:rPr>
          <w:sz w:val="20"/>
          <w:szCs w:val="20"/>
        </w:rPr>
      </w:pPr>
      <w:r>
        <w:rPr>
          <w:sz w:val="20"/>
          <w:szCs w:val="20"/>
        </w:rPr>
        <w:t>Return on Investments (ROI) is the measure of the profit or the loss from an investment. This ratio is used to compare the company’s profitability or to compare between two investments which is better.</w:t>
      </w:r>
    </w:p>
    <w:p w14:paraId="4EC798DF" w14:textId="77777777" w:rsidR="00F2396B" w:rsidRDefault="00F2396B">
      <w:pPr>
        <w:ind w:firstLine="360"/>
        <w:jc w:val="both"/>
        <w:rPr>
          <w:sz w:val="20"/>
          <w:szCs w:val="20"/>
        </w:rPr>
      </w:pPr>
    </w:p>
    <w:tbl>
      <w:tblPr>
        <w:tblStyle w:val="a2"/>
        <w:tblpPr w:leftFromText="180" w:rightFromText="180" w:vertAnchor="text" w:horzAnchor="page" w:tblpX="1277" w:tblpY="-71"/>
        <w:tblOverlap w:val="never"/>
        <w:tblW w:w="4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4"/>
        <w:gridCol w:w="707"/>
        <w:gridCol w:w="734"/>
        <w:gridCol w:w="707"/>
        <w:gridCol w:w="713"/>
      </w:tblGrid>
      <w:tr w:rsidR="00F2396B" w14:paraId="77A6617E" w14:textId="77777777" w:rsidTr="00AC7773">
        <w:trPr>
          <w:trHeight w:val="320"/>
        </w:trPr>
        <w:tc>
          <w:tcPr>
            <w:tcW w:w="4415" w:type="dxa"/>
            <w:gridSpan w:val="5"/>
            <w:shd w:val="clear" w:color="auto" w:fill="FFFFFF"/>
            <w:vAlign w:val="bottom"/>
          </w:tcPr>
          <w:p w14:paraId="5A40811F" w14:textId="77777777" w:rsidR="00F2396B" w:rsidRDefault="00702746" w:rsidP="00AC7773">
            <w:pPr>
              <w:contextualSpacing w:val="0"/>
              <w:jc w:val="both"/>
              <w:rPr>
                <w:b/>
                <w:sz w:val="18"/>
                <w:szCs w:val="18"/>
              </w:rPr>
            </w:pPr>
            <w:r>
              <w:rPr>
                <w:b/>
                <w:sz w:val="18"/>
                <w:szCs w:val="18"/>
              </w:rPr>
              <w:t>Return on Investments</w:t>
            </w:r>
          </w:p>
        </w:tc>
      </w:tr>
      <w:tr w:rsidR="00F2396B" w14:paraId="4280E0A5" w14:textId="77777777" w:rsidTr="00AC7773">
        <w:trPr>
          <w:trHeight w:val="320"/>
        </w:trPr>
        <w:tc>
          <w:tcPr>
            <w:tcW w:w="1554" w:type="dxa"/>
            <w:shd w:val="clear" w:color="auto" w:fill="FFFFFF"/>
            <w:vAlign w:val="bottom"/>
          </w:tcPr>
          <w:p w14:paraId="44F719CE" w14:textId="77777777" w:rsidR="00F2396B" w:rsidRDefault="00702746" w:rsidP="00AC7773">
            <w:pPr>
              <w:contextualSpacing w:val="0"/>
              <w:jc w:val="both"/>
              <w:rPr>
                <w:b/>
                <w:sz w:val="18"/>
                <w:szCs w:val="18"/>
              </w:rPr>
            </w:pPr>
            <w:r>
              <w:rPr>
                <w:b/>
                <w:sz w:val="18"/>
                <w:szCs w:val="18"/>
              </w:rPr>
              <w:t>Years</w:t>
            </w:r>
          </w:p>
        </w:tc>
        <w:tc>
          <w:tcPr>
            <w:tcW w:w="707" w:type="dxa"/>
            <w:shd w:val="clear" w:color="auto" w:fill="FFFFFF"/>
            <w:vAlign w:val="bottom"/>
          </w:tcPr>
          <w:p w14:paraId="56A5D790" w14:textId="77777777" w:rsidR="00F2396B" w:rsidRDefault="00702746" w:rsidP="00AC7773">
            <w:pPr>
              <w:contextualSpacing w:val="0"/>
              <w:jc w:val="both"/>
              <w:rPr>
                <w:b/>
                <w:sz w:val="18"/>
                <w:szCs w:val="18"/>
              </w:rPr>
            </w:pPr>
            <w:r>
              <w:rPr>
                <w:b/>
                <w:sz w:val="18"/>
                <w:szCs w:val="18"/>
              </w:rPr>
              <w:t>2013</w:t>
            </w:r>
          </w:p>
        </w:tc>
        <w:tc>
          <w:tcPr>
            <w:tcW w:w="734" w:type="dxa"/>
            <w:shd w:val="clear" w:color="auto" w:fill="FFFFFF"/>
            <w:vAlign w:val="bottom"/>
          </w:tcPr>
          <w:p w14:paraId="334BA673" w14:textId="77777777" w:rsidR="00F2396B" w:rsidRDefault="00702746" w:rsidP="00AC7773">
            <w:pPr>
              <w:contextualSpacing w:val="0"/>
              <w:jc w:val="both"/>
              <w:rPr>
                <w:b/>
                <w:sz w:val="18"/>
                <w:szCs w:val="18"/>
              </w:rPr>
            </w:pPr>
            <w:r>
              <w:rPr>
                <w:b/>
                <w:sz w:val="18"/>
                <w:szCs w:val="18"/>
              </w:rPr>
              <w:t>2014</w:t>
            </w:r>
          </w:p>
        </w:tc>
        <w:tc>
          <w:tcPr>
            <w:tcW w:w="707" w:type="dxa"/>
            <w:shd w:val="clear" w:color="auto" w:fill="FFFFFF"/>
            <w:vAlign w:val="bottom"/>
          </w:tcPr>
          <w:p w14:paraId="783D5C45" w14:textId="77777777" w:rsidR="00F2396B" w:rsidRDefault="00702746" w:rsidP="00AC7773">
            <w:pPr>
              <w:contextualSpacing w:val="0"/>
              <w:jc w:val="both"/>
              <w:rPr>
                <w:b/>
                <w:sz w:val="18"/>
                <w:szCs w:val="18"/>
              </w:rPr>
            </w:pPr>
            <w:r>
              <w:rPr>
                <w:b/>
                <w:sz w:val="18"/>
                <w:szCs w:val="18"/>
              </w:rPr>
              <w:t>2015</w:t>
            </w:r>
          </w:p>
        </w:tc>
        <w:tc>
          <w:tcPr>
            <w:tcW w:w="713" w:type="dxa"/>
            <w:shd w:val="clear" w:color="auto" w:fill="FFFFFF"/>
            <w:vAlign w:val="bottom"/>
          </w:tcPr>
          <w:p w14:paraId="6509C2BE" w14:textId="77777777" w:rsidR="00F2396B" w:rsidRDefault="00702746" w:rsidP="00AC7773">
            <w:pPr>
              <w:contextualSpacing w:val="0"/>
              <w:jc w:val="both"/>
              <w:rPr>
                <w:b/>
                <w:sz w:val="18"/>
                <w:szCs w:val="18"/>
              </w:rPr>
            </w:pPr>
            <w:r>
              <w:rPr>
                <w:b/>
                <w:sz w:val="18"/>
                <w:szCs w:val="18"/>
              </w:rPr>
              <w:t>2016</w:t>
            </w:r>
          </w:p>
        </w:tc>
      </w:tr>
      <w:tr w:rsidR="00F2396B" w14:paraId="4911C29B" w14:textId="77777777" w:rsidTr="00AC7773">
        <w:trPr>
          <w:trHeight w:val="320"/>
        </w:trPr>
        <w:tc>
          <w:tcPr>
            <w:tcW w:w="1554" w:type="dxa"/>
            <w:shd w:val="clear" w:color="auto" w:fill="FFFFFF"/>
            <w:vAlign w:val="bottom"/>
          </w:tcPr>
          <w:p w14:paraId="6536E9D0" w14:textId="77777777" w:rsidR="00F2396B" w:rsidRDefault="00702746" w:rsidP="00AC7773">
            <w:pPr>
              <w:contextualSpacing w:val="0"/>
              <w:jc w:val="both"/>
              <w:rPr>
                <w:b/>
                <w:sz w:val="18"/>
                <w:szCs w:val="18"/>
              </w:rPr>
            </w:pPr>
            <w:r>
              <w:rPr>
                <w:b/>
                <w:sz w:val="18"/>
                <w:szCs w:val="18"/>
              </w:rPr>
              <w:t>AEO</w:t>
            </w:r>
          </w:p>
        </w:tc>
        <w:tc>
          <w:tcPr>
            <w:tcW w:w="707" w:type="dxa"/>
            <w:shd w:val="clear" w:color="auto" w:fill="FFFFFF"/>
            <w:vAlign w:val="bottom"/>
          </w:tcPr>
          <w:p w14:paraId="06B4C288" w14:textId="77777777" w:rsidR="00F2396B" w:rsidRDefault="00702746" w:rsidP="00AC7773">
            <w:pPr>
              <w:contextualSpacing w:val="0"/>
              <w:jc w:val="both"/>
              <w:rPr>
                <w:sz w:val="18"/>
                <w:szCs w:val="18"/>
              </w:rPr>
            </w:pPr>
            <w:r>
              <w:rPr>
                <w:sz w:val="18"/>
                <w:szCs w:val="18"/>
              </w:rPr>
              <w:t>0.216</w:t>
            </w:r>
          </w:p>
        </w:tc>
        <w:tc>
          <w:tcPr>
            <w:tcW w:w="734" w:type="dxa"/>
            <w:shd w:val="clear" w:color="auto" w:fill="FFFFFF"/>
            <w:vAlign w:val="bottom"/>
          </w:tcPr>
          <w:p w14:paraId="5F979972" w14:textId="77777777" w:rsidR="00F2396B" w:rsidRDefault="00702746" w:rsidP="00AC7773">
            <w:pPr>
              <w:contextualSpacing w:val="0"/>
              <w:jc w:val="both"/>
              <w:rPr>
                <w:sz w:val="18"/>
                <w:szCs w:val="18"/>
              </w:rPr>
            </w:pPr>
            <w:r>
              <w:rPr>
                <w:sz w:val="18"/>
                <w:szCs w:val="18"/>
              </w:rPr>
              <w:t>0.071</w:t>
            </w:r>
          </w:p>
        </w:tc>
        <w:tc>
          <w:tcPr>
            <w:tcW w:w="707" w:type="dxa"/>
            <w:shd w:val="clear" w:color="auto" w:fill="FFFFFF"/>
            <w:vAlign w:val="bottom"/>
          </w:tcPr>
          <w:p w14:paraId="55E6938A" w14:textId="77777777" w:rsidR="00F2396B" w:rsidRDefault="00702746" w:rsidP="00AC7773">
            <w:pPr>
              <w:contextualSpacing w:val="0"/>
              <w:jc w:val="both"/>
              <w:rPr>
                <w:sz w:val="18"/>
                <w:szCs w:val="18"/>
              </w:rPr>
            </w:pPr>
            <w:r>
              <w:rPr>
                <w:sz w:val="18"/>
                <w:szCs w:val="18"/>
              </w:rPr>
              <w:t>0.078</w:t>
            </w:r>
          </w:p>
        </w:tc>
        <w:tc>
          <w:tcPr>
            <w:tcW w:w="713" w:type="dxa"/>
            <w:shd w:val="clear" w:color="auto" w:fill="FFFFFF"/>
            <w:vAlign w:val="bottom"/>
          </w:tcPr>
          <w:p w14:paraId="09B6E8E8" w14:textId="77777777" w:rsidR="00F2396B" w:rsidRDefault="00702746" w:rsidP="00AC7773">
            <w:pPr>
              <w:contextualSpacing w:val="0"/>
              <w:jc w:val="both"/>
              <w:rPr>
                <w:sz w:val="18"/>
                <w:szCs w:val="18"/>
              </w:rPr>
            </w:pPr>
            <w:r>
              <w:rPr>
                <w:sz w:val="18"/>
                <w:szCs w:val="18"/>
              </w:rPr>
              <w:t>0.203</w:t>
            </w:r>
          </w:p>
        </w:tc>
      </w:tr>
      <w:tr w:rsidR="00F2396B" w14:paraId="373AE810" w14:textId="77777777" w:rsidTr="00AC7773">
        <w:trPr>
          <w:trHeight w:val="320"/>
        </w:trPr>
        <w:tc>
          <w:tcPr>
            <w:tcW w:w="1554" w:type="dxa"/>
            <w:shd w:val="clear" w:color="auto" w:fill="FFFFFF"/>
            <w:vAlign w:val="bottom"/>
          </w:tcPr>
          <w:p w14:paraId="4963823C" w14:textId="77777777" w:rsidR="00F2396B" w:rsidRDefault="00702746" w:rsidP="00AC7773">
            <w:pPr>
              <w:contextualSpacing w:val="0"/>
              <w:jc w:val="both"/>
              <w:rPr>
                <w:b/>
                <w:sz w:val="18"/>
                <w:szCs w:val="18"/>
              </w:rPr>
            </w:pPr>
            <w:r>
              <w:rPr>
                <w:b/>
                <w:sz w:val="18"/>
                <w:szCs w:val="18"/>
              </w:rPr>
              <w:t>GAP</w:t>
            </w:r>
          </w:p>
        </w:tc>
        <w:tc>
          <w:tcPr>
            <w:tcW w:w="707" w:type="dxa"/>
            <w:shd w:val="clear" w:color="auto" w:fill="FFFFFF"/>
            <w:vAlign w:val="bottom"/>
          </w:tcPr>
          <w:p w14:paraId="09880E0B" w14:textId="77777777" w:rsidR="00F2396B" w:rsidRDefault="00702746" w:rsidP="00AC7773">
            <w:pPr>
              <w:contextualSpacing w:val="0"/>
              <w:jc w:val="both"/>
              <w:rPr>
                <w:sz w:val="18"/>
                <w:szCs w:val="18"/>
              </w:rPr>
            </w:pPr>
            <w:r>
              <w:rPr>
                <w:sz w:val="18"/>
                <w:szCs w:val="18"/>
              </w:rPr>
              <w:t>0.22</w:t>
            </w:r>
          </w:p>
        </w:tc>
        <w:tc>
          <w:tcPr>
            <w:tcW w:w="734" w:type="dxa"/>
            <w:shd w:val="clear" w:color="auto" w:fill="FFFFFF"/>
            <w:vAlign w:val="bottom"/>
          </w:tcPr>
          <w:p w14:paraId="438F7218" w14:textId="77777777" w:rsidR="00F2396B" w:rsidRDefault="00702746" w:rsidP="00AC7773">
            <w:pPr>
              <w:contextualSpacing w:val="0"/>
              <w:jc w:val="both"/>
              <w:rPr>
                <w:sz w:val="18"/>
                <w:szCs w:val="18"/>
              </w:rPr>
            </w:pPr>
            <w:r>
              <w:rPr>
                <w:sz w:val="18"/>
                <w:szCs w:val="18"/>
              </w:rPr>
              <w:t>0.24</w:t>
            </w:r>
          </w:p>
        </w:tc>
        <w:tc>
          <w:tcPr>
            <w:tcW w:w="707" w:type="dxa"/>
            <w:shd w:val="clear" w:color="auto" w:fill="FFFFFF"/>
            <w:vAlign w:val="bottom"/>
          </w:tcPr>
          <w:p w14:paraId="7118E21A" w14:textId="77777777" w:rsidR="00F2396B" w:rsidRDefault="00702746" w:rsidP="00AC7773">
            <w:pPr>
              <w:contextualSpacing w:val="0"/>
              <w:jc w:val="both"/>
              <w:rPr>
                <w:sz w:val="18"/>
                <w:szCs w:val="18"/>
              </w:rPr>
            </w:pPr>
            <w:r>
              <w:rPr>
                <w:sz w:val="18"/>
                <w:szCs w:val="18"/>
              </w:rPr>
              <w:t>0.23</w:t>
            </w:r>
          </w:p>
        </w:tc>
        <w:tc>
          <w:tcPr>
            <w:tcW w:w="713" w:type="dxa"/>
            <w:shd w:val="clear" w:color="auto" w:fill="FFFFFF"/>
            <w:vAlign w:val="bottom"/>
          </w:tcPr>
          <w:p w14:paraId="62A6E20D" w14:textId="77777777" w:rsidR="00F2396B" w:rsidRDefault="00702746" w:rsidP="00AC7773">
            <w:pPr>
              <w:contextualSpacing w:val="0"/>
              <w:jc w:val="both"/>
              <w:rPr>
                <w:sz w:val="18"/>
                <w:szCs w:val="18"/>
              </w:rPr>
            </w:pPr>
            <w:r>
              <w:rPr>
                <w:sz w:val="18"/>
                <w:szCs w:val="18"/>
              </w:rPr>
              <w:t>0.19</w:t>
            </w:r>
          </w:p>
        </w:tc>
      </w:tr>
      <w:tr w:rsidR="00F2396B" w14:paraId="125A6F45" w14:textId="77777777" w:rsidTr="00AC7773">
        <w:trPr>
          <w:trHeight w:val="320"/>
        </w:trPr>
        <w:tc>
          <w:tcPr>
            <w:tcW w:w="1554" w:type="dxa"/>
            <w:shd w:val="clear" w:color="auto" w:fill="FFFFFF"/>
            <w:vAlign w:val="bottom"/>
          </w:tcPr>
          <w:p w14:paraId="69E57165" w14:textId="77777777" w:rsidR="00F2396B" w:rsidRDefault="00702746" w:rsidP="00AC7773">
            <w:pPr>
              <w:contextualSpacing w:val="0"/>
              <w:jc w:val="both"/>
              <w:rPr>
                <w:b/>
                <w:sz w:val="18"/>
                <w:szCs w:val="18"/>
              </w:rPr>
            </w:pPr>
            <w:r>
              <w:rPr>
                <w:b/>
                <w:sz w:val="18"/>
                <w:szCs w:val="18"/>
              </w:rPr>
              <w:t>Ralph Lauren</w:t>
            </w:r>
          </w:p>
        </w:tc>
        <w:tc>
          <w:tcPr>
            <w:tcW w:w="707" w:type="dxa"/>
            <w:shd w:val="clear" w:color="auto" w:fill="FFFFFF"/>
            <w:vAlign w:val="bottom"/>
          </w:tcPr>
          <w:p w14:paraId="223C29C0" w14:textId="77777777" w:rsidR="00F2396B" w:rsidRDefault="00702746" w:rsidP="00AC7773">
            <w:pPr>
              <w:contextualSpacing w:val="0"/>
              <w:jc w:val="both"/>
              <w:rPr>
                <w:sz w:val="18"/>
                <w:szCs w:val="18"/>
              </w:rPr>
            </w:pPr>
            <w:r>
              <w:rPr>
                <w:sz w:val="18"/>
                <w:szCs w:val="18"/>
              </w:rPr>
              <w:t>0.18</w:t>
            </w:r>
          </w:p>
        </w:tc>
        <w:tc>
          <w:tcPr>
            <w:tcW w:w="734" w:type="dxa"/>
            <w:shd w:val="clear" w:color="auto" w:fill="FFFFFF"/>
            <w:vAlign w:val="bottom"/>
          </w:tcPr>
          <w:p w14:paraId="791A8077" w14:textId="77777777" w:rsidR="00F2396B" w:rsidRDefault="00702746" w:rsidP="00AC7773">
            <w:pPr>
              <w:contextualSpacing w:val="0"/>
              <w:jc w:val="both"/>
              <w:rPr>
                <w:sz w:val="18"/>
                <w:szCs w:val="18"/>
              </w:rPr>
            </w:pPr>
            <w:r>
              <w:rPr>
                <w:sz w:val="18"/>
                <w:szCs w:val="18"/>
              </w:rPr>
              <w:t>0.15</w:t>
            </w:r>
          </w:p>
        </w:tc>
        <w:tc>
          <w:tcPr>
            <w:tcW w:w="707" w:type="dxa"/>
            <w:shd w:val="clear" w:color="auto" w:fill="FFFFFF"/>
            <w:vAlign w:val="bottom"/>
          </w:tcPr>
          <w:p w14:paraId="08BF4DA5" w14:textId="77777777" w:rsidR="00F2396B" w:rsidRDefault="00702746" w:rsidP="00AC7773">
            <w:pPr>
              <w:contextualSpacing w:val="0"/>
              <w:jc w:val="both"/>
              <w:rPr>
                <w:sz w:val="18"/>
                <w:szCs w:val="18"/>
              </w:rPr>
            </w:pPr>
            <w:r>
              <w:rPr>
                <w:sz w:val="18"/>
                <w:szCs w:val="18"/>
              </w:rPr>
              <w:t>0.14</w:t>
            </w:r>
          </w:p>
        </w:tc>
        <w:tc>
          <w:tcPr>
            <w:tcW w:w="713" w:type="dxa"/>
            <w:shd w:val="clear" w:color="auto" w:fill="FFFFFF"/>
            <w:vAlign w:val="bottom"/>
          </w:tcPr>
          <w:p w14:paraId="2E126286" w14:textId="77777777" w:rsidR="00F2396B" w:rsidRDefault="00702746" w:rsidP="00AC7773">
            <w:pPr>
              <w:contextualSpacing w:val="0"/>
              <w:jc w:val="both"/>
              <w:rPr>
                <w:sz w:val="18"/>
                <w:szCs w:val="18"/>
              </w:rPr>
            </w:pPr>
            <w:r>
              <w:rPr>
                <w:sz w:val="18"/>
                <w:szCs w:val="18"/>
              </w:rPr>
              <w:t>0.08</w:t>
            </w:r>
          </w:p>
        </w:tc>
      </w:tr>
      <w:tr w:rsidR="00F2396B" w14:paraId="685E792E" w14:textId="77777777" w:rsidTr="00AC7773">
        <w:trPr>
          <w:trHeight w:val="320"/>
        </w:trPr>
        <w:tc>
          <w:tcPr>
            <w:tcW w:w="1554" w:type="dxa"/>
            <w:shd w:val="clear" w:color="auto" w:fill="FFFFFF"/>
            <w:vAlign w:val="bottom"/>
          </w:tcPr>
          <w:p w14:paraId="326B7392" w14:textId="77777777" w:rsidR="00F2396B" w:rsidRDefault="00702746" w:rsidP="00AC7773">
            <w:pPr>
              <w:contextualSpacing w:val="0"/>
              <w:jc w:val="both"/>
              <w:rPr>
                <w:b/>
                <w:sz w:val="18"/>
                <w:szCs w:val="18"/>
              </w:rPr>
            </w:pPr>
            <w:r>
              <w:rPr>
                <w:b/>
                <w:sz w:val="18"/>
                <w:szCs w:val="18"/>
              </w:rPr>
              <w:t>Under Armor</w:t>
            </w:r>
          </w:p>
        </w:tc>
        <w:tc>
          <w:tcPr>
            <w:tcW w:w="707" w:type="dxa"/>
            <w:shd w:val="clear" w:color="auto" w:fill="FFFFFF"/>
            <w:vAlign w:val="bottom"/>
          </w:tcPr>
          <w:p w14:paraId="5F3D8925" w14:textId="77777777" w:rsidR="00F2396B" w:rsidRDefault="00702746" w:rsidP="00AC7773">
            <w:pPr>
              <w:contextualSpacing w:val="0"/>
              <w:jc w:val="both"/>
              <w:rPr>
                <w:sz w:val="18"/>
                <w:szCs w:val="18"/>
              </w:rPr>
            </w:pPr>
            <w:r>
              <w:rPr>
                <w:sz w:val="18"/>
                <w:szCs w:val="18"/>
              </w:rPr>
              <w:t>0.14</w:t>
            </w:r>
          </w:p>
        </w:tc>
        <w:tc>
          <w:tcPr>
            <w:tcW w:w="734" w:type="dxa"/>
            <w:shd w:val="clear" w:color="auto" w:fill="FFFFFF"/>
            <w:vAlign w:val="bottom"/>
          </w:tcPr>
          <w:p w14:paraId="56C339DD" w14:textId="77777777" w:rsidR="00F2396B" w:rsidRDefault="00702746" w:rsidP="00AC7773">
            <w:pPr>
              <w:contextualSpacing w:val="0"/>
              <w:jc w:val="both"/>
              <w:rPr>
                <w:sz w:val="18"/>
                <w:szCs w:val="18"/>
              </w:rPr>
            </w:pPr>
            <w:r>
              <w:rPr>
                <w:sz w:val="18"/>
                <w:szCs w:val="18"/>
              </w:rPr>
              <w:t>0.12</w:t>
            </w:r>
          </w:p>
        </w:tc>
        <w:tc>
          <w:tcPr>
            <w:tcW w:w="707" w:type="dxa"/>
            <w:shd w:val="clear" w:color="auto" w:fill="FFFFFF"/>
            <w:vAlign w:val="bottom"/>
          </w:tcPr>
          <w:p w14:paraId="1A8FC2EE" w14:textId="77777777" w:rsidR="00F2396B" w:rsidRDefault="00702746" w:rsidP="00AC7773">
            <w:pPr>
              <w:contextualSpacing w:val="0"/>
              <w:jc w:val="both"/>
              <w:rPr>
                <w:sz w:val="18"/>
                <w:szCs w:val="18"/>
              </w:rPr>
            </w:pPr>
            <w:r>
              <w:rPr>
                <w:sz w:val="18"/>
                <w:szCs w:val="18"/>
              </w:rPr>
              <w:t>0.10</w:t>
            </w:r>
          </w:p>
        </w:tc>
        <w:tc>
          <w:tcPr>
            <w:tcW w:w="713" w:type="dxa"/>
            <w:shd w:val="clear" w:color="auto" w:fill="FFFFFF"/>
            <w:vAlign w:val="bottom"/>
          </w:tcPr>
          <w:p w14:paraId="1835F0AA" w14:textId="77777777" w:rsidR="00F2396B" w:rsidRDefault="00702746" w:rsidP="00AC7773">
            <w:pPr>
              <w:contextualSpacing w:val="0"/>
              <w:jc w:val="both"/>
              <w:rPr>
                <w:sz w:val="18"/>
                <w:szCs w:val="18"/>
              </w:rPr>
            </w:pPr>
            <w:r>
              <w:rPr>
                <w:sz w:val="18"/>
                <w:szCs w:val="18"/>
              </w:rPr>
              <w:t>0.07</w:t>
            </w:r>
          </w:p>
        </w:tc>
      </w:tr>
      <w:tr w:rsidR="00F2396B" w14:paraId="1E32DCB8" w14:textId="77777777" w:rsidTr="00AC7773">
        <w:trPr>
          <w:trHeight w:val="320"/>
        </w:trPr>
        <w:tc>
          <w:tcPr>
            <w:tcW w:w="1554" w:type="dxa"/>
            <w:shd w:val="clear" w:color="auto" w:fill="FFFFFF"/>
            <w:vAlign w:val="bottom"/>
          </w:tcPr>
          <w:p w14:paraId="0B5BC83C" w14:textId="77777777" w:rsidR="00F2396B" w:rsidRDefault="00702746" w:rsidP="00AC7773">
            <w:pPr>
              <w:contextualSpacing w:val="0"/>
              <w:jc w:val="both"/>
              <w:rPr>
                <w:b/>
                <w:sz w:val="18"/>
                <w:szCs w:val="18"/>
              </w:rPr>
            </w:pPr>
            <w:r>
              <w:rPr>
                <w:b/>
                <w:sz w:val="18"/>
                <w:szCs w:val="18"/>
              </w:rPr>
              <w:t>PVH</w:t>
            </w:r>
          </w:p>
        </w:tc>
        <w:tc>
          <w:tcPr>
            <w:tcW w:w="707" w:type="dxa"/>
            <w:shd w:val="clear" w:color="auto" w:fill="FFFFFF"/>
            <w:vAlign w:val="bottom"/>
          </w:tcPr>
          <w:p w14:paraId="5B1D5633" w14:textId="77777777" w:rsidR="00F2396B" w:rsidRDefault="00702746" w:rsidP="00AC7773">
            <w:pPr>
              <w:contextualSpacing w:val="0"/>
              <w:jc w:val="both"/>
              <w:rPr>
                <w:sz w:val="18"/>
                <w:szCs w:val="18"/>
              </w:rPr>
            </w:pPr>
            <w:r>
              <w:rPr>
                <w:sz w:val="18"/>
                <w:szCs w:val="18"/>
              </w:rPr>
              <w:t>0.07</w:t>
            </w:r>
          </w:p>
        </w:tc>
        <w:tc>
          <w:tcPr>
            <w:tcW w:w="734" w:type="dxa"/>
            <w:shd w:val="clear" w:color="auto" w:fill="FFFFFF"/>
            <w:vAlign w:val="bottom"/>
          </w:tcPr>
          <w:p w14:paraId="0F80C968" w14:textId="77777777" w:rsidR="00F2396B" w:rsidRDefault="00702746" w:rsidP="00AC7773">
            <w:pPr>
              <w:contextualSpacing w:val="0"/>
              <w:jc w:val="both"/>
              <w:rPr>
                <w:sz w:val="18"/>
                <w:szCs w:val="18"/>
              </w:rPr>
            </w:pPr>
            <w:r>
              <w:rPr>
                <w:sz w:val="18"/>
                <w:szCs w:val="18"/>
              </w:rPr>
              <w:t>0.01</w:t>
            </w:r>
          </w:p>
        </w:tc>
        <w:tc>
          <w:tcPr>
            <w:tcW w:w="707" w:type="dxa"/>
            <w:shd w:val="clear" w:color="auto" w:fill="FFFFFF"/>
            <w:vAlign w:val="bottom"/>
          </w:tcPr>
          <w:p w14:paraId="5ABB5D51" w14:textId="77777777" w:rsidR="00F2396B" w:rsidRDefault="00702746" w:rsidP="00AC7773">
            <w:pPr>
              <w:contextualSpacing w:val="0"/>
              <w:jc w:val="both"/>
              <w:rPr>
                <w:sz w:val="18"/>
                <w:szCs w:val="18"/>
              </w:rPr>
            </w:pPr>
            <w:r>
              <w:rPr>
                <w:sz w:val="18"/>
                <w:szCs w:val="18"/>
              </w:rPr>
              <w:t>0.05</w:t>
            </w:r>
          </w:p>
        </w:tc>
        <w:tc>
          <w:tcPr>
            <w:tcW w:w="713" w:type="dxa"/>
            <w:shd w:val="clear" w:color="auto" w:fill="FFFFFF"/>
            <w:vAlign w:val="bottom"/>
          </w:tcPr>
          <w:p w14:paraId="60F7D1A7" w14:textId="77777777" w:rsidR="00F2396B" w:rsidRDefault="00702746" w:rsidP="00AC7773">
            <w:pPr>
              <w:contextualSpacing w:val="0"/>
              <w:jc w:val="both"/>
              <w:rPr>
                <w:sz w:val="18"/>
                <w:szCs w:val="18"/>
              </w:rPr>
            </w:pPr>
            <w:r>
              <w:rPr>
                <w:sz w:val="18"/>
                <w:szCs w:val="18"/>
              </w:rPr>
              <w:t>0.06</w:t>
            </w:r>
          </w:p>
        </w:tc>
      </w:tr>
    </w:tbl>
    <w:p w14:paraId="204A4BA6" w14:textId="21329995" w:rsidR="00F2396B" w:rsidRDefault="00702746">
      <w:pPr>
        <w:jc w:val="both"/>
        <w:rPr>
          <w:sz w:val="20"/>
          <w:szCs w:val="20"/>
        </w:rPr>
      </w:pPr>
      <w:r>
        <w:rPr>
          <w:noProof/>
          <w:lang w:eastAsia="en-US"/>
        </w:rPr>
        <w:drawing>
          <wp:inline distT="0" distB="0" distL="0" distR="0" wp14:anchorId="48025B41" wp14:editId="1D73A4E2">
            <wp:extent cx="2847066" cy="1517801"/>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847066" cy="1517801"/>
                    </a:xfrm>
                    <a:prstGeom prst="rect">
                      <a:avLst/>
                    </a:prstGeom>
                    <a:ln/>
                  </pic:spPr>
                </pic:pic>
              </a:graphicData>
            </a:graphic>
          </wp:inline>
        </w:drawing>
      </w:r>
    </w:p>
    <w:p w14:paraId="2D3ABD6D" w14:textId="0086D0B0" w:rsidR="002601CC" w:rsidRDefault="002601CC" w:rsidP="002601CC">
      <w:pPr>
        <w:tabs>
          <w:tab w:val="left" w:pos="1920"/>
          <w:tab w:val="left" w:pos="7068"/>
        </w:tabs>
        <w:jc w:val="both"/>
        <w:rPr>
          <w:sz w:val="20"/>
          <w:szCs w:val="20"/>
        </w:rPr>
      </w:pPr>
      <w:r>
        <w:rPr>
          <w:sz w:val="20"/>
          <w:szCs w:val="20"/>
        </w:rPr>
        <w:tab/>
        <w:t xml:space="preserve"> </w:t>
      </w:r>
      <w:r w:rsidRPr="002601CC">
        <w:rPr>
          <w:b/>
          <w:sz w:val="20"/>
          <w:szCs w:val="20"/>
        </w:rPr>
        <w:t>Table 4</w:t>
      </w:r>
      <w:r>
        <w:rPr>
          <w:sz w:val="20"/>
          <w:szCs w:val="20"/>
        </w:rPr>
        <w:tab/>
      </w:r>
      <w:r w:rsidRPr="002601CC">
        <w:rPr>
          <w:b/>
          <w:sz w:val="20"/>
          <w:szCs w:val="20"/>
        </w:rPr>
        <w:t>Figure 4</w:t>
      </w:r>
    </w:p>
    <w:p w14:paraId="5C77AA0C" w14:textId="77777777" w:rsidR="002601CC" w:rsidRDefault="002601CC">
      <w:pPr>
        <w:jc w:val="both"/>
        <w:rPr>
          <w:sz w:val="20"/>
          <w:szCs w:val="20"/>
        </w:rPr>
      </w:pPr>
    </w:p>
    <w:p w14:paraId="5D44D9BF" w14:textId="77777777" w:rsidR="00F2396B" w:rsidRDefault="00F2396B">
      <w:pPr>
        <w:ind w:firstLine="360"/>
        <w:jc w:val="both"/>
        <w:rPr>
          <w:sz w:val="20"/>
          <w:szCs w:val="20"/>
        </w:rPr>
      </w:pPr>
    </w:p>
    <w:p w14:paraId="3562684D" w14:textId="77777777" w:rsidR="00F2396B" w:rsidRDefault="00702746">
      <w:pPr>
        <w:ind w:firstLine="360"/>
        <w:jc w:val="both"/>
        <w:rPr>
          <w:sz w:val="20"/>
          <w:szCs w:val="20"/>
        </w:rPr>
      </w:pPr>
      <w:r>
        <w:rPr>
          <w:sz w:val="20"/>
          <w:szCs w:val="20"/>
        </w:rPr>
        <w:t>The better the ratio the better is the return on investments for the company.  The following are the results based on our observation for the five companies,</w:t>
      </w:r>
    </w:p>
    <w:p w14:paraId="1B482BBD" w14:textId="77777777" w:rsidR="00F2396B" w:rsidRDefault="00702746">
      <w:pPr>
        <w:numPr>
          <w:ilvl w:val="0"/>
          <w:numId w:val="6"/>
        </w:numPr>
        <w:ind w:hanging="360"/>
        <w:jc w:val="both"/>
        <w:rPr>
          <w:sz w:val="20"/>
          <w:szCs w:val="20"/>
        </w:rPr>
      </w:pPr>
      <w:r>
        <w:rPr>
          <w:sz w:val="20"/>
          <w:szCs w:val="20"/>
        </w:rPr>
        <w:t xml:space="preserve">Ralph Lauren and Under </w:t>
      </w:r>
      <w:proofErr w:type="spellStart"/>
      <w:r>
        <w:rPr>
          <w:sz w:val="20"/>
          <w:szCs w:val="20"/>
        </w:rPr>
        <w:t>Armour</w:t>
      </w:r>
      <w:proofErr w:type="spellEnd"/>
      <w:r>
        <w:rPr>
          <w:sz w:val="20"/>
          <w:szCs w:val="20"/>
        </w:rPr>
        <w:t xml:space="preserve"> have low ratios and have a decreasing trend implying lesser returns on the cost of investments. </w:t>
      </w:r>
    </w:p>
    <w:p w14:paraId="3AC2BC5D" w14:textId="77777777" w:rsidR="00F2396B" w:rsidRDefault="00702746">
      <w:pPr>
        <w:numPr>
          <w:ilvl w:val="0"/>
          <w:numId w:val="6"/>
        </w:numPr>
        <w:ind w:hanging="360"/>
        <w:jc w:val="both"/>
        <w:rPr>
          <w:sz w:val="20"/>
          <w:szCs w:val="20"/>
        </w:rPr>
      </w:pPr>
      <w:r>
        <w:rPr>
          <w:sz w:val="20"/>
          <w:szCs w:val="20"/>
        </w:rPr>
        <w:t xml:space="preserve">PVH has a consistently low return on investment. </w:t>
      </w:r>
    </w:p>
    <w:p w14:paraId="5BC1194B" w14:textId="77777777" w:rsidR="00F2396B" w:rsidRDefault="00702746">
      <w:pPr>
        <w:numPr>
          <w:ilvl w:val="0"/>
          <w:numId w:val="6"/>
        </w:numPr>
        <w:ind w:hanging="360"/>
        <w:jc w:val="both"/>
        <w:rPr>
          <w:sz w:val="20"/>
          <w:szCs w:val="20"/>
        </w:rPr>
      </w:pPr>
      <w:r>
        <w:rPr>
          <w:sz w:val="20"/>
          <w:szCs w:val="20"/>
        </w:rPr>
        <w:t>Whereas AEO and GAP have better ratios, but GAP has almost uniform returns on their investments.</w:t>
      </w:r>
    </w:p>
    <w:p w14:paraId="19F44676" w14:textId="77777777" w:rsidR="00F2396B" w:rsidRDefault="00702746">
      <w:pPr>
        <w:ind w:firstLine="360"/>
        <w:jc w:val="both"/>
        <w:rPr>
          <w:sz w:val="20"/>
          <w:szCs w:val="20"/>
        </w:rPr>
      </w:pPr>
      <w:r>
        <w:rPr>
          <w:sz w:val="20"/>
          <w:szCs w:val="20"/>
        </w:rPr>
        <w:t>Hence, we can conclude that GAP has the best Return on Investments ratio.</w:t>
      </w:r>
    </w:p>
    <w:p w14:paraId="4B3FEC24" w14:textId="77777777" w:rsidR="00F2396B" w:rsidRDefault="00702746">
      <w:pPr>
        <w:pStyle w:val="Heading2"/>
      </w:pPr>
      <w:r>
        <w:t>Return on Equity</w:t>
      </w:r>
    </w:p>
    <w:p w14:paraId="6E5301A8" w14:textId="77777777" w:rsidR="00F2396B" w:rsidRDefault="00702746">
      <w:pPr>
        <w:ind w:firstLine="360"/>
        <w:jc w:val="both"/>
        <w:rPr>
          <w:sz w:val="20"/>
          <w:szCs w:val="20"/>
        </w:rPr>
      </w:pPr>
      <w:r>
        <w:rPr>
          <w:sz w:val="20"/>
          <w:szCs w:val="20"/>
        </w:rPr>
        <w:t>Return on Equity(ROE) is the ratio of the net income to the shareholder’s equity i.e. the profit made on each dollar of the shareholder’s equity. Also, called as the ‘return on net worth’. Increase in the total return of equity means that the company has an increasing profit over time without much change in the initial capital investments. It is used to calculate the efficiency for the company more than the profits for the company as the value for ROE can co up even if the value for the shareholder’s equity goes down.</w:t>
      </w:r>
    </w:p>
    <w:p w14:paraId="01738F68" w14:textId="77777777" w:rsidR="00F2396B" w:rsidRDefault="00F2396B">
      <w:pPr>
        <w:jc w:val="both"/>
        <w:rPr>
          <w:sz w:val="20"/>
          <w:szCs w:val="20"/>
        </w:rPr>
      </w:pPr>
    </w:p>
    <w:tbl>
      <w:tblPr>
        <w:tblStyle w:val="a3"/>
        <w:tblpPr w:leftFromText="180" w:rightFromText="180" w:vertAnchor="text" w:horzAnchor="page" w:tblpX="1277" w:tblpY="25"/>
        <w:tblOverlap w:val="never"/>
        <w:tblW w:w="4581" w:type="dxa"/>
        <w:tblLayout w:type="fixed"/>
        <w:tblLook w:val="0400" w:firstRow="0" w:lastRow="0" w:firstColumn="0" w:lastColumn="0" w:noHBand="0" w:noVBand="1"/>
      </w:tblPr>
      <w:tblGrid>
        <w:gridCol w:w="1670"/>
        <w:gridCol w:w="743"/>
        <w:gridCol w:w="790"/>
        <w:gridCol w:w="672"/>
        <w:gridCol w:w="706"/>
      </w:tblGrid>
      <w:tr w:rsidR="00F2396B" w14:paraId="4E58EC71" w14:textId="77777777" w:rsidTr="00AC7773">
        <w:trPr>
          <w:trHeight w:val="320"/>
        </w:trPr>
        <w:tc>
          <w:tcPr>
            <w:tcW w:w="4581" w:type="dxa"/>
            <w:gridSpan w:val="5"/>
            <w:tcBorders>
              <w:top w:val="single" w:sz="8" w:space="0" w:color="000000"/>
              <w:left w:val="single" w:sz="8" w:space="0" w:color="000000"/>
              <w:bottom w:val="single" w:sz="8" w:space="0" w:color="000000"/>
              <w:right w:val="single" w:sz="8" w:space="0" w:color="000000"/>
            </w:tcBorders>
            <w:shd w:val="clear" w:color="auto" w:fill="FFFFFF"/>
            <w:vAlign w:val="bottom"/>
          </w:tcPr>
          <w:p w14:paraId="4951488C" w14:textId="77777777" w:rsidR="00F2396B" w:rsidRDefault="00702746" w:rsidP="00AC7773">
            <w:pPr>
              <w:contextualSpacing w:val="0"/>
              <w:jc w:val="both"/>
              <w:rPr>
                <w:b/>
                <w:sz w:val="18"/>
                <w:szCs w:val="18"/>
              </w:rPr>
            </w:pPr>
            <w:r>
              <w:rPr>
                <w:b/>
                <w:sz w:val="18"/>
                <w:szCs w:val="18"/>
              </w:rPr>
              <w:t>Return on Equity</w:t>
            </w:r>
          </w:p>
        </w:tc>
      </w:tr>
      <w:tr w:rsidR="00F2396B" w14:paraId="7D5B410A" w14:textId="77777777" w:rsidTr="00AC7773">
        <w:trPr>
          <w:trHeight w:val="320"/>
        </w:trPr>
        <w:tc>
          <w:tcPr>
            <w:tcW w:w="1670" w:type="dxa"/>
            <w:tcBorders>
              <w:top w:val="nil"/>
              <w:left w:val="single" w:sz="8" w:space="0" w:color="000000"/>
              <w:bottom w:val="nil"/>
              <w:right w:val="single" w:sz="8" w:space="0" w:color="000000"/>
            </w:tcBorders>
            <w:shd w:val="clear" w:color="auto" w:fill="FFFFFF"/>
            <w:vAlign w:val="bottom"/>
          </w:tcPr>
          <w:p w14:paraId="4473783A" w14:textId="77777777" w:rsidR="00F2396B" w:rsidRDefault="00702746" w:rsidP="00AC7773">
            <w:pPr>
              <w:contextualSpacing w:val="0"/>
              <w:jc w:val="both"/>
              <w:rPr>
                <w:b/>
                <w:sz w:val="18"/>
                <w:szCs w:val="18"/>
              </w:rPr>
            </w:pPr>
            <w:r>
              <w:rPr>
                <w:b/>
                <w:sz w:val="18"/>
                <w:szCs w:val="18"/>
              </w:rPr>
              <w:t>Years</w:t>
            </w:r>
          </w:p>
        </w:tc>
        <w:tc>
          <w:tcPr>
            <w:tcW w:w="743" w:type="dxa"/>
            <w:tcBorders>
              <w:top w:val="nil"/>
              <w:left w:val="nil"/>
              <w:bottom w:val="nil"/>
              <w:right w:val="nil"/>
            </w:tcBorders>
            <w:shd w:val="clear" w:color="auto" w:fill="FFFFFF"/>
            <w:vAlign w:val="bottom"/>
          </w:tcPr>
          <w:p w14:paraId="1CD8265C" w14:textId="77777777" w:rsidR="00F2396B" w:rsidRDefault="00702746" w:rsidP="00AC7773">
            <w:pPr>
              <w:contextualSpacing w:val="0"/>
              <w:jc w:val="both"/>
              <w:rPr>
                <w:b/>
                <w:sz w:val="18"/>
                <w:szCs w:val="18"/>
              </w:rPr>
            </w:pPr>
            <w:r>
              <w:rPr>
                <w:b/>
                <w:sz w:val="18"/>
                <w:szCs w:val="18"/>
              </w:rPr>
              <w:t>2013</w:t>
            </w:r>
          </w:p>
        </w:tc>
        <w:tc>
          <w:tcPr>
            <w:tcW w:w="790" w:type="dxa"/>
            <w:tcBorders>
              <w:top w:val="nil"/>
              <w:left w:val="nil"/>
              <w:bottom w:val="nil"/>
              <w:right w:val="nil"/>
            </w:tcBorders>
            <w:shd w:val="clear" w:color="auto" w:fill="FFFFFF"/>
            <w:vAlign w:val="bottom"/>
          </w:tcPr>
          <w:p w14:paraId="2B44505E" w14:textId="77777777" w:rsidR="00F2396B" w:rsidRDefault="00702746" w:rsidP="00AC7773">
            <w:pPr>
              <w:contextualSpacing w:val="0"/>
              <w:jc w:val="both"/>
              <w:rPr>
                <w:b/>
                <w:sz w:val="18"/>
                <w:szCs w:val="18"/>
              </w:rPr>
            </w:pPr>
            <w:r>
              <w:rPr>
                <w:b/>
                <w:sz w:val="18"/>
                <w:szCs w:val="18"/>
              </w:rPr>
              <w:t>2014</w:t>
            </w:r>
          </w:p>
        </w:tc>
        <w:tc>
          <w:tcPr>
            <w:tcW w:w="672" w:type="dxa"/>
            <w:tcBorders>
              <w:top w:val="nil"/>
              <w:left w:val="nil"/>
              <w:bottom w:val="nil"/>
              <w:right w:val="nil"/>
            </w:tcBorders>
            <w:shd w:val="clear" w:color="auto" w:fill="FFFFFF"/>
            <w:vAlign w:val="bottom"/>
          </w:tcPr>
          <w:p w14:paraId="76CC01C8" w14:textId="77777777" w:rsidR="00F2396B" w:rsidRDefault="00702746" w:rsidP="00AC7773">
            <w:pPr>
              <w:contextualSpacing w:val="0"/>
              <w:jc w:val="both"/>
              <w:rPr>
                <w:b/>
                <w:sz w:val="18"/>
                <w:szCs w:val="18"/>
              </w:rPr>
            </w:pPr>
            <w:r>
              <w:rPr>
                <w:b/>
                <w:sz w:val="18"/>
                <w:szCs w:val="18"/>
              </w:rPr>
              <w:t>2015</w:t>
            </w:r>
          </w:p>
        </w:tc>
        <w:tc>
          <w:tcPr>
            <w:tcW w:w="706" w:type="dxa"/>
            <w:tcBorders>
              <w:top w:val="nil"/>
              <w:left w:val="nil"/>
              <w:bottom w:val="nil"/>
              <w:right w:val="single" w:sz="8" w:space="0" w:color="000000"/>
            </w:tcBorders>
            <w:shd w:val="clear" w:color="auto" w:fill="FFFFFF"/>
            <w:vAlign w:val="bottom"/>
          </w:tcPr>
          <w:p w14:paraId="0B6D5B7B" w14:textId="77777777" w:rsidR="00F2396B" w:rsidRDefault="00702746" w:rsidP="00AC7773">
            <w:pPr>
              <w:contextualSpacing w:val="0"/>
              <w:jc w:val="both"/>
              <w:rPr>
                <w:b/>
                <w:sz w:val="18"/>
                <w:szCs w:val="18"/>
              </w:rPr>
            </w:pPr>
            <w:r>
              <w:rPr>
                <w:b/>
                <w:sz w:val="18"/>
                <w:szCs w:val="18"/>
              </w:rPr>
              <w:t>2016</w:t>
            </w:r>
          </w:p>
        </w:tc>
      </w:tr>
      <w:tr w:rsidR="00F2396B" w14:paraId="3269F4BC" w14:textId="77777777" w:rsidTr="00AC7773">
        <w:trPr>
          <w:trHeight w:val="300"/>
        </w:trPr>
        <w:tc>
          <w:tcPr>
            <w:tcW w:w="1670" w:type="dxa"/>
            <w:tcBorders>
              <w:top w:val="single" w:sz="8" w:space="0" w:color="000000"/>
              <w:left w:val="single" w:sz="8" w:space="0" w:color="000000"/>
              <w:bottom w:val="single" w:sz="4" w:space="0" w:color="000000"/>
              <w:right w:val="single" w:sz="8" w:space="0" w:color="000000"/>
            </w:tcBorders>
            <w:shd w:val="clear" w:color="auto" w:fill="FFFFFF"/>
            <w:vAlign w:val="bottom"/>
          </w:tcPr>
          <w:p w14:paraId="30DB2827" w14:textId="77777777" w:rsidR="00F2396B" w:rsidRDefault="00702746" w:rsidP="00AC7773">
            <w:pPr>
              <w:contextualSpacing w:val="0"/>
              <w:jc w:val="both"/>
              <w:rPr>
                <w:b/>
                <w:sz w:val="18"/>
                <w:szCs w:val="18"/>
              </w:rPr>
            </w:pPr>
            <w:r>
              <w:rPr>
                <w:b/>
                <w:sz w:val="18"/>
                <w:szCs w:val="18"/>
              </w:rPr>
              <w:t>AEO</w:t>
            </w:r>
          </w:p>
        </w:tc>
        <w:tc>
          <w:tcPr>
            <w:tcW w:w="743" w:type="dxa"/>
            <w:tcBorders>
              <w:top w:val="single" w:sz="8" w:space="0" w:color="000000"/>
              <w:left w:val="nil"/>
              <w:bottom w:val="single" w:sz="4" w:space="0" w:color="000000"/>
              <w:right w:val="single" w:sz="4" w:space="0" w:color="000000"/>
            </w:tcBorders>
            <w:shd w:val="clear" w:color="auto" w:fill="FFFFFF"/>
            <w:vAlign w:val="bottom"/>
          </w:tcPr>
          <w:p w14:paraId="62A01C09" w14:textId="77777777" w:rsidR="00F2396B" w:rsidRDefault="00702746" w:rsidP="00AC7773">
            <w:pPr>
              <w:contextualSpacing w:val="0"/>
              <w:jc w:val="both"/>
              <w:rPr>
                <w:sz w:val="18"/>
                <w:szCs w:val="18"/>
              </w:rPr>
            </w:pPr>
            <w:r>
              <w:rPr>
                <w:sz w:val="18"/>
                <w:szCs w:val="18"/>
              </w:rPr>
              <w:t>0.216</w:t>
            </w:r>
          </w:p>
        </w:tc>
        <w:tc>
          <w:tcPr>
            <w:tcW w:w="790" w:type="dxa"/>
            <w:tcBorders>
              <w:top w:val="single" w:sz="8" w:space="0" w:color="000000"/>
              <w:left w:val="nil"/>
              <w:bottom w:val="single" w:sz="4" w:space="0" w:color="000000"/>
              <w:right w:val="single" w:sz="4" w:space="0" w:color="000000"/>
            </w:tcBorders>
            <w:shd w:val="clear" w:color="auto" w:fill="FFFFFF"/>
            <w:vAlign w:val="bottom"/>
          </w:tcPr>
          <w:p w14:paraId="33606421" w14:textId="77777777" w:rsidR="00F2396B" w:rsidRDefault="00702746" w:rsidP="00AC7773">
            <w:pPr>
              <w:contextualSpacing w:val="0"/>
              <w:jc w:val="both"/>
              <w:rPr>
                <w:sz w:val="18"/>
                <w:szCs w:val="18"/>
              </w:rPr>
            </w:pPr>
            <w:r>
              <w:rPr>
                <w:sz w:val="18"/>
                <w:szCs w:val="18"/>
              </w:rPr>
              <w:t>0.071</w:t>
            </w:r>
          </w:p>
        </w:tc>
        <w:tc>
          <w:tcPr>
            <w:tcW w:w="672" w:type="dxa"/>
            <w:tcBorders>
              <w:top w:val="single" w:sz="8" w:space="0" w:color="000000"/>
              <w:left w:val="nil"/>
              <w:bottom w:val="single" w:sz="4" w:space="0" w:color="000000"/>
              <w:right w:val="single" w:sz="4" w:space="0" w:color="000000"/>
            </w:tcBorders>
            <w:shd w:val="clear" w:color="auto" w:fill="FFFFFF"/>
            <w:vAlign w:val="bottom"/>
          </w:tcPr>
          <w:p w14:paraId="13EE1E2F" w14:textId="77777777" w:rsidR="00F2396B" w:rsidRDefault="00702746" w:rsidP="00AC7773">
            <w:pPr>
              <w:contextualSpacing w:val="0"/>
              <w:jc w:val="both"/>
              <w:rPr>
                <w:sz w:val="18"/>
                <w:szCs w:val="18"/>
              </w:rPr>
            </w:pPr>
            <w:r>
              <w:rPr>
                <w:sz w:val="18"/>
                <w:szCs w:val="18"/>
              </w:rPr>
              <w:t>0.078</w:t>
            </w:r>
          </w:p>
        </w:tc>
        <w:tc>
          <w:tcPr>
            <w:tcW w:w="706" w:type="dxa"/>
            <w:tcBorders>
              <w:top w:val="single" w:sz="8" w:space="0" w:color="000000"/>
              <w:left w:val="nil"/>
              <w:bottom w:val="single" w:sz="4" w:space="0" w:color="000000"/>
              <w:right w:val="single" w:sz="8" w:space="0" w:color="000000"/>
            </w:tcBorders>
            <w:shd w:val="clear" w:color="auto" w:fill="FFFFFF"/>
            <w:vAlign w:val="bottom"/>
          </w:tcPr>
          <w:p w14:paraId="31089C89" w14:textId="77777777" w:rsidR="00F2396B" w:rsidRDefault="00702746" w:rsidP="00AC7773">
            <w:pPr>
              <w:contextualSpacing w:val="0"/>
              <w:jc w:val="both"/>
              <w:rPr>
                <w:sz w:val="18"/>
                <w:szCs w:val="18"/>
              </w:rPr>
            </w:pPr>
            <w:r>
              <w:rPr>
                <w:sz w:val="18"/>
                <w:szCs w:val="18"/>
              </w:rPr>
              <w:t>0.203</w:t>
            </w:r>
          </w:p>
        </w:tc>
      </w:tr>
      <w:tr w:rsidR="00F2396B" w14:paraId="0662C926" w14:textId="77777777" w:rsidTr="00AC7773">
        <w:trPr>
          <w:trHeight w:val="320"/>
        </w:trPr>
        <w:tc>
          <w:tcPr>
            <w:tcW w:w="1670" w:type="dxa"/>
            <w:tcBorders>
              <w:top w:val="nil"/>
              <w:left w:val="single" w:sz="8" w:space="0" w:color="000000"/>
              <w:bottom w:val="single" w:sz="4" w:space="0" w:color="000000"/>
              <w:right w:val="single" w:sz="8" w:space="0" w:color="000000"/>
            </w:tcBorders>
            <w:shd w:val="clear" w:color="auto" w:fill="FFFFFF"/>
            <w:vAlign w:val="bottom"/>
          </w:tcPr>
          <w:p w14:paraId="25DE9648" w14:textId="77777777" w:rsidR="00F2396B" w:rsidRDefault="00702746" w:rsidP="00AC7773">
            <w:pPr>
              <w:contextualSpacing w:val="0"/>
              <w:jc w:val="both"/>
              <w:rPr>
                <w:b/>
                <w:sz w:val="18"/>
                <w:szCs w:val="18"/>
              </w:rPr>
            </w:pPr>
            <w:r>
              <w:rPr>
                <w:b/>
                <w:sz w:val="18"/>
                <w:szCs w:val="18"/>
              </w:rPr>
              <w:t>GAP</w:t>
            </w:r>
          </w:p>
        </w:tc>
        <w:tc>
          <w:tcPr>
            <w:tcW w:w="743" w:type="dxa"/>
            <w:tcBorders>
              <w:top w:val="nil"/>
              <w:left w:val="nil"/>
              <w:bottom w:val="single" w:sz="4" w:space="0" w:color="000000"/>
              <w:right w:val="single" w:sz="4" w:space="0" w:color="000000"/>
            </w:tcBorders>
            <w:shd w:val="clear" w:color="auto" w:fill="FFFFFF"/>
            <w:vAlign w:val="bottom"/>
          </w:tcPr>
          <w:p w14:paraId="673814A8" w14:textId="77777777" w:rsidR="00F2396B" w:rsidRDefault="00702746" w:rsidP="00AC7773">
            <w:pPr>
              <w:contextualSpacing w:val="0"/>
              <w:jc w:val="both"/>
              <w:rPr>
                <w:sz w:val="18"/>
                <w:szCs w:val="18"/>
              </w:rPr>
            </w:pPr>
            <w:r>
              <w:rPr>
                <w:sz w:val="18"/>
                <w:szCs w:val="18"/>
              </w:rPr>
              <w:t>0.394</w:t>
            </w:r>
          </w:p>
        </w:tc>
        <w:tc>
          <w:tcPr>
            <w:tcW w:w="790" w:type="dxa"/>
            <w:tcBorders>
              <w:top w:val="nil"/>
              <w:left w:val="nil"/>
              <w:bottom w:val="single" w:sz="4" w:space="0" w:color="000000"/>
              <w:right w:val="single" w:sz="4" w:space="0" w:color="000000"/>
            </w:tcBorders>
            <w:shd w:val="clear" w:color="auto" w:fill="FFFFFF"/>
            <w:vAlign w:val="bottom"/>
          </w:tcPr>
          <w:p w14:paraId="6D7D5C53" w14:textId="77777777" w:rsidR="00F2396B" w:rsidRDefault="00702746" w:rsidP="00AC7773">
            <w:pPr>
              <w:contextualSpacing w:val="0"/>
              <w:jc w:val="both"/>
              <w:rPr>
                <w:sz w:val="18"/>
                <w:szCs w:val="18"/>
              </w:rPr>
            </w:pPr>
            <w:r>
              <w:rPr>
                <w:sz w:val="18"/>
                <w:szCs w:val="18"/>
              </w:rPr>
              <w:t>0.418</w:t>
            </w:r>
          </w:p>
        </w:tc>
        <w:tc>
          <w:tcPr>
            <w:tcW w:w="672" w:type="dxa"/>
            <w:tcBorders>
              <w:top w:val="nil"/>
              <w:left w:val="nil"/>
              <w:bottom w:val="single" w:sz="4" w:space="0" w:color="000000"/>
              <w:right w:val="single" w:sz="4" w:space="0" w:color="000000"/>
            </w:tcBorders>
            <w:shd w:val="clear" w:color="auto" w:fill="FFFFFF"/>
            <w:vAlign w:val="bottom"/>
          </w:tcPr>
          <w:p w14:paraId="7D4BE08C" w14:textId="77777777" w:rsidR="00F2396B" w:rsidRDefault="00702746" w:rsidP="00AC7773">
            <w:pPr>
              <w:contextualSpacing w:val="0"/>
              <w:jc w:val="both"/>
              <w:rPr>
                <w:sz w:val="18"/>
                <w:szCs w:val="18"/>
              </w:rPr>
            </w:pPr>
            <w:r>
              <w:rPr>
                <w:sz w:val="18"/>
                <w:szCs w:val="18"/>
              </w:rPr>
              <w:t>0.423</w:t>
            </w:r>
          </w:p>
        </w:tc>
        <w:tc>
          <w:tcPr>
            <w:tcW w:w="706" w:type="dxa"/>
            <w:tcBorders>
              <w:top w:val="nil"/>
              <w:left w:val="nil"/>
              <w:bottom w:val="single" w:sz="4" w:space="0" w:color="000000"/>
              <w:right w:val="single" w:sz="8" w:space="0" w:color="000000"/>
            </w:tcBorders>
            <w:shd w:val="clear" w:color="auto" w:fill="FFFFFF"/>
            <w:vAlign w:val="bottom"/>
          </w:tcPr>
          <w:p w14:paraId="62F25990" w14:textId="77777777" w:rsidR="00F2396B" w:rsidRDefault="00702746" w:rsidP="00AC7773">
            <w:pPr>
              <w:contextualSpacing w:val="0"/>
              <w:jc w:val="both"/>
              <w:rPr>
                <w:sz w:val="18"/>
                <w:szCs w:val="18"/>
              </w:rPr>
            </w:pPr>
            <w:r>
              <w:rPr>
                <w:sz w:val="18"/>
                <w:szCs w:val="18"/>
              </w:rPr>
              <w:t>0.361</w:t>
            </w:r>
          </w:p>
        </w:tc>
      </w:tr>
      <w:tr w:rsidR="00F2396B" w14:paraId="77C6D368" w14:textId="77777777" w:rsidTr="00AC7773">
        <w:trPr>
          <w:trHeight w:val="320"/>
        </w:trPr>
        <w:tc>
          <w:tcPr>
            <w:tcW w:w="1670" w:type="dxa"/>
            <w:tcBorders>
              <w:top w:val="nil"/>
              <w:left w:val="single" w:sz="8" w:space="0" w:color="000000"/>
              <w:bottom w:val="single" w:sz="4" w:space="0" w:color="000000"/>
              <w:right w:val="single" w:sz="8" w:space="0" w:color="000000"/>
            </w:tcBorders>
            <w:shd w:val="clear" w:color="auto" w:fill="FFFFFF"/>
            <w:vAlign w:val="bottom"/>
          </w:tcPr>
          <w:p w14:paraId="16CB767F" w14:textId="77777777" w:rsidR="00F2396B" w:rsidRDefault="00702746" w:rsidP="00AC7773">
            <w:pPr>
              <w:contextualSpacing w:val="0"/>
              <w:jc w:val="both"/>
              <w:rPr>
                <w:b/>
                <w:sz w:val="18"/>
                <w:szCs w:val="18"/>
              </w:rPr>
            </w:pPr>
            <w:r>
              <w:rPr>
                <w:b/>
                <w:sz w:val="18"/>
                <w:szCs w:val="18"/>
              </w:rPr>
              <w:t>Ralph Lauren</w:t>
            </w:r>
          </w:p>
        </w:tc>
        <w:tc>
          <w:tcPr>
            <w:tcW w:w="743" w:type="dxa"/>
            <w:tcBorders>
              <w:top w:val="nil"/>
              <w:left w:val="nil"/>
              <w:bottom w:val="single" w:sz="4" w:space="0" w:color="000000"/>
              <w:right w:val="single" w:sz="4" w:space="0" w:color="000000"/>
            </w:tcBorders>
            <w:shd w:val="clear" w:color="auto" w:fill="FFFFFF"/>
            <w:vAlign w:val="bottom"/>
          </w:tcPr>
          <w:p w14:paraId="168DA8C0" w14:textId="77777777" w:rsidR="00F2396B" w:rsidRDefault="00702746" w:rsidP="00AC7773">
            <w:pPr>
              <w:contextualSpacing w:val="0"/>
              <w:jc w:val="both"/>
              <w:rPr>
                <w:sz w:val="18"/>
                <w:szCs w:val="18"/>
              </w:rPr>
            </w:pPr>
            <w:r>
              <w:rPr>
                <w:sz w:val="18"/>
                <w:szCs w:val="18"/>
              </w:rPr>
              <w:t>0.198</w:t>
            </w:r>
          </w:p>
        </w:tc>
        <w:tc>
          <w:tcPr>
            <w:tcW w:w="790" w:type="dxa"/>
            <w:tcBorders>
              <w:top w:val="nil"/>
              <w:left w:val="nil"/>
              <w:bottom w:val="single" w:sz="4" w:space="0" w:color="000000"/>
              <w:right w:val="single" w:sz="4" w:space="0" w:color="000000"/>
            </w:tcBorders>
            <w:shd w:val="clear" w:color="auto" w:fill="FFFFFF"/>
            <w:vAlign w:val="bottom"/>
          </w:tcPr>
          <w:p w14:paraId="538F9395" w14:textId="77777777" w:rsidR="00F2396B" w:rsidRDefault="00702746" w:rsidP="00AC7773">
            <w:pPr>
              <w:contextualSpacing w:val="0"/>
              <w:jc w:val="both"/>
              <w:rPr>
                <w:sz w:val="18"/>
                <w:szCs w:val="18"/>
              </w:rPr>
            </w:pPr>
            <w:r>
              <w:rPr>
                <w:sz w:val="18"/>
                <w:szCs w:val="18"/>
              </w:rPr>
              <w:t>0.193</w:t>
            </w:r>
          </w:p>
        </w:tc>
        <w:tc>
          <w:tcPr>
            <w:tcW w:w="672" w:type="dxa"/>
            <w:tcBorders>
              <w:top w:val="nil"/>
              <w:left w:val="nil"/>
              <w:bottom w:val="single" w:sz="4" w:space="0" w:color="000000"/>
              <w:right w:val="single" w:sz="4" w:space="0" w:color="000000"/>
            </w:tcBorders>
            <w:shd w:val="clear" w:color="auto" w:fill="FFFFFF"/>
            <w:vAlign w:val="bottom"/>
          </w:tcPr>
          <w:p w14:paraId="461DA00F" w14:textId="77777777" w:rsidR="00F2396B" w:rsidRDefault="00702746" w:rsidP="00AC7773">
            <w:pPr>
              <w:contextualSpacing w:val="0"/>
              <w:jc w:val="both"/>
              <w:rPr>
                <w:sz w:val="18"/>
                <w:szCs w:val="18"/>
              </w:rPr>
            </w:pPr>
            <w:r>
              <w:rPr>
                <w:sz w:val="18"/>
                <w:szCs w:val="18"/>
              </w:rPr>
              <w:t>0.180</w:t>
            </w:r>
          </w:p>
        </w:tc>
        <w:tc>
          <w:tcPr>
            <w:tcW w:w="706" w:type="dxa"/>
            <w:tcBorders>
              <w:top w:val="nil"/>
              <w:left w:val="nil"/>
              <w:bottom w:val="single" w:sz="4" w:space="0" w:color="000000"/>
              <w:right w:val="single" w:sz="8" w:space="0" w:color="000000"/>
            </w:tcBorders>
            <w:shd w:val="clear" w:color="auto" w:fill="FFFFFF"/>
            <w:vAlign w:val="bottom"/>
          </w:tcPr>
          <w:p w14:paraId="79922C9F" w14:textId="77777777" w:rsidR="00F2396B" w:rsidRDefault="00702746" w:rsidP="00AC7773">
            <w:pPr>
              <w:contextualSpacing w:val="0"/>
              <w:jc w:val="both"/>
              <w:rPr>
                <w:sz w:val="18"/>
                <w:szCs w:val="18"/>
              </w:rPr>
            </w:pPr>
            <w:r>
              <w:rPr>
                <w:sz w:val="18"/>
                <w:szCs w:val="18"/>
              </w:rPr>
              <w:t>0.106</w:t>
            </w:r>
          </w:p>
        </w:tc>
      </w:tr>
      <w:tr w:rsidR="00F2396B" w14:paraId="334ABFC0" w14:textId="77777777" w:rsidTr="00AC7773">
        <w:trPr>
          <w:trHeight w:val="300"/>
        </w:trPr>
        <w:tc>
          <w:tcPr>
            <w:tcW w:w="1670" w:type="dxa"/>
            <w:tcBorders>
              <w:top w:val="nil"/>
              <w:left w:val="single" w:sz="8" w:space="0" w:color="000000"/>
              <w:bottom w:val="single" w:sz="4" w:space="0" w:color="000000"/>
              <w:right w:val="single" w:sz="8" w:space="0" w:color="000000"/>
            </w:tcBorders>
            <w:shd w:val="clear" w:color="auto" w:fill="FFFFFF"/>
            <w:vAlign w:val="bottom"/>
          </w:tcPr>
          <w:p w14:paraId="21A94288" w14:textId="77777777" w:rsidR="00F2396B" w:rsidRDefault="00702746" w:rsidP="00AC7773">
            <w:pPr>
              <w:contextualSpacing w:val="0"/>
              <w:jc w:val="both"/>
              <w:rPr>
                <w:b/>
                <w:sz w:val="18"/>
                <w:szCs w:val="18"/>
              </w:rPr>
            </w:pPr>
            <w:r>
              <w:rPr>
                <w:b/>
                <w:sz w:val="18"/>
                <w:szCs w:val="18"/>
              </w:rPr>
              <w:t>Under Armor</w:t>
            </w:r>
          </w:p>
        </w:tc>
        <w:tc>
          <w:tcPr>
            <w:tcW w:w="743" w:type="dxa"/>
            <w:tcBorders>
              <w:top w:val="nil"/>
              <w:left w:val="nil"/>
              <w:bottom w:val="single" w:sz="4" w:space="0" w:color="000000"/>
              <w:right w:val="single" w:sz="4" w:space="0" w:color="000000"/>
            </w:tcBorders>
            <w:shd w:val="clear" w:color="auto" w:fill="FFFFFF"/>
            <w:vAlign w:val="bottom"/>
          </w:tcPr>
          <w:p w14:paraId="756A17B8" w14:textId="77777777" w:rsidR="00F2396B" w:rsidRDefault="00702746" w:rsidP="00AC7773">
            <w:pPr>
              <w:contextualSpacing w:val="0"/>
              <w:jc w:val="both"/>
              <w:rPr>
                <w:sz w:val="18"/>
                <w:szCs w:val="18"/>
              </w:rPr>
            </w:pPr>
            <w:r>
              <w:rPr>
                <w:sz w:val="18"/>
                <w:szCs w:val="18"/>
              </w:rPr>
              <w:t>0.154</w:t>
            </w:r>
          </w:p>
        </w:tc>
        <w:tc>
          <w:tcPr>
            <w:tcW w:w="790" w:type="dxa"/>
            <w:tcBorders>
              <w:top w:val="nil"/>
              <w:left w:val="nil"/>
              <w:bottom w:val="single" w:sz="4" w:space="0" w:color="000000"/>
              <w:right w:val="single" w:sz="4" w:space="0" w:color="000000"/>
            </w:tcBorders>
            <w:shd w:val="clear" w:color="auto" w:fill="FFFFFF"/>
            <w:vAlign w:val="bottom"/>
          </w:tcPr>
          <w:p w14:paraId="021CF684" w14:textId="77777777" w:rsidR="00F2396B" w:rsidRDefault="00702746" w:rsidP="00AC7773">
            <w:pPr>
              <w:contextualSpacing w:val="0"/>
              <w:jc w:val="both"/>
              <w:rPr>
                <w:sz w:val="18"/>
                <w:szCs w:val="18"/>
              </w:rPr>
            </w:pPr>
            <w:r>
              <w:rPr>
                <w:sz w:val="18"/>
                <w:szCs w:val="18"/>
              </w:rPr>
              <w:t>0.154</w:t>
            </w:r>
          </w:p>
        </w:tc>
        <w:tc>
          <w:tcPr>
            <w:tcW w:w="672" w:type="dxa"/>
            <w:tcBorders>
              <w:top w:val="nil"/>
              <w:left w:val="nil"/>
              <w:bottom w:val="single" w:sz="4" w:space="0" w:color="000000"/>
              <w:right w:val="single" w:sz="4" w:space="0" w:color="000000"/>
            </w:tcBorders>
            <w:shd w:val="clear" w:color="auto" w:fill="FFFFFF"/>
            <w:vAlign w:val="bottom"/>
          </w:tcPr>
          <w:p w14:paraId="2C29E56B" w14:textId="77777777" w:rsidR="00F2396B" w:rsidRDefault="00702746" w:rsidP="00AC7773">
            <w:pPr>
              <w:contextualSpacing w:val="0"/>
              <w:jc w:val="both"/>
              <w:rPr>
                <w:sz w:val="18"/>
                <w:szCs w:val="18"/>
              </w:rPr>
            </w:pPr>
            <w:r>
              <w:rPr>
                <w:sz w:val="18"/>
                <w:szCs w:val="18"/>
              </w:rPr>
              <w:t>0.139</w:t>
            </w:r>
          </w:p>
        </w:tc>
        <w:tc>
          <w:tcPr>
            <w:tcW w:w="706" w:type="dxa"/>
            <w:tcBorders>
              <w:top w:val="nil"/>
              <w:left w:val="nil"/>
              <w:bottom w:val="single" w:sz="4" w:space="0" w:color="000000"/>
              <w:right w:val="single" w:sz="8" w:space="0" w:color="000000"/>
            </w:tcBorders>
            <w:shd w:val="clear" w:color="auto" w:fill="FFFFFF"/>
            <w:vAlign w:val="bottom"/>
          </w:tcPr>
          <w:p w14:paraId="5E530DF1" w14:textId="77777777" w:rsidR="00F2396B" w:rsidRDefault="00702746" w:rsidP="00AC7773">
            <w:pPr>
              <w:contextualSpacing w:val="0"/>
              <w:jc w:val="both"/>
              <w:rPr>
                <w:sz w:val="18"/>
                <w:szCs w:val="18"/>
              </w:rPr>
            </w:pPr>
            <w:r>
              <w:rPr>
                <w:sz w:val="18"/>
                <w:szCs w:val="18"/>
              </w:rPr>
              <w:t>0.098</w:t>
            </w:r>
          </w:p>
        </w:tc>
      </w:tr>
      <w:tr w:rsidR="00F2396B" w14:paraId="410161C0" w14:textId="77777777" w:rsidTr="00AC7773">
        <w:trPr>
          <w:trHeight w:val="320"/>
        </w:trPr>
        <w:tc>
          <w:tcPr>
            <w:tcW w:w="1670" w:type="dxa"/>
            <w:tcBorders>
              <w:top w:val="nil"/>
              <w:left w:val="single" w:sz="8" w:space="0" w:color="000000"/>
              <w:bottom w:val="single" w:sz="8" w:space="0" w:color="000000"/>
              <w:right w:val="single" w:sz="8" w:space="0" w:color="000000"/>
            </w:tcBorders>
            <w:shd w:val="clear" w:color="auto" w:fill="FFFFFF"/>
            <w:vAlign w:val="bottom"/>
          </w:tcPr>
          <w:p w14:paraId="55AB037D" w14:textId="77777777" w:rsidR="00F2396B" w:rsidRDefault="00702746" w:rsidP="00AC7773">
            <w:pPr>
              <w:contextualSpacing w:val="0"/>
              <w:jc w:val="both"/>
              <w:rPr>
                <w:b/>
                <w:sz w:val="18"/>
                <w:szCs w:val="18"/>
              </w:rPr>
            </w:pPr>
            <w:r>
              <w:rPr>
                <w:b/>
                <w:sz w:val="18"/>
                <w:szCs w:val="18"/>
              </w:rPr>
              <w:t>PVH</w:t>
            </w:r>
          </w:p>
        </w:tc>
        <w:tc>
          <w:tcPr>
            <w:tcW w:w="743" w:type="dxa"/>
            <w:tcBorders>
              <w:top w:val="nil"/>
              <w:left w:val="nil"/>
              <w:bottom w:val="single" w:sz="8" w:space="0" w:color="000000"/>
              <w:right w:val="single" w:sz="4" w:space="0" w:color="000000"/>
            </w:tcBorders>
            <w:shd w:val="clear" w:color="auto" w:fill="FFFFFF"/>
            <w:vAlign w:val="bottom"/>
          </w:tcPr>
          <w:p w14:paraId="1CB1AAFA" w14:textId="77777777" w:rsidR="00F2396B" w:rsidRDefault="00702746" w:rsidP="00AC7773">
            <w:pPr>
              <w:contextualSpacing w:val="0"/>
              <w:jc w:val="both"/>
              <w:rPr>
                <w:sz w:val="18"/>
                <w:szCs w:val="18"/>
              </w:rPr>
            </w:pPr>
            <w:r>
              <w:rPr>
                <w:sz w:val="18"/>
                <w:szCs w:val="18"/>
              </w:rPr>
              <w:t>0.134</w:t>
            </w:r>
          </w:p>
        </w:tc>
        <w:tc>
          <w:tcPr>
            <w:tcW w:w="790" w:type="dxa"/>
            <w:tcBorders>
              <w:top w:val="nil"/>
              <w:left w:val="nil"/>
              <w:bottom w:val="single" w:sz="8" w:space="0" w:color="000000"/>
              <w:right w:val="single" w:sz="4" w:space="0" w:color="000000"/>
            </w:tcBorders>
            <w:shd w:val="clear" w:color="auto" w:fill="FFFFFF"/>
            <w:vAlign w:val="bottom"/>
          </w:tcPr>
          <w:p w14:paraId="66F9071E" w14:textId="77777777" w:rsidR="00F2396B" w:rsidRDefault="00702746" w:rsidP="00AC7773">
            <w:pPr>
              <w:contextualSpacing w:val="0"/>
              <w:jc w:val="both"/>
              <w:rPr>
                <w:sz w:val="18"/>
                <w:szCs w:val="18"/>
              </w:rPr>
            </w:pPr>
            <w:r>
              <w:rPr>
                <w:sz w:val="18"/>
                <w:szCs w:val="18"/>
              </w:rPr>
              <w:t>0.033</w:t>
            </w:r>
          </w:p>
        </w:tc>
        <w:tc>
          <w:tcPr>
            <w:tcW w:w="672" w:type="dxa"/>
            <w:tcBorders>
              <w:top w:val="nil"/>
              <w:left w:val="nil"/>
              <w:bottom w:val="single" w:sz="8" w:space="0" w:color="000000"/>
              <w:right w:val="single" w:sz="4" w:space="0" w:color="000000"/>
            </w:tcBorders>
            <w:shd w:val="clear" w:color="auto" w:fill="FFFFFF"/>
            <w:vAlign w:val="bottom"/>
          </w:tcPr>
          <w:p w14:paraId="7A9302FB" w14:textId="77777777" w:rsidR="00F2396B" w:rsidRDefault="00702746" w:rsidP="00AC7773">
            <w:pPr>
              <w:contextualSpacing w:val="0"/>
              <w:jc w:val="both"/>
              <w:rPr>
                <w:sz w:val="18"/>
                <w:szCs w:val="18"/>
              </w:rPr>
            </w:pPr>
            <w:r>
              <w:rPr>
                <w:sz w:val="18"/>
                <w:szCs w:val="18"/>
              </w:rPr>
              <w:t>0.101</w:t>
            </w:r>
          </w:p>
        </w:tc>
        <w:tc>
          <w:tcPr>
            <w:tcW w:w="706" w:type="dxa"/>
            <w:tcBorders>
              <w:top w:val="nil"/>
              <w:left w:val="nil"/>
              <w:bottom w:val="single" w:sz="8" w:space="0" w:color="000000"/>
              <w:right w:val="single" w:sz="8" w:space="0" w:color="000000"/>
            </w:tcBorders>
            <w:shd w:val="clear" w:color="auto" w:fill="FFFFFF"/>
            <w:vAlign w:val="bottom"/>
          </w:tcPr>
          <w:p w14:paraId="74E64566" w14:textId="77777777" w:rsidR="00F2396B" w:rsidRDefault="00702746" w:rsidP="00AC7773">
            <w:pPr>
              <w:contextualSpacing w:val="0"/>
              <w:jc w:val="both"/>
              <w:rPr>
                <w:sz w:val="18"/>
                <w:szCs w:val="18"/>
              </w:rPr>
            </w:pPr>
            <w:r>
              <w:rPr>
                <w:sz w:val="18"/>
                <w:szCs w:val="18"/>
              </w:rPr>
              <w:t>0.126</w:t>
            </w:r>
          </w:p>
        </w:tc>
      </w:tr>
    </w:tbl>
    <w:p w14:paraId="6D0FDACA" w14:textId="77777777" w:rsidR="00F2396B" w:rsidRDefault="00702746">
      <w:pPr>
        <w:jc w:val="both"/>
        <w:rPr>
          <w:sz w:val="20"/>
          <w:szCs w:val="20"/>
        </w:rPr>
      </w:pPr>
      <w:r>
        <w:rPr>
          <w:noProof/>
          <w:lang w:eastAsia="en-US"/>
        </w:rPr>
        <w:drawing>
          <wp:inline distT="0" distB="0" distL="0" distR="0" wp14:anchorId="78892486" wp14:editId="404B3240">
            <wp:extent cx="2794635" cy="1502072"/>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794635" cy="1502072"/>
                    </a:xfrm>
                    <a:prstGeom prst="rect">
                      <a:avLst/>
                    </a:prstGeom>
                    <a:ln/>
                  </pic:spPr>
                </pic:pic>
              </a:graphicData>
            </a:graphic>
          </wp:inline>
        </w:drawing>
      </w:r>
    </w:p>
    <w:p w14:paraId="144961A2" w14:textId="023B6C58" w:rsidR="00F2396B" w:rsidRPr="002601CC" w:rsidRDefault="002601CC" w:rsidP="002601CC">
      <w:pPr>
        <w:tabs>
          <w:tab w:val="left" w:pos="2052"/>
          <w:tab w:val="left" w:pos="6972"/>
        </w:tabs>
        <w:ind w:firstLine="360"/>
        <w:jc w:val="both"/>
        <w:rPr>
          <w:b/>
          <w:sz w:val="20"/>
          <w:szCs w:val="20"/>
        </w:rPr>
      </w:pPr>
      <w:r>
        <w:rPr>
          <w:sz w:val="20"/>
          <w:szCs w:val="20"/>
        </w:rPr>
        <w:tab/>
      </w:r>
      <w:r w:rsidRPr="002601CC">
        <w:rPr>
          <w:b/>
          <w:sz w:val="20"/>
          <w:szCs w:val="20"/>
        </w:rPr>
        <w:t>Table 5</w:t>
      </w:r>
      <w:r>
        <w:rPr>
          <w:b/>
          <w:sz w:val="20"/>
          <w:szCs w:val="20"/>
        </w:rPr>
        <w:tab/>
        <w:t>Figure 5</w:t>
      </w:r>
    </w:p>
    <w:p w14:paraId="5E334D34" w14:textId="77777777" w:rsidR="00F2396B" w:rsidRDefault="00702746">
      <w:pPr>
        <w:ind w:firstLine="360"/>
        <w:jc w:val="both"/>
        <w:rPr>
          <w:sz w:val="20"/>
          <w:szCs w:val="20"/>
        </w:rPr>
      </w:pPr>
      <w:r>
        <w:rPr>
          <w:sz w:val="20"/>
          <w:szCs w:val="20"/>
        </w:rPr>
        <w:lastRenderedPageBreak/>
        <w:t>Hence, higher the ratio better the efficiency of the company. After comparing the Return on equity ratio of all the five companies, we can infer that</w:t>
      </w:r>
    </w:p>
    <w:p w14:paraId="7125BD6C" w14:textId="77777777" w:rsidR="00F2396B" w:rsidRDefault="00702746">
      <w:pPr>
        <w:numPr>
          <w:ilvl w:val="0"/>
          <w:numId w:val="4"/>
        </w:numPr>
        <w:ind w:hanging="360"/>
        <w:jc w:val="both"/>
        <w:rPr>
          <w:sz w:val="20"/>
          <w:szCs w:val="20"/>
        </w:rPr>
      </w:pPr>
      <w:r>
        <w:rPr>
          <w:sz w:val="20"/>
          <w:szCs w:val="20"/>
        </w:rPr>
        <w:t xml:space="preserve">Under </w:t>
      </w:r>
      <w:proofErr w:type="spellStart"/>
      <w:r>
        <w:rPr>
          <w:sz w:val="20"/>
          <w:szCs w:val="20"/>
        </w:rPr>
        <w:t>Armour</w:t>
      </w:r>
      <w:proofErr w:type="spellEnd"/>
      <w:r>
        <w:rPr>
          <w:sz w:val="20"/>
          <w:szCs w:val="20"/>
        </w:rPr>
        <w:t xml:space="preserve"> has the lowest ROE ratio</w:t>
      </w:r>
    </w:p>
    <w:p w14:paraId="4FE0C9E6" w14:textId="77777777" w:rsidR="00F2396B" w:rsidRDefault="00702746">
      <w:pPr>
        <w:numPr>
          <w:ilvl w:val="0"/>
          <w:numId w:val="4"/>
        </w:numPr>
        <w:ind w:hanging="360"/>
        <w:jc w:val="both"/>
        <w:rPr>
          <w:sz w:val="20"/>
          <w:szCs w:val="20"/>
        </w:rPr>
      </w:pPr>
      <w:r>
        <w:rPr>
          <w:sz w:val="20"/>
          <w:szCs w:val="20"/>
        </w:rPr>
        <w:t>Ralph Lauren and PVH has an average ratio of 0.1, which is low.</w:t>
      </w:r>
    </w:p>
    <w:p w14:paraId="7DAE6B85" w14:textId="77777777" w:rsidR="00F2396B" w:rsidRDefault="00702746">
      <w:pPr>
        <w:numPr>
          <w:ilvl w:val="0"/>
          <w:numId w:val="4"/>
        </w:numPr>
        <w:ind w:hanging="360"/>
        <w:jc w:val="both"/>
        <w:rPr>
          <w:sz w:val="20"/>
          <w:szCs w:val="20"/>
        </w:rPr>
      </w:pPr>
      <w:r>
        <w:rPr>
          <w:sz w:val="20"/>
          <w:szCs w:val="20"/>
        </w:rPr>
        <w:t xml:space="preserve">GAP has the highest return per dollar of shareholder’s equity. </w:t>
      </w:r>
    </w:p>
    <w:p w14:paraId="275FCDE5" w14:textId="77777777" w:rsidR="00F2396B" w:rsidRDefault="00702746">
      <w:pPr>
        <w:numPr>
          <w:ilvl w:val="0"/>
          <w:numId w:val="4"/>
        </w:numPr>
        <w:ind w:hanging="360"/>
        <w:jc w:val="both"/>
        <w:rPr>
          <w:sz w:val="20"/>
          <w:szCs w:val="20"/>
        </w:rPr>
      </w:pPr>
      <w:r>
        <w:rPr>
          <w:sz w:val="20"/>
          <w:szCs w:val="20"/>
        </w:rPr>
        <w:t xml:space="preserve">AEO has the next best ROE however, during the years 2014 and 2015, they have a dip in the overall performance of the company. </w:t>
      </w:r>
    </w:p>
    <w:p w14:paraId="216A9858" w14:textId="77777777" w:rsidR="00F2396B" w:rsidRDefault="00702746">
      <w:pPr>
        <w:ind w:firstLine="360"/>
        <w:jc w:val="both"/>
        <w:rPr>
          <w:sz w:val="20"/>
          <w:szCs w:val="20"/>
        </w:rPr>
      </w:pPr>
      <w:r>
        <w:rPr>
          <w:sz w:val="20"/>
          <w:szCs w:val="20"/>
        </w:rPr>
        <w:t>Hence, we can infer that GAP has the best Return on Equity.</w:t>
      </w:r>
    </w:p>
    <w:p w14:paraId="11632CC2" w14:textId="77777777" w:rsidR="00F2396B" w:rsidRDefault="00702746">
      <w:pPr>
        <w:pStyle w:val="Heading2"/>
      </w:pPr>
      <w:r>
        <w:t>Current Ratio</w:t>
      </w:r>
    </w:p>
    <w:p w14:paraId="24B8B837" w14:textId="77777777" w:rsidR="00F2396B" w:rsidRDefault="00702746">
      <w:pPr>
        <w:ind w:firstLine="360"/>
        <w:jc w:val="both"/>
        <w:rPr>
          <w:sz w:val="20"/>
          <w:szCs w:val="20"/>
        </w:rPr>
      </w:pPr>
      <w:r>
        <w:rPr>
          <w:sz w:val="20"/>
          <w:szCs w:val="20"/>
        </w:rPr>
        <w:t>Current ratio is the ratio of current assets to current liability.</w:t>
      </w:r>
    </w:p>
    <w:p w14:paraId="5D7FD020" w14:textId="77777777" w:rsidR="00F2396B" w:rsidRDefault="00F2396B">
      <w:pPr>
        <w:ind w:firstLine="360"/>
        <w:jc w:val="both"/>
        <w:rPr>
          <w:sz w:val="20"/>
          <w:szCs w:val="20"/>
        </w:rPr>
      </w:pPr>
    </w:p>
    <w:tbl>
      <w:tblPr>
        <w:tblStyle w:val="a4"/>
        <w:tblpPr w:leftFromText="180" w:rightFromText="180" w:vertAnchor="text" w:horzAnchor="page" w:tblpX="1277" w:tblpY="25"/>
        <w:tblOverlap w:val="never"/>
        <w:tblW w:w="4672" w:type="dxa"/>
        <w:tblLayout w:type="fixed"/>
        <w:tblLook w:val="0400" w:firstRow="0" w:lastRow="0" w:firstColumn="0" w:lastColumn="0" w:noHBand="0" w:noVBand="1"/>
      </w:tblPr>
      <w:tblGrid>
        <w:gridCol w:w="1522"/>
        <w:gridCol w:w="810"/>
        <w:gridCol w:w="810"/>
        <w:gridCol w:w="810"/>
        <w:gridCol w:w="720"/>
      </w:tblGrid>
      <w:tr w:rsidR="00F2396B" w14:paraId="04AAEB03" w14:textId="77777777" w:rsidTr="00AC7773">
        <w:trPr>
          <w:trHeight w:val="320"/>
        </w:trPr>
        <w:tc>
          <w:tcPr>
            <w:tcW w:w="4672" w:type="dxa"/>
            <w:gridSpan w:val="5"/>
            <w:tcBorders>
              <w:top w:val="single" w:sz="8" w:space="0" w:color="000000"/>
              <w:left w:val="single" w:sz="8" w:space="0" w:color="000000"/>
              <w:bottom w:val="single" w:sz="8" w:space="0" w:color="000000"/>
              <w:right w:val="single" w:sz="8" w:space="0" w:color="000000"/>
            </w:tcBorders>
            <w:shd w:val="clear" w:color="auto" w:fill="auto"/>
            <w:vAlign w:val="bottom"/>
          </w:tcPr>
          <w:p w14:paraId="0B6033AB" w14:textId="77777777" w:rsidR="00F2396B" w:rsidRDefault="00702746" w:rsidP="00AC7773">
            <w:pPr>
              <w:contextualSpacing w:val="0"/>
              <w:jc w:val="both"/>
              <w:rPr>
                <w:b/>
                <w:sz w:val="18"/>
                <w:szCs w:val="18"/>
              </w:rPr>
            </w:pPr>
            <w:r w:rsidRPr="00AC7773">
              <w:rPr>
                <w:b/>
                <w:sz w:val="18"/>
                <w:szCs w:val="18"/>
              </w:rPr>
              <w:t>Current Ratio</w:t>
            </w:r>
          </w:p>
        </w:tc>
      </w:tr>
      <w:tr w:rsidR="00F2396B" w14:paraId="3A5C1304" w14:textId="77777777" w:rsidTr="00AC7773">
        <w:trPr>
          <w:trHeight w:val="320"/>
        </w:trPr>
        <w:tc>
          <w:tcPr>
            <w:tcW w:w="1522" w:type="dxa"/>
            <w:tcBorders>
              <w:top w:val="nil"/>
              <w:left w:val="single" w:sz="8" w:space="0" w:color="000000"/>
              <w:bottom w:val="nil"/>
              <w:right w:val="single" w:sz="8" w:space="0" w:color="000000"/>
            </w:tcBorders>
            <w:shd w:val="clear" w:color="auto" w:fill="FFFFFF"/>
            <w:vAlign w:val="bottom"/>
          </w:tcPr>
          <w:p w14:paraId="2C0674EF" w14:textId="77777777" w:rsidR="00F2396B" w:rsidRDefault="00702746" w:rsidP="00AC7773">
            <w:pPr>
              <w:contextualSpacing w:val="0"/>
              <w:jc w:val="both"/>
              <w:rPr>
                <w:b/>
                <w:sz w:val="18"/>
                <w:szCs w:val="18"/>
              </w:rPr>
            </w:pPr>
            <w:r>
              <w:rPr>
                <w:b/>
                <w:sz w:val="18"/>
                <w:szCs w:val="18"/>
              </w:rPr>
              <w:t>Years</w:t>
            </w:r>
          </w:p>
        </w:tc>
        <w:tc>
          <w:tcPr>
            <w:tcW w:w="810" w:type="dxa"/>
            <w:tcBorders>
              <w:top w:val="nil"/>
              <w:left w:val="nil"/>
              <w:bottom w:val="nil"/>
              <w:right w:val="nil"/>
            </w:tcBorders>
            <w:shd w:val="clear" w:color="auto" w:fill="FFFFFF"/>
            <w:vAlign w:val="bottom"/>
          </w:tcPr>
          <w:p w14:paraId="0EC0BA10" w14:textId="77777777" w:rsidR="00F2396B" w:rsidRDefault="00702746" w:rsidP="00AC7773">
            <w:pPr>
              <w:contextualSpacing w:val="0"/>
              <w:jc w:val="both"/>
              <w:rPr>
                <w:b/>
                <w:sz w:val="18"/>
                <w:szCs w:val="18"/>
              </w:rPr>
            </w:pPr>
            <w:r>
              <w:rPr>
                <w:b/>
                <w:sz w:val="18"/>
                <w:szCs w:val="18"/>
              </w:rPr>
              <w:t>2013</w:t>
            </w:r>
          </w:p>
        </w:tc>
        <w:tc>
          <w:tcPr>
            <w:tcW w:w="810" w:type="dxa"/>
            <w:tcBorders>
              <w:top w:val="nil"/>
              <w:left w:val="nil"/>
              <w:bottom w:val="nil"/>
              <w:right w:val="nil"/>
            </w:tcBorders>
            <w:shd w:val="clear" w:color="auto" w:fill="FFFFFF"/>
            <w:vAlign w:val="bottom"/>
          </w:tcPr>
          <w:p w14:paraId="12AEA4FF" w14:textId="77777777" w:rsidR="00F2396B" w:rsidRDefault="00702746" w:rsidP="00AC7773">
            <w:pPr>
              <w:contextualSpacing w:val="0"/>
              <w:jc w:val="both"/>
              <w:rPr>
                <w:b/>
                <w:sz w:val="18"/>
                <w:szCs w:val="18"/>
              </w:rPr>
            </w:pPr>
            <w:r>
              <w:rPr>
                <w:b/>
                <w:sz w:val="18"/>
                <w:szCs w:val="18"/>
              </w:rPr>
              <w:t>2014</w:t>
            </w:r>
          </w:p>
        </w:tc>
        <w:tc>
          <w:tcPr>
            <w:tcW w:w="810" w:type="dxa"/>
            <w:tcBorders>
              <w:top w:val="nil"/>
              <w:left w:val="nil"/>
              <w:bottom w:val="nil"/>
              <w:right w:val="nil"/>
            </w:tcBorders>
            <w:shd w:val="clear" w:color="auto" w:fill="FFFFFF"/>
            <w:vAlign w:val="bottom"/>
          </w:tcPr>
          <w:p w14:paraId="50FC926B" w14:textId="77777777" w:rsidR="00F2396B" w:rsidRDefault="00702746" w:rsidP="00AC7773">
            <w:pPr>
              <w:contextualSpacing w:val="0"/>
              <w:jc w:val="both"/>
              <w:rPr>
                <w:b/>
                <w:sz w:val="18"/>
                <w:szCs w:val="18"/>
              </w:rPr>
            </w:pPr>
            <w:r>
              <w:rPr>
                <w:b/>
                <w:sz w:val="18"/>
                <w:szCs w:val="18"/>
              </w:rPr>
              <w:t>2015</w:t>
            </w:r>
          </w:p>
        </w:tc>
        <w:tc>
          <w:tcPr>
            <w:tcW w:w="720" w:type="dxa"/>
            <w:tcBorders>
              <w:top w:val="nil"/>
              <w:left w:val="nil"/>
              <w:bottom w:val="nil"/>
              <w:right w:val="single" w:sz="8" w:space="0" w:color="000000"/>
            </w:tcBorders>
            <w:shd w:val="clear" w:color="auto" w:fill="FFFFFF"/>
            <w:vAlign w:val="bottom"/>
          </w:tcPr>
          <w:p w14:paraId="0489ED2A" w14:textId="77777777" w:rsidR="00F2396B" w:rsidRDefault="00702746" w:rsidP="00AC7773">
            <w:pPr>
              <w:contextualSpacing w:val="0"/>
              <w:jc w:val="both"/>
              <w:rPr>
                <w:b/>
                <w:sz w:val="18"/>
                <w:szCs w:val="18"/>
              </w:rPr>
            </w:pPr>
            <w:r>
              <w:rPr>
                <w:b/>
                <w:sz w:val="18"/>
                <w:szCs w:val="18"/>
              </w:rPr>
              <w:t>2016</w:t>
            </w:r>
          </w:p>
        </w:tc>
      </w:tr>
      <w:tr w:rsidR="00F2396B" w14:paraId="13493006" w14:textId="77777777" w:rsidTr="00AC7773">
        <w:trPr>
          <w:trHeight w:val="320"/>
        </w:trPr>
        <w:tc>
          <w:tcPr>
            <w:tcW w:w="1522" w:type="dxa"/>
            <w:tcBorders>
              <w:top w:val="single" w:sz="8" w:space="0" w:color="000000"/>
              <w:left w:val="single" w:sz="8" w:space="0" w:color="000000"/>
              <w:bottom w:val="single" w:sz="4" w:space="0" w:color="000000"/>
              <w:right w:val="single" w:sz="8" w:space="0" w:color="000000"/>
            </w:tcBorders>
            <w:shd w:val="clear" w:color="auto" w:fill="FFFFFF"/>
            <w:vAlign w:val="bottom"/>
          </w:tcPr>
          <w:p w14:paraId="7952411D" w14:textId="77777777" w:rsidR="00F2396B" w:rsidRDefault="00702746" w:rsidP="00AC7773">
            <w:pPr>
              <w:contextualSpacing w:val="0"/>
              <w:jc w:val="both"/>
              <w:rPr>
                <w:b/>
                <w:sz w:val="18"/>
                <w:szCs w:val="18"/>
              </w:rPr>
            </w:pPr>
            <w:r>
              <w:rPr>
                <w:b/>
                <w:sz w:val="18"/>
                <w:szCs w:val="18"/>
              </w:rPr>
              <w:t>AEO</w:t>
            </w:r>
          </w:p>
        </w:tc>
        <w:tc>
          <w:tcPr>
            <w:tcW w:w="810" w:type="dxa"/>
            <w:tcBorders>
              <w:top w:val="single" w:sz="8" w:space="0" w:color="000000"/>
              <w:left w:val="nil"/>
              <w:bottom w:val="single" w:sz="4" w:space="0" w:color="000000"/>
              <w:right w:val="single" w:sz="4" w:space="0" w:color="000000"/>
            </w:tcBorders>
            <w:shd w:val="clear" w:color="auto" w:fill="FFFFFF"/>
            <w:vAlign w:val="bottom"/>
          </w:tcPr>
          <w:p w14:paraId="6398EC5F" w14:textId="77777777" w:rsidR="00F2396B" w:rsidRDefault="00702746" w:rsidP="00AC7773">
            <w:pPr>
              <w:contextualSpacing w:val="0"/>
              <w:jc w:val="both"/>
              <w:rPr>
                <w:sz w:val="18"/>
                <w:szCs w:val="18"/>
              </w:rPr>
            </w:pPr>
            <w:r>
              <w:rPr>
                <w:sz w:val="18"/>
                <w:szCs w:val="18"/>
              </w:rPr>
              <w:t>2.610</w:t>
            </w:r>
          </w:p>
        </w:tc>
        <w:tc>
          <w:tcPr>
            <w:tcW w:w="810" w:type="dxa"/>
            <w:tcBorders>
              <w:top w:val="single" w:sz="8" w:space="0" w:color="000000"/>
              <w:left w:val="nil"/>
              <w:bottom w:val="single" w:sz="4" w:space="0" w:color="000000"/>
              <w:right w:val="single" w:sz="4" w:space="0" w:color="000000"/>
            </w:tcBorders>
            <w:shd w:val="clear" w:color="auto" w:fill="FFFFFF"/>
            <w:vAlign w:val="bottom"/>
          </w:tcPr>
          <w:p w14:paraId="7CB0D5A5" w14:textId="77777777" w:rsidR="00F2396B" w:rsidRDefault="00702746" w:rsidP="00AC7773">
            <w:pPr>
              <w:contextualSpacing w:val="0"/>
              <w:jc w:val="both"/>
              <w:rPr>
                <w:sz w:val="18"/>
                <w:szCs w:val="18"/>
              </w:rPr>
            </w:pPr>
            <w:r>
              <w:rPr>
                <w:sz w:val="18"/>
                <w:szCs w:val="18"/>
              </w:rPr>
              <w:t>2.223</w:t>
            </w:r>
          </w:p>
        </w:tc>
        <w:tc>
          <w:tcPr>
            <w:tcW w:w="810" w:type="dxa"/>
            <w:tcBorders>
              <w:top w:val="single" w:sz="8" w:space="0" w:color="000000"/>
              <w:left w:val="nil"/>
              <w:bottom w:val="single" w:sz="4" w:space="0" w:color="000000"/>
              <w:right w:val="single" w:sz="4" w:space="0" w:color="000000"/>
            </w:tcBorders>
            <w:shd w:val="clear" w:color="auto" w:fill="FFFFFF"/>
            <w:vAlign w:val="bottom"/>
          </w:tcPr>
          <w:p w14:paraId="270112AE" w14:textId="77777777" w:rsidR="00F2396B" w:rsidRDefault="00702746" w:rsidP="00AC7773">
            <w:pPr>
              <w:contextualSpacing w:val="0"/>
              <w:jc w:val="both"/>
              <w:rPr>
                <w:sz w:val="18"/>
                <w:szCs w:val="18"/>
              </w:rPr>
            </w:pPr>
            <w:r>
              <w:rPr>
                <w:sz w:val="18"/>
                <w:szCs w:val="18"/>
              </w:rPr>
              <w:t>1.940</w:t>
            </w:r>
          </w:p>
        </w:tc>
        <w:tc>
          <w:tcPr>
            <w:tcW w:w="720" w:type="dxa"/>
            <w:tcBorders>
              <w:top w:val="single" w:sz="8" w:space="0" w:color="000000"/>
              <w:left w:val="nil"/>
              <w:bottom w:val="single" w:sz="4" w:space="0" w:color="000000"/>
              <w:right w:val="single" w:sz="8" w:space="0" w:color="000000"/>
            </w:tcBorders>
            <w:shd w:val="clear" w:color="auto" w:fill="FFFFFF"/>
            <w:vAlign w:val="bottom"/>
          </w:tcPr>
          <w:p w14:paraId="6F365AE0" w14:textId="77777777" w:rsidR="00F2396B" w:rsidRDefault="00702746" w:rsidP="00AC7773">
            <w:pPr>
              <w:contextualSpacing w:val="0"/>
              <w:jc w:val="both"/>
              <w:rPr>
                <w:sz w:val="18"/>
                <w:szCs w:val="18"/>
              </w:rPr>
            </w:pPr>
            <w:r>
              <w:rPr>
                <w:sz w:val="18"/>
                <w:szCs w:val="18"/>
              </w:rPr>
              <w:t>1.560</w:t>
            </w:r>
          </w:p>
        </w:tc>
      </w:tr>
      <w:tr w:rsidR="00F2396B" w14:paraId="2A4A897F" w14:textId="77777777" w:rsidTr="00AC7773">
        <w:trPr>
          <w:trHeight w:val="320"/>
        </w:trPr>
        <w:tc>
          <w:tcPr>
            <w:tcW w:w="1522" w:type="dxa"/>
            <w:tcBorders>
              <w:top w:val="nil"/>
              <w:left w:val="single" w:sz="8" w:space="0" w:color="000000"/>
              <w:bottom w:val="single" w:sz="4" w:space="0" w:color="000000"/>
              <w:right w:val="single" w:sz="8" w:space="0" w:color="000000"/>
            </w:tcBorders>
            <w:shd w:val="clear" w:color="auto" w:fill="FFFFFF"/>
            <w:vAlign w:val="bottom"/>
          </w:tcPr>
          <w:p w14:paraId="79C41857" w14:textId="77777777" w:rsidR="00F2396B" w:rsidRDefault="00702746" w:rsidP="00AC7773">
            <w:pPr>
              <w:contextualSpacing w:val="0"/>
              <w:jc w:val="both"/>
              <w:rPr>
                <w:b/>
                <w:sz w:val="18"/>
                <w:szCs w:val="18"/>
              </w:rPr>
            </w:pPr>
            <w:r>
              <w:rPr>
                <w:b/>
                <w:sz w:val="18"/>
                <w:szCs w:val="18"/>
              </w:rPr>
              <w:t>GAP</w:t>
            </w:r>
          </w:p>
        </w:tc>
        <w:tc>
          <w:tcPr>
            <w:tcW w:w="810" w:type="dxa"/>
            <w:tcBorders>
              <w:top w:val="nil"/>
              <w:left w:val="nil"/>
              <w:bottom w:val="single" w:sz="4" w:space="0" w:color="000000"/>
              <w:right w:val="single" w:sz="4" w:space="0" w:color="000000"/>
            </w:tcBorders>
            <w:shd w:val="clear" w:color="auto" w:fill="FFFFFF"/>
            <w:vAlign w:val="bottom"/>
          </w:tcPr>
          <w:p w14:paraId="72E6AA5A" w14:textId="77777777" w:rsidR="00F2396B" w:rsidRDefault="00702746" w:rsidP="00AC7773">
            <w:pPr>
              <w:contextualSpacing w:val="0"/>
              <w:jc w:val="both"/>
              <w:rPr>
                <w:sz w:val="18"/>
                <w:szCs w:val="18"/>
              </w:rPr>
            </w:pPr>
            <w:r>
              <w:rPr>
                <w:sz w:val="18"/>
                <w:szCs w:val="18"/>
              </w:rPr>
              <w:t>1.765</w:t>
            </w:r>
          </w:p>
        </w:tc>
        <w:tc>
          <w:tcPr>
            <w:tcW w:w="810" w:type="dxa"/>
            <w:tcBorders>
              <w:top w:val="nil"/>
              <w:left w:val="nil"/>
              <w:bottom w:val="single" w:sz="4" w:space="0" w:color="000000"/>
              <w:right w:val="single" w:sz="4" w:space="0" w:color="000000"/>
            </w:tcBorders>
            <w:shd w:val="clear" w:color="auto" w:fill="FFFFFF"/>
            <w:vAlign w:val="bottom"/>
          </w:tcPr>
          <w:p w14:paraId="16223C81" w14:textId="77777777" w:rsidR="00F2396B" w:rsidRDefault="00702746" w:rsidP="00AC7773">
            <w:pPr>
              <w:contextualSpacing w:val="0"/>
              <w:jc w:val="both"/>
              <w:rPr>
                <w:sz w:val="18"/>
                <w:szCs w:val="18"/>
              </w:rPr>
            </w:pPr>
            <w:r>
              <w:rPr>
                <w:sz w:val="18"/>
                <w:szCs w:val="18"/>
              </w:rPr>
              <w:t>1.808</w:t>
            </w:r>
          </w:p>
        </w:tc>
        <w:tc>
          <w:tcPr>
            <w:tcW w:w="810" w:type="dxa"/>
            <w:tcBorders>
              <w:top w:val="nil"/>
              <w:left w:val="nil"/>
              <w:bottom w:val="single" w:sz="4" w:space="0" w:color="000000"/>
              <w:right w:val="single" w:sz="4" w:space="0" w:color="000000"/>
            </w:tcBorders>
            <w:shd w:val="clear" w:color="auto" w:fill="FFFFFF"/>
            <w:vAlign w:val="bottom"/>
          </w:tcPr>
          <w:p w14:paraId="3A77D371" w14:textId="77777777" w:rsidR="00F2396B" w:rsidRDefault="00702746" w:rsidP="00AC7773">
            <w:pPr>
              <w:contextualSpacing w:val="0"/>
              <w:jc w:val="both"/>
              <w:rPr>
                <w:sz w:val="18"/>
                <w:szCs w:val="18"/>
              </w:rPr>
            </w:pPr>
            <w:r>
              <w:rPr>
                <w:sz w:val="18"/>
                <w:szCs w:val="18"/>
              </w:rPr>
              <w:t>1.937</w:t>
            </w:r>
          </w:p>
        </w:tc>
        <w:tc>
          <w:tcPr>
            <w:tcW w:w="720" w:type="dxa"/>
            <w:tcBorders>
              <w:top w:val="nil"/>
              <w:left w:val="nil"/>
              <w:bottom w:val="single" w:sz="4" w:space="0" w:color="000000"/>
              <w:right w:val="single" w:sz="8" w:space="0" w:color="000000"/>
            </w:tcBorders>
            <w:shd w:val="clear" w:color="auto" w:fill="FFFFFF"/>
            <w:vAlign w:val="bottom"/>
          </w:tcPr>
          <w:p w14:paraId="21F760D5" w14:textId="77777777" w:rsidR="00F2396B" w:rsidRDefault="00702746" w:rsidP="00AC7773">
            <w:pPr>
              <w:contextualSpacing w:val="0"/>
              <w:jc w:val="both"/>
              <w:rPr>
                <w:sz w:val="18"/>
                <w:szCs w:val="18"/>
              </w:rPr>
            </w:pPr>
            <w:r>
              <w:rPr>
                <w:sz w:val="18"/>
                <w:szCs w:val="18"/>
              </w:rPr>
              <w:t>1.571</w:t>
            </w:r>
          </w:p>
        </w:tc>
      </w:tr>
      <w:tr w:rsidR="00F2396B" w14:paraId="0574F192" w14:textId="77777777" w:rsidTr="00AC7773">
        <w:trPr>
          <w:trHeight w:val="320"/>
        </w:trPr>
        <w:tc>
          <w:tcPr>
            <w:tcW w:w="1522" w:type="dxa"/>
            <w:tcBorders>
              <w:top w:val="nil"/>
              <w:left w:val="single" w:sz="8" w:space="0" w:color="000000"/>
              <w:bottom w:val="single" w:sz="4" w:space="0" w:color="000000"/>
              <w:right w:val="single" w:sz="8" w:space="0" w:color="000000"/>
            </w:tcBorders>
            <w:shd w:val="clear" w:color="auto" w:fill="FFFFFF"/>
            <w:vAlign w:val="bottom"/>
          </w:tcPr>
          <w:p w14:paraId="088996DF" w14:textId="77777777" w:rsidR="00F2396B" w:rsidRDefault="00702746" w:rsidP="00AC7773">
            <w:pPr>
              <w:contextualSpacing w:val="0"/>
              <w:jc w:val="both"/>
              <w:rPr>
                <w:b/>
                <w:sz w:val="18"/>
                <w:szCs w:val="18"/>
              </w:rPr>
            </w:pPr>
            <w:r>
              <w:rPr>
                <w:b/>
                <w:sz w:val="18"/>
                <w:szCs w:val="18"/>
              </w:rPr>
              <w:t>Ralph Lauren</w:t>
            </w:r>
          </w:p>
        </w:tc>
        <w:tc>
          <w:tcPr>
            <w:tcW w:w="810" w:type="dxa"/>
            <w:tcBorders>
              <w:top w:val="nil"/>
              <w:left w:val="nil"/>
              <w:bottom w:val="nil"/>
              <w:right w:val="single" w:sz="4" w:space="0" w:color="000000"/>
            </w:tcBorders>
            <w:shd w:val="clear" w:color="auto" w:fill="FFFFFF"/>
            <w:vAlign w:val="bottom"/>
          </w:tcPr>
          <w:p w14:paraId="216D924D" w14:textId="77777777" w:rsidR="00F2396B" w:rsidRDefault="00702746" w:rsidP="00AC7773">
            <w:pPr>
              <w:contextualSpacing w:val="0"/>
              <w:jc w:val="both"/>
              <w:rPr>
                <w:sz w:val="18"/>
                <w:szCs w:val="18"/>
              </w:rPr>
            </w:pPr>
            <w:r>
              <w:rPr>
                <w:sz w:val="18"/>
                <w:szCs w:val="18"/>
              </w:rPr>
              <w:t>2.634</w:t>
            </w:r>
          </w:p>
        </w:tc>
        <w:tc>
          <w:tcPr>
            <w:tcW w:w="810" w:type="dxa"/>
            <w:tcBorders>
              <w:top w:val="nil"/>
              <w:left w:val="nil"/>
              <w:bottom w:val="nil"/>
              <w:right w:val="single" w:sz="4" w:space="0" w:color="000000"/>
            </w:tcBorders>
            <w:shd w:val="clear" w:color="auto" w:fill="FFFFFF"/>
            <w:vAlign w:val="bottom"/>
          </w:tcPr>
          <w:p w14:paraId="03924AAD" w14:textId="77777777" w:rsidR="00F2396B" w:rsidRDefault="00702746" w:rsidP="00AC7773">
            <w:pPr>
              <w:contextualSpacing w:val="0"/>
              <w:jc w:val="both"/>
              <w:rPr>
                <w:sz w:val="18"/>
                <w:szCs w:val="18"/>
              </w:rPr>
            </w:pPr>
            <w:r>
              <w:rPr>
                <w:sz w:val="18"/>
                <w:szCs w:val="18"/>
              </w:rPr>
              <w:t>3.423</w:t>
            </w:r>
          </w:p>
        </w:tc>
        <w:tc>
          <w:tcPr>
            <w:tcW w:w="810" w:type="dxa"/>
            <w:tcBorders>
              <w:top w:val="nil"/>
              <w:left w:val="nil"/>
              <w:bottom w:val="nil"/>
              <w:right w:val="single" w:sz="4" w:space="0" w:color="000000"/>
            </w:tcBorders>
            <w:shd w:val="clear" w:color="auto" w:fill="FFFFFF"/>
            <w:vAlign w:val="bottom"/>
          </w:tcPr>
          <w:p w14:paraId="1E4772E4" w14:textId="77777777" w:rsidR="00F2396B" w:rsidRDefault="00702746" w:rsidP="00AC7773">
            <w:pPr>
              <w:contextualSpacing w:val="0"/>
              <w:jc w:val="both"/>
              <w:rPr>
                <w:sz w:val="18"/>
                <w:szCs w:val="18"/>
              </w:rPr>
            </w:pPr>
            <w:r>
              <w:rPr>
                <w:sz w:val="18"/>
                <w:szCs w:val="18"/>
              </w:rPr>
              <w:t>2.790</w:t>
            </w:r>
          </w:p>
        </w:tc>
        <w:tc>
          <w:tcPr>
            <w:tcW w:w="720" w:type="dxa"/>
            <w:tcBorders>
              <w:top w:val="nil"/>
              <w:left w:val="nil"/>
              <w:bottom w:val="nil"/>
              <w:right w:val="single" w:sz="8" w:space="0" w:color="000000"/>
            </w:tcBorders>
            <w:shd w:val="clear" w:color="auto" w:fill="FFFFFF"/>
            <w:vAlign w:val="bottom"/>
          </w:tcPr>
          <w:p w14:paraId="360F5677" w14:textId="77777777" w:rsidR="00F2396B" w:rsidRDefault="00702746" w:rsidP="00AC7773">
            <w:pPr>
              <w:contextualSpacing w:val="0"/>
              <w:jc w:val="both"/>
              <w:rPr>
                <w:sz w:val="18"/>
                <w:szCs w:val="18"/>
              </w:rPr>
            </w:pPr>
            <w:r>
              <w:rPr>
                <w:sz w:val="18"/>
                <w:szCs w:val="18"/>
              </w:rPr>
              <w:t>2.542</w:t>
            </w:r>
          </w:p>
        </w:tc>
      </w:tr>
      <w:tr w:rsidR="00F2396B" w14:paraId="1360287A" w14:textId="77777777" w:rsidTr="00AC7773">
        <w:trPr>
          <w:trHeight w:val="320"/>
        </w:trPr>
        <w:tc>
          <w:tcPr>
            <w:tcW w:w="1522" w:type="dxa"/>
            <w:tcBorders>
              <w:top w:val="nil"/>
              <w:left w:val="single" w:sz="8" w:space="0" w:color="000000"/>
              <w:bottom w:val="single" w:sz="4" w:space="0" w:color="000000"/>
              <w:right w:val="nil"/>
            </w:tcBorders>
            <w:shd w:val="clear" w:color="auto" w:fill="FFFFFF"/>
            <w:vAlign w:val="bottom"/>
          </w:tcPr>
          <w:p w14:paraId="72641573" w14:textId="77777777" w:rsidR="00F2396B" w:rsidRDefault="00702746" w:rsidP="00AC7773">
            <w:pPr>
              <w:contextualSpacing w:val="0"/>
              <w:jc w:val="both"/>
              <w:rPr>
                <w:b/>
                <w:sz w:val="18"/>
                <w:szCs w:val="18"/>
              </w:rPr>
            </w:pPr>
            <w:r>
              <w:rPr>
                <w:b/>
                <w:sz w:val="18"/>
                <w:szCs w:val="18"/>
              </w:rPr>
              <w:t>Under Armor</w:t>
            </w:r>
          </w:p>
        </w:tc>
        <w:tc>
          <w:tcPr>
            <w:tcW w:w="810" w:type="dxa"/>
            <w:tcBorders>
              <w:top w:val="single" w:sz="8" w:space="0" w:color="000000"/>
              <w:left w:val="single" w:sz="8" w:space="0" w:color="000000"/>
              <w:bottom w:val="single" w:sz="8" w:space="0" w:color="000000"/>
              <w:right w:val="single" w:sz="4" w:space="0" w:color="000000"/>
            </w:tcBorders>
            <w:shd w:val="clear" w:color="auto" w:fill="FFFFFF"/>
            <w:vAlign w:val="bottom"/>
          </w:tcPr>
          <w:p w14:paraId="0497CB73" w14:textId="77777777" w:rsidR="00F2396B" w:rsidRDefault="00702746" w:rsidP="00AC7773">
            <w:pPr>
              <w:contextualSpacing w:val="0"/>
              <w:jc w:val="both"/>
              <w:rPr>
                <w:sz w:val="18"/>
                <w:szCs w:val="18"/>
              </w:rPr>
            </w:pPr>
            <w:r>
              <w:rPr>
                <w:sz w:val="18"/>
                <w:szCs w:val="18"/>
              </w:rPr>
              <w:t>2.649</w:t>
            </w:r>
          </w:p>
        </w:tc>
        <w:tc>
          <w:tcPr>
            <w:tcW w:w="810" w:type="dxa"/>
            <w:tcBorders>
              <w:top w:val="single" w:sz="8" w:space="0" w:color="000000"/>
              <w:left w:val="nil"/>
              <w:bottom w:val="single" w:sz="8" w:space="0" w:color="000000"/>
              <w:right w:val="single" w:sz="4" w:space="0" w:color="000000"/>
            </w:tcBorders>
            <w:shd w:val="clear" w:color="auto" w:fill="FFFFFF"/>
            <w:vAlign w:val="bottom"/>
          </w:tcPr>
          <w:p w14:paraId="4E64B931" w14:textId="77777777" w:rsidR="00F2396B" w:rsidRDefault="00702746" w:rsidP="00AC7773">
            <w:pPr>
              <w:contextualSpacing w:val="0"/>
              <w:jc w:val="both"/>
              <w:rPr>
                <w:sz w:val="18"/>
                <w:szCs w:val="18"/>
              </w:rPr>
            </w:pPr>
            <w:r>
              <w:rPr>
                <w:sz w:val="18"/>
                <w:szCs w:val="18"/>
              </w:rPr>
              <w:t>3.676</w:t>
            </w:r>
          </w:p>
        </w:tc>
        <w:tc>
          <w:tcPr>
            <w:tcW w:w="810" w:type="dxa"/>
            <w:tcBorders>
              <w:top w:val="single" w:sz="8" w:space="0" w:color="000000"/>
              <w:left w:val="nil"/>
              <w:bottom w:val="single" w:sz="8" w:space="0" w:color="000000"/>
              <w:right w:val="single" w:sz="4" w:space="0" w:color="000000"/>
            </w:tcBorders>
            <w:shd w:val="clear" w:color="auto" w:fill="FFFFFF"/>
            <w:vAlign w:val="bottom"/>
          </w:tcPr>
          <w:p w14:paraId="09217268" w14:textId="77777777" w:rsidR="00F2396B" w:rsidRDefault="00702746" w:rsidP="00AC7773">
            <w:pPr>
              <w:contextualSpacing w:val="0"/>
              <w:jc w:val="both"/>
              <w:rPr>
                <w:sz w:val="18"/>
                <w:szCs w:val="18"/>
              </w:rPr>
            </w:pPr>
            <w:r>
              <w:rPr>
                <w:sz w:val="18"/>
                <w:szCs w:val="18"/>
              </w:rPr>
              <w:t>3.133</w:t>
            </w:r>
          </w:p>
        </w:tc>
        <w:tc>
          <w:tcPr>
            <w:tcW w:w="720" w:type="dxa"/>
            <w:tcBorders>
              <w:top w:val="single" w:sz="8" w:space="0" w:color="000000"/>
              <w:left w:val="nil"/>
              <w:bottom w:val="single" w:sz="8" w:space="0" w:color="000000"/>
              <w:right w:val="single" w:sz="8" w:space="0" w:color="000000"/>
            </w:tcBorders>
            <w:shd w:val="clear" w:color="auto" w:fill="FFFFFF"/>
            <w:vAlign w:val="bottom"/>
          </w:tcPr>
          <w:p w14:paraId="632EBEF2" w14:textId="77777777" w:rsidR="00F2396B" w:rsidRDefault="00702746" w:rsidP="00AC7773">
            <w:pPr>
              <w:contextualSpacing w:val="0"/>
              <w:jc w:val="both"/>
              <w:rPr>
                <w:sz w:val="18"/>
                <w:szCs w:val="18"/>
              </w:rPr>
            </w:pPr>
            <w:r>
              <w:rPr>
                <w:sz w:val="18"/>
                <w:szCs w:val="18"/>
              </w:rPr>
              <w:t>2.858</w:t>
            </w:r>
          </w:p>
        </w:tc>
      </w:tr>
      <w:tr w:rsidR="00F2396B" w14:paraId="56A39FD3" w14:textId="77777777" w:rsidTr="00AC7773">
        <w:trPr>
          <w:trHeight w:val="320"/>
        </w:trPr>
        <w:tc>
          <w:tcPr>
            <w:tcW w:w="1522" w:type="dxa"/>
            <w:tcBorders>
              <w:top w:val="nil"/>
              <w:left w:val="single" w:sz="8" w:space="0" w:color="000000"/>
              <w:bottom w:val="single" w:sz="8" w:space="0" w:color="000000"/>
              <w:right w:val="single" w:sz="8" w:space="0" w:color="000000"/>
            </w:tcBorders>
            <w:shd w:val="clear" w:color="auto" w:fill="FFFFFF"/>
            <w:vAlign w:val="bottom"/>
          </w:tcPr>
          <w:p w14:paraId="6AFD8CA3" w14:textId="77777777" w:rsidR="00F2396B" w:rsidRDefault="00702746" w:rsidP="00AC7773">
            <w:pPr>
              <w:contextualSpacing w:val="0"/>
              <w:jc w:val="both"/>
              <w:rPr>
                <w:b/>
                <w:sz w:val="18"/>
                <w:szCs w:val="18"/>
              </w:rPr>
            </w:pPr>
            <w:r>
              <w:rPr>
                <w:b/>
                <w:sz w:val="18"/>
                <w:szCs w:val="18"/>
              </w:rPr>
              <w:t>PVH</w:t>
            </w:r>
          </w:p>
        </w:tc>
        <w:tc>
          <w:tcPr>
            <w:tcW w:w="810" w:type="dxa"/>
            <w:tcBorders>
              <w:top w:val="nil"/>
              <w:left w:val="nil"/>
              <w:bottom w:val="single" w:sz="8" w:space="0" w:color="000000"/>
              <w:right w:val="single" w:sz="4" w:space="0" w:color="000000"/>
            </w:tcBorders>
            <w:shd w:val="clear" w:color="auto" w:fill="FFFFFF"/>
            <w:vAlign w:val="bottom"/>
          </w:tcPr>
          <w:p w14:paraId="1C092B86" w14:textId="77777777" w:rsidR="00F2396B" w:rsidRDefault="00702746" w:rsidP="00AC7773">
            <w:pPr>
              <w:contextualSpacing w:val="0"/>
              <w:jc w:val="both"/>
              <w:rPr>
                <w:sz w:val="18"/>
                <w:szCs w:val="18"/>
              </w:rPr>
            </w:pPr>
            <w:r>
              <w:rPr>
                <w:sz w:val="18"/>
                <w:szCs w:val="18"/>
              </w:rPr>
              <w:t>2.103</w:t>
            </w:r>
          </w:p>
        </w:tc>
        <w:tc>
          <w:tcPr>
            <w:tcW w:w="810" w:type="dxa"/>
            <w:tcBorders>
              <w:top w:val="nil"/>
              <w:left w:val="nil"/>
              <w:bottom w:val="single" w:sz="8" w:space="0" w:color="000000"/>
              <w:right w:val="single" w:sz="4" w:space="0" w:color="000000"/>
            </w:tcBorders>
            <w:shd w:val="clear" w:color="auto" w:fill="FFFFFF"/>
            <w:vAlign w:val="bottom"/>
          </w:tcPr>
          <w:p w14:paraId="26D77325" w14:textId="77777777" w:rsidR="00F2396B" w:rsidRDefault="00702746" w:rsidP="00AC7773">
            <w:pPr>
              <w:contextualSpacing w:val="0"/>
              <w:jc w:val="both"/>
              <w:rPr>
                <w:sz w:val="18"/>
                <w:szCs w:val="18"/>
              </w:rPr>
            </w:pPr>
            <w:r>
              <w:rPr>
                <w:sz w:val="18"/>
                <w:szCs w:val="18"/>
              </w:rPr>
              <w:t>1.935</w:t>
            </w:r>
          </w:p>
        </w:tc>
        <w:tc>
          <w:tcPr>
            <w:tcW w:w="810" w:type="dxa"/>
            <w:tcBorders>
              <w:top w:val="nil"/>
              <w:left w:val="nil"/>
              <w:bottom w:val="single" w:sz="8" w:space="0" w:color="000000"/>
              <w:right w:val="single" w:sz="4" w:space="0" w:color="000000"/>
            </w:tcBorders>
            <w:shd w:val="clear" w:color="auto" w:fill="FFFFFF"/>
            <w:vAlign w:val="bottom"/>
          </w:tcPr>
          <w:p w14:paraId="32692683" w14:textId="77777777" w:rsidR="00F2396B" w:rsidRDefault="00702746" w:rsidP="00AC7773">
            <w:pPr>
              <w:contextualSpacing w:val="0"/>
              <w:jc w:val="both"/>
              <w:rPr>
                <w:sz w:val="18"/>
                <w:szCs w:val="18"/>
              </w:rPr>
            </w:pPr>
            <w:r>
              <w:rPr>
                <w:sz w:val="18"/>
                <w:szCs w:val="18"/>
              </w:rPr>
              <w:t>2.028</w:t>
            </w:r>
          </w:p>
        </w:tc>
        <w:tc>
          <w:tcPr>
            <w:tcW w:w="720" w:type="dxa"/>
            <w:tcBorders>
              <w:top w:val="nil"/>
              <w:left w:val="nil"/>
              <w:bottom w:val="single" w:sz="8" w:space="0" w:color="000000"/>
              <w:right w:val="single" w:sz="8" w:space="0" w:color="000000"/>
            </w:tcBorders>
            <w:shd w:val="clear" w:color="auto" w:fill="FFFFFF"/>
            <w:vAlign w:val="bottom"/>
          </w:tcPr>
          <w:p w14:paraId="06F741CA" w14:textId="77777777" w:rsidR="00F2396B" w:rsidRDefault="00702746" w:rsidP="00AC7773">
            <w:pPr>
              <w:contextualSpacing w:val="0"/>
              <w:jc w:val="both"/>
              <w:rPr>
                <w:sz w:val="18"/>
                <w:szCs w:val="18"/>
              </w:rPr>
            </w:pPr>
            <w:r>
              <w:rPr>
                <w:sz w:val="18"/>
                <w:szCs w:val="18"/>
              </w:rPr>
              <w:t>1.837</w:t>
            </w:r>
          </w:p>
        </w:tc>
      </w:tr>
    </w:tbl>
    <w:p w14:paraId="5E373964" w14:textId="281FE93E" w:rsidR="00F2396B" w:rsidRDefault="00702746">
      <w:pPr>
        <w:jc w:val="both"/>
        <w:rPr>
          <w:sz w:val="20"/>
          <w:szCs w:val="20"/>
        </w:rPr>
      </w:pPr>
      <w:r>
        <w:rPr>
          <w:noProof/>
          <w:lang w:eastAsia="en-US"/>
        </w:rPr>
        <w:drawing>
          <wp:inline distT="0" distB="0" distL="0" distR="0" wp14:anchorId="1FD3879C" wp14:editId="110634A8">
            <wp:extent cx="2793586" cy="1529336"/>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2793586" cy="1529336"/>
                    </a:xfrm>
                    <a:prstGeom prst="rect">
                      <a:avLst/>
                    </a:prstGeom>
                    <a:ln/>
                  </pic:spPr>
                </pic:pic>
              </a:graphicData>
            </a:graphic>
          </wp:inline>
        </w:drawing>
      </w:r>
    </w:p>
    <w:p w14:paraId="6B43B07C" w14:textId="12259194" w:rsidR="002601CC" w:rsidRPr="002601CC" w:rsidRDefault="002601CC" w:rsidP="002601CC">
      <w:pPr>
        <w:tabs>
          <w:tab w:val="left" w:pos="1956"/>
          <w:tab w:val="left" w:pos="6924"/>
        </w:tabs>
        <w:jc w:val="both"/>
        <w:rPr>
          <w:b/>
          <w:sz w:val="20"/>
          <w:szCs w:val="20"/>
        </w:rPr>
      </w:pPr>
      <w:r>
        <w:rPr>
          <w:sz w:val="20"/>
          <w:szCs w:val="20"/>
        </w:rPr>
        <w:tab/>
        <w:t xml:space="preserve">     </w:t>
      </w:r>
      <w:r w:rsidRPr="002601CC">
        <w:rPr>
          <w:b/>
          <w:sz w:val="20"/>
          <w:szCs w:val="20"/>
        </w:rPr>
        <w:t>Table 6</w:t>
      </w:r>
      <w:r>
        <w:rPr>
          <w:b/>
          <w:sz w:val="20"/>
          <w:szCs w:val="20"/>
        </w:rPr>
        <w:tab/>
      </w:r>
    </w:p>
    <w:p w14:paraId="28C1B84E" w14:textId="77777777" w:rsidR="002601CC" w:rsidRDefault="002601CC">
      <w:pPr>
        <w:jc w:val="both"/>
        <w:rPr>
          <w:sz w:val="20"/>
          <w:szCs w:val="20"/>
        </w:rPr>
      </w:pPr>
    </w:p>
    <w:p w14:paraId="07A1A612" w14:textId="77777777" w:rsidR="00F2396B" w:rsidRDefault="00F2396B">
      <w:pPr>
        <w:ind w:firstLine="360"/>
        <w:jc w:val="both"/>
        <w:rPr>
          <w:sz w:val="20"/>
          <w:szCs w:val="20"/>
        </w:rPr>
      </w:pPr>
    </w:p>
    <w:p w14:paraId="5F6CB3DD" w14:textId="77777777" w:rsidR="00F2396B" w:rsidRDefault="00702746">
      <w:pPr>
        <w:ind w:firstLine="360"/>
        <w:jc w:val="both"/>
        <w:rPr>
          <w:sz w:val="20"/>
          <w:szCs w:val="20"/>
        </w:rPr>
      </w:pPr>
      <w:r>
        <w:rPr>
          <w:sz w:val="20"/>
          <w:szCs w:val="20"/>
        </w:rPr>
        <w:t>A ratio of greater than 1 is a safe margin, whereas anything greater than 2 is considered as a poor cash management. After comparing the current ratio of all the five companies, we can infer that -</w:t>
      </w:r>
    </w:p>
    <w:p w14:paraId="683D0F62" w14:textId="77777777" w:rsidR="00F2396B" w:rsidRDefault="00702746">
      <w:pPr>
        <w:numPr>
          <w:ilvl w:val="0"/>
          <w:numId w:val="1"/>
        </w:numPr>
        <w:ind w:hanging="360"/>
        <w:jc w:val="both"/>
        <w:rPr>
          <w:sz w:val="20"/>
          <w:szCs w:val="20"/>
        </w:rPr>
      </w:pPr>
      <w:r>
        <w:rPr>
          <w:sz w:val="20"/>
          <w:szCs w:val="20"/>
        </w:rPr>
        <w:t xml:space="preserve">Ralph Lauren and Under </w:t>
      </w:r>
      <w:proofErr w:type="spellStart"/>
      <w:r>
        <w:rPr>
          <w:sz w:val="20"/>
          <w:szCs w:val="20"/>
        </w:rPr>
        <w:t>Armour</w:t>
      </w:r>
      <w:proofErr w:type="spellEnd"/>
      <w:r>
        <w:rPr>
          <w:sz w:val="20"/>
          <w:szCs w:val="20"/>
        </w:rPr>
        <w:t xml:space="preserve"> has a current ratio of more than 2, hence we can infer that they inefficient cash management systems. </w:t>
      </w:r>
    </w:p>
    <w:p w14:paraId="0984043D" w14:textId="77777777" w:rsidR="00F2396B" w:rsidRDefault="00702746">
      <w:pPr>
        <w:numPr>
          <w:ilvl w:val="0"/>
          <w:numId w:val="1"/>
        </w:numPr>
        <w:ind w:hanging="360"/>
        <w:jc w:val="both"/>
        <w:rPr>
          <w:sz w:val="20"/>
          <w:szCs w:val="20"/>
        </w:rPr>
      </w:pPr>
      <w:r>
        <w:rPr>
          <w:sz w:val="20"/>
          <w:szCs w:val="20"/>
        </w:rPr>
        <w:t xml:space="preserve">PVH has an unpredictable current ratio over past 4 years. </w:t>
      </w:r>
    </w:p>
    <w:p w14:paraId="28A33F46" w14:textId="77777777" w:rsidR="00F2396B" w:rsidRDefault="00702746">
      <w:pPr>
        <w:numPr>
          <w:ilvl w:val="0"/>
          <w:numId w:val="1"/>
        </w:numPr>
        <w:ind w:hanging="360"/>
        <w:jc w:val="both"/>
        <w:rPr>
          <w:sz w:val="20"/>
          <w:szCs w:val="20"/>
        </w:rPr>
      </w:pPr>
      <w:r>
        <w:rPr>
          <w:sz w:val="20"/>
          <w:szCs w:val="20"/>
        </w:rPr>
        <w:t>Even though American Eagle Outfitters had a ratio of more than 2 from 2013-2014, but they have a consistently improving current ratio over the last 4 years.</w:t>
      </w:r>
    </w:p>
    <w:p w14:paraId="19BF333A" w14:textId="77777777" w:rsidR="00F2396B" w:rsidRDefault="00702746">
      <w:pPr>
        <w:numPr>
          <w:ilvl w:val="0"/>
          <w:numId w:val="1"/>
        </w:numPr>
        <w:ind w:hanging="360"/>
        <w:jc w:val="both"/>
        <w:rPr>
          <w:sz w:val="20"/>
          <w:szCs w:val="20"/>
        </w:rPr>
      </w:pPr>
      <w:r>
        <w:rPr>
          <w:sz w:val="20"/>
          <w:szCs w:val="20"/>
        </w:rPr>
        <w:t>GAP has a ratio less than 2 consistently over 4 years.</w:t>
      </w:r>
    </w:p>
    <w:p w14:paraId="571D06E5" w14:textId="77777777" w:rsidR="00F2396B" w:rsidRDefault="00702746" w:rsidP="00AC7773">
      <w:pPr>
        <w:ind w:firstLine="360"/>
        <w:jc w:val="both"/>
        <w:rPr>
          <w:sz w:val="20"/>
          <w:szCs w:val="20"/>
        </w:rPr>
      </w:pPr>
      <w:r>
        <w:rPr>
          <w:sz w:val="20"/>
          <w:szCs w:val="20"/>
        </w:rPr>
        <w:t>Hence, we can infer that GAP has an excellent Current Ratio.</w:t>
      </w:r>
    </w:p>
    <w:p w14:paraId="0F9E5C55" w14:textId="77777777" w:rsidR="00F2396B" w:rsidRDefault="00702746">
      <w:pPr>
        <w:pStyle w:val="Heading2"/>
      </w:pPr>
      <w:r>
        <w:t>Stock Price</w:t>
      </w:r>
    </w:p>
    <w:p w14:paraId="4948D3E3" w14:textId="77777777" w:rsidR="00F2396B" w:rsidRDefault="00702746">
      <w:pPr>
        <w:ind w:firstLine="360"/>
        <w:jc w:val="both"/>
        <w:rPr>
          <w:sz w:val="20"/>
          <w:szCs w:val="20"/>
        </w:rPr>
      </w:pPr>
      <w:r>
        <w:rPr>
          <w:sz w:val="20"/>
          <w:szCs w:val="20"/>
        </w:rPr>
        <w:t>The price of a company's shares is often used as an indication of the overall strength and health of a company. In general, if a company's share price has continued to climb over time, the company and its management are considered to be doing a good job. Constant growth in the stock prices, makes the employees/ management feel a sense of job security and investors can expect better returns every year.</w:t>
      </w:r>
    </w:p>
    <w:p w14:paraId="09F58F59" w14:textId="31501CC9" w:rsidR="00F2396B" w:rsidRDefault="00F2396B"/>
    <w:p w14:paraId="696D1EF0" w14:textId="4A16A999" w:rsidR="002601CC" w:rsidRDefault="002601CC"/>
    <w:p w14:paraId="62752D05" w14:textId="7568AD97" w:rsidR="002601CC" w:rsidRDefault="002601CC"/>
    <w:p w14:paraId="4BD87B42" w14:textId="697ACFC5" w:rsidR="002601CC" w:rsidRDefault="002601CC"/>
    <w:p w14:paraId="2781A570" w14:textId="27C0CA04" w:rsidR="002601CC" w:rsidRDefault="002601CC"/>
    <w:p w14:paraId="2A12B7D9" w14:textId="4B21D526" w:rsidR="002601CC" w:rsidRDefault="002601CC"/>
    <w:p w14:paraId="6BFAEF57" w14:textId="3E83B904" w:rsidR="002601CC" w:rsidRDefault="002601CC"/>
    <w:p w14:paraId="5E5DA717" w14:textId="77777777" w:rsidR="002601CC" w:rsidRDefault="002601CC"/>
    <w:tbl>
      <w:tblPr>
        <w:tblStyle w:val="a5"/>
        <w:tblpPr w:leftFromText="180" w:rightFromText="180" w:vertAnchor="text" w:tblpY="1"/>
        <w:tblOverlap w:val="never"/>
        <w:tblW w:w="4766" w:type="dxa"/>
        <w:tblLayout w:type="fixed"/>
        <w:tblLook w:val="0400" w:firstRow="0" w:lastRow="0" w:firstColumn="0" w:lastColumn="0" w:noHBand="0" w:noVBand="1"/>
      </w:tblPr>
      <w:tblGrid>
        <w:gridCol w:w="1654"/>
        <w:gridCol w:w="838"/>
        <w:gridCol w:w="838"/>
        <w:gridCol w:w="838"/>
        <w:gridCol w:w="598"/>
      </w:tblGrid>
      <w:tr w:rsidR="00F2396B" w14:paraId="1F123A78" w14:textId="77777777" w:rsidTr="008F5D5E">
        <w:trPr>
          <w:trHeight w:val="284"/>
        </w:trPr>
        <w:tc>
          <w:tcPr>
            <w:tcW w:w="4766" w:type="dxa"/>
            <w:gridSpan w:val="5"/>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C8901AE" w14:textId="77777777" w:rsidR="00F2396B" w:rsidRDefault="00702746" w:rsidP="008F5D5E">
            <w:pPr>
              <w:ind w:right="-6216"/>
              <w:contextualSpacing w:val="0"/>
              <w:jc w:val="both"/>
              <w:rPr>
                <w:b/>
                <w:sz w:val="18"/>
                <w:szCs w:val="18"/>
              </w:rPr>
            </w:pPr>
            <w:r>
              <w:rPr>
                <w:b/>
                <w:sz w:val="18"/>
                <w:szCs w:val="18"/>
              </w:rPr>
              <w:lastRenderedPageBreak/>
              <w:t>Stock Price</w:t>
            </w:r>
          </w:p>
        </w:tc>
      </w:tr>
      <w:tr w:rsidR="00F2396B" w14:paraId="64ABB389" w14:textId="77777777" w:rsidTr="008F5D5E">
        <w:trPr>
          <w:trHeight w:val="284"/>
        </w:trPr>
        <w:tc>
          <w:tcPr>
            <w:tcW w:w="165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959C14C" w14:textId="1EA64748" w:rsidR="00F2396B" w:rsidRDefault="00702746" w:rsidP="008F5D5E">
            <w:pPr>
              <w:contextualSpacing w:val="0"/>
              <w:jc w:val="both"/>
              <w:rPr>
                <w:sz w:val="18"/>
                <w:szCs w:val="18"/>
              </w:rPr>
            </w:pPr>
            <w:r>
              <w:rPr>
                <w:sz w:val="18"/>
                <w:szCs w:val="18"/>
              </w:rPr>
              <w:t>Years</w:t>
            </w:r>
          </w:p>
        </w:tc>
        <w:tc>
          <w:tcPr>
            <w:tcW w:w="8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35940D3" w14:textId="77777777" w:rsidR="00F2396B" w:rsidRDefault="00702746" w:rsidP="008F5D5E">
            <w:pPr>
              <w:contextualSpacing w:val="0"/>
              <w:jc w:val="both"/>
              <w:rPr>
                <w:sz w:val="18"/>
                <w:szCs w:val="18"/>
              </w:rPr>
            </w:pPr>
            <w:r>
              <w:rPr>
                <w:sz w:val="18"/>
                <w:szCs w:val="18"/>
              </w:rPr>
              <w:t>2013</w:t>
            </w:r>
          </w:p>
        </w:tc>
        <w:tc>
          <w:tcPr>
            <w:tcW w:w="8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218ABAE" w14:textId="77777777" w:rsidR="00F2396B" w:rsidRDefault="00702746" w:rsidP="008F5D5E">
            <w:pPr>
              <w:contextualSpacing w:val="0"/>
              <w:jc w:val="both"/>
              <w:rPr>
                <w:sz w:val="18"/>
                <w:szCs w:val="18"/>
              </w:rPr>
            </w:pPr>
            <w:r>
              <w:rPr>
                <w:sz w:val="18"/>
                <w:szCs w:val="18"/>
              </w:rPr>
              <w:t>2014</w:t>
            </w:r>
          </w:p>
        </w:tc>
        <w:tc>
          <w:tcPr>
            <w:tcW w:w="8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77F018F" w14:textId="77777777" w:rsidR="00F2396B" w:rsidRDefault="00702746" w:rsidP="008F5D5E">
            <w:pPr>
              <w:contextualSpacing w:val="0"/>
              <w:jc w:val="both"/>
              <w:rPr>
                <w:sz w:val="18"/>
                <w:szCs w:val="18"/>
              </w:rPr>
            </w:pPr>
            <w:r>
              <w:rPr>
                <w:sz w:val="18"/>
                <w:szCs w:val="18"/>
              </w:rPr>
              <w:t>2015</w:t>
            </w:r>
          </w:p>
        </w:tc>
        <w:tc>
          <w:tcPr>
            <w:tcW w:w="5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E6BB280" w14:textId="77777777" w:rsidR="00F2396B" w:rsidRDefault="00702746" w:rsidP="008F5D5E">
            <w:pPr>
              <w:contextualSpacing w:val="0"/>
              <w:jc w:val="both"/>
              <w:rPr>
                <w:sz w:val="18"/>
                <w:szCs w:val="18"/>
              </w:rPr>
            </w:pPr>
            <w:r>
              <w:rPr>
                <w:sz w:val="18"/>
                <w:szCs w:val="18"/>
              </w:rPr>
              <w:t>2016</w:t>
            </w:r>
          </w:p>
        </w:tc>
      </w:tr>
      <w:tr w:rsidR="00F2396B" w14:paraId="2DFD255D" w14:textId="77777777" w:rsidTr="008F5D5E">
        <w:trPr>
          <w:trHeight w:val="284"/>
        </w:trPr>
        <w:tc>
          <w:tcPr>
            <w:tcW w:w="165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A138336" w14:textId="77777777" w:rsidR="00F2396B" w:rsidRDefault="00702746" w:rsidP="008F5D5E">
            <w:pPr>
              <w:contextualSpacing w:val="0"/>
              <w:jc w:val="both"/>
              <w:rPr>
                <w:sz w:val="18"/>
                <w:szCs w:val="18"/>
              </w:rPr>
            </w:pPr>
            <w:r>
              <w:rPr>
                <w:sz w:val="18"/>
                <w:szCs w:val="18"/>
              </w:rPr>
              <w:t>AEO</w:t>
            </w:r>
          </w:p>
        </w:tc>
        <w:tc>
          <w:tcPr>
            <w:tcW w:w="8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99D6C6F" w14:textId="77777777" w:rsidR="00F2396B" w:rsidRDefault="00702746" w:rsidP="008F5D5E">
            <w:pPr>
              <w:contextualSpacing w:val="0"/>
              <w:jc w:val="both"/>
              <w:rPr>
                <w:sz w:val="18"/>
                <w:szCs w:val="18"/>
              </w:rPr>
            </w:pPr>
            <w:r>
              <w:rPr>
                <w:sz w:val="18"/>
                <w:szCs w:val="18"/>
              </w:rPr>
              <w:t>20.52</w:t>
            </w:r>
          </w:p>
        </w:tc>
        <w:tc>
          <w:tcPr>
            <w:tcW w:w="8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755B28B" w14:textId="77777777" w:rsidR="00F2396B" w:rsidRDefault="00702746" w:rsidP="008F5D5E">
            <w:pPr>
              <w:contextualSpacing w:val="0"/>
              <w:jc w:val="both"/>
              <w:rPr>
                <w:sz w:val="18"/>
                <w:szCs w:val="18"/>
              </w:rPr>
            </w:pPr>
            <w:r>
              <w:rPr>
                <w:sz w:val="18"/>
                <w:szCs w:val="18"/>
              </w:rPr>
              <w:t>14.76</w:t>
            </w:r>
          </w:p>
        </w:tc>
        <w:tc>
          <w:tcPr>
            <w:tcW w:w="8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DAF5EA0" w14:textId="77777777" w:rsidR="00F2396B" w:rsidRDefault="00702746" w:rsidP="008F5D5E">
            <w:pPr>
              <w:contextualSpacing w:val="0"/>
              <w:jc w:val="both"/>
              <w:rPr>
                <w:sz w:val="18"/>
                <w:szCs w:val="18"/>
              </w:rPr>
            </w:pPr>
            <w:r>
              <w:rPr>
                <w:sz w:val="18"/>
                <w:szCs w:val="18"/>
              </w:rPr>
              <w:t>13.94</w:t>
            </w:r>
          </w:p>
        </w:tc>
        <w:tc>
          <w:tcPr>
            <w:tcW w:w="5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BCE220C" w14:textId="77777777" w:rsidR="00F2396B" w:rsidRDefault="00702746" w:rsidP="008F5D5E">
            <w:pPr>
              <w:contextualSpacing w:val="0"/>
              <w:jc w:val="both"/>
              <w:rPr>
                <w:sz w:val="18"/>
                <w:szCs w:val="18"/>
              </w:rPr>
            </w:pPr>
            <w:r>
              <w:rPr>
                <w:sz w:val="18"/>
                <w:szCs w:val="18"/>
              </w:rPr>
              <w:t>15.3</w:t>
            </w:r>
          </w:p>
        </w:tc>
      </w:tr>
      <w:tr w:rsidR="00F2396B" w14:paraId="38CB0CBE" w14:textId="77777777" w:rsidTr="008F5D5E">
        <w:trPr>
          <w:trHeight w:val="284"/>
        </w:trPr>
        <w:tc>
          <w:tcPr>
            <w:tcW w:w="165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38F3620" w14:textId="77777777" w:rsidR="00F2396B" w:rsidRDefault="00702746" w:rsidP="008F5D5E">
            <w:pPr>
              <w:contextualSpacing w:val="0"/>
              <w:jc w:val="both"/>
              <w:rPr>
                <w:sz w:val="18"/>
                <w:szCs w:val="18"/>
              </w:rPr>
            </w:pPr>
            <w:r>
              <w:rPr>
                <w:sz w:val="18"/>
                <w:szCs w:val="18"/>
              </w:rPr>
              <w:t>GAP</w:t>
            </w:r>
          </w:p>
        </w:tc>
        <w:tc>
          <w:tcPr>
            <w:tcW w:w="8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81C658F" w14:textId="77777777" w:rsidR="00F2396B" w:rsidRDefault="00702746" w:rsidP="008F5D5E">
            <w:pPr>
              <w:contextualSpacing w:val="0"/>
              <w:jc w:val="both"/>
              <w:rPr>
                <w:sz w:val="18"/>
                <w:szCs w:val="18"/>
              </w:rPr>
            </w:pPr>
            <w:r>
              <w:rPr>
                <w:sz w:val="18"/>
                <w:szCs w:val="18"/>
              </w:rPr>
              <w:t>31.57</w:t>
            </w:r>
          </w:p>
        </w:tc>
        <w:tc>
          <w:tcPr>
            <w:tcW w:w="8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470E30F" w14:textId="77777777" w:rsidR="00F2396B" w:rsidRDefault="00702746" w:rsidP="008F5D5E">
            <w:pPr>
              <w:contextualSpacing w:val="0"/>
              <w:jc w:val="both"/>
              <w:rPr>
                <w:sz w:val="18"/>
                <w:szCs w:val="18"/>
              </w:rPr>
            </w:pPr>
            <w:r>
              <w:rPr>
                <w:sz w:val="18"/>
                <w:szCs w:val="18"/>
              </w:rPr>
              <w:t>39.09</w:t>
            </w:r>
          </w:p>
        </w:tc>
        <w:tc>
          <w:tcPr>
            <w:tcW w:w="8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9C3948F" w14:textId="77777777" w:rsidR="00F2396B" w:rsidRDefault="00702746" w:rsidP="008F5D5E">
            <w:pPr>
              <w:contextualSpacing w:val="0"/>
              <w:jc w:val="both"/>
              <w:rPr>
                <w:sz w:val="18"/>
                <w:szCs w:val="18"/>
              </w:rPr>
            </w:pPr>
            <w:r>
              <w:rPr>
                <w:sz w:val="18"/>
                <w:szCs w:val="18"/>
              </w:rPr>
              <w:t>42.37</w:t>
            </w:r>
          </w:p>
        </w:tc>
        <w:tc>
          <w:tcPr>
            <w:tcW w:w="5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F27112F" w14:textId="77777777" w:rsidR="00F2396B" w:rsidRDefault="00702746" w:rsidP="008F5D5E">
            <w:pPr>
              <w:contextualSpacing w:val="0"/>
              <w:jc w:val="both"/>
              <w:rPr>
                <w:sz w:val="18"/>
                <w:szCs w:val="18"/>
              </w:rPr>
            </w:pPr>
            <w:r>
              <w:rPr>
                <w:sz w:val="18"/>
                <w:szCs w:val="18"/>
              </w:rPr>
              <w:t>24.12</w:t>
            </w:r>
          </w:p>
        </w:tc>
      </w:tr>
      <w:tr w:rsidR="00F2396B" w14:paraId="5035DD2E" w14:textId="77777777" w:rsidTr="008F5D5E">
        <w:trPr>
          <w:trHeight w:val="284"/>
        </w:trPr>
        <w:tc>
          <w:tcPr>
            <w:tcW w:w="165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0B4B89A" w14:textId="77777777" w:rsidR="00F2396B" w:rsidRDefault="00702746" w:rsidP="008F5D5E">
            <w:pPr>
              <w:contextualSpacing w:val="0"/>
              <w:jc w:val="both"/>
              <w:rPr>
                <w:sz w:val="18"/>
                <w:szCs w:val="18"/>
              </w:rPr>
            </w:pPr>
            <w:r>
              <w:rPr>
                <w:sz w:val="18"/>
                <w:szCs w:val="18"/>
              </w:rPr>
              <w:t>Ralph Lauren</w:t>
            </w:r>
          </w:p>
        </w:tc>
        <w:tc>
          <w:tcPr>
            <w:tcW w:w="8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01AD526" w14:textId="77777777" w:rsidR="00F2396B" w:rsidRDefault="00702746" w:rsidP="008F5D5E">
            <w:pPr>
              <w:contextualSpacing w:val="0"/>
              <w:jc w:val="both"/>
              <w:rPr>
                <w:sz w:val="18"/>
                <w:szCs w:val="18"/>
              </w:rPr>
            </w:pPr>
            <w:r>
              <w:rPr>
                <w:sz w:val="18"/>
                <w:szCs w:val="18"/>
              </w:rPr>
              <w:t>152.75</w:t>
            </w:r>
          </w:p>
        </w:tc>
        <w:tc>
          <w:tcPr>
            <w:tcW w:w="8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06FC72D" w14:textId="77777777" w:rsidR="00F2396B" w:rsidRDefault="00702746" w:rsidP="008F5D5E">
            <w:pPr>
              <w:contextualSpacing w:val="0"/>
              <w:jc w:val="both"/>
              <w:rPr>
                <w:sz w:val="18"/>
                <w:szCs w:val="18"/>
              </w:rPr>
            </w:pPr>
            <w:r>
              <w:rPr>
                <w:sz w:val="18"/>
                <w:szCs w:val="18"/>
              </w:rPr>
              <w:t>174.44</w:t>
            </w:r>
          </w:p>
        </w:tc>
        <w:tc>
          <w:tcPr>
            <w:tcW w:w="8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B390848" w14:textId="77777777" w:rsidR="00F2396B" w:rsidRDefault="00702746" w:rsidP="008F5D5E">
            <w:pPr>
              <w:contextualSpacing w:val="0"/>
              <w:jc w:val="both"/>
              <w:rPr>
                <w:sz w:val="18"/>
                <w:szCs w:val="18"/>
              </w:rPr>
            </w:pPr>
            <w:r>
              <w:rPr>
                <w:sz w:val="18"/>
                <w:szCs w:val="18"/>
              </w:rPr>
              <w:t>185.98</w:t>
            </w:r>
          </w:p>
        </w:tc>
        <w:tc>
          <w:tcPr>
            <w:tcW w:w="5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5FF5A3F" w14:textId="77777777" w:rsidR="00F2396B" w:rsidRDefault="00702746" w:rsidP="008F5D5E">
            <w:pPr>
              <w:contextualSpacing w:val="0"/>
              <w:jc w:val="both"/>
              <w:rPr>
                <w:sz w:val="18"/>
                <w:szCs w:val="18"/>
              </w:rPr>
            </w:pPr>
            <w:r>
              <w:rPr>
                <w:sz w:val="18"/>
                <w:szCs w:val="18"/>
              </w:rPr>
              <w:t>91.27</w:t>
            </w:r>
          </w:p>
        </w:tc>
      </w:tr>
      <w:tr w:rsidR="00F2396B" w14:paraId="7D644DAD" w14:textId="77777777" w:rsidTr="008F5D5E">
        <w:trPr>
          <w:trHeight w:val="284"/>
        </w:trPr>
        <w:tc>
          <w:tcPr>
            <w:tcW w:w="165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D7313B0" w14:textId="77777777" w:rsidR="00F2396B" w:rsidRDefault="00702746" w:rsidP="008F5D5E">
            <w:pPr>
              <w:contextualSpacing w:val="0"/>
              <w:jc w:val="both"/>
              <w:rPr>
                <w:sz w:val="18"/>
                <w:szCs w:val="18"/>
              </w:rPr>
            </w:pPr>
            <w:r>
              <w:rPr>
                <w:sz w:val="18"/>
                <w:szCs w:val="18"/>
              </w:rPr>
              <w:t xml:space="preserve">Under </w:t>
            </w:r>
            <w:proofErr w:type="spellStart"/>
            <w:r>
              <w:rPr>
                <w:sz w:val="18"/>
                <w:szCs w:val="18"/>
              </w:rPr>
              <w:t>Armour</w:t>
            </w:r>
            <w:proofErr w:type="spellEnd"/>
          </w:p>
        </w:tc>
        <w:tc>
          <w:tcPr>
            <w:tcW w:w="8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2C728F3" w14:textId="77777777" w:rsidR="00F2396B" w:rsidRDefault="00702746" w:rsidP="008F5D5E">
            <w:pPr>
              <w:contextualSpacing w:val="0"/>
              <w:jc w:val="both"/>
              <w:rPr>
                <w:sz w:val="18"/>
                <w:szCs w:val="18"/>
              </w:rPr>
            </w:pPr>
            <w:r>
              <w:rPr>
                <w:sz w:val="18"/>
                <w:szCs w:val="18"/>
              </w:rPr>
              <w:t>12.4</w:t>
            </w:r>
          </w:p>
        </w:tc>
        <w:tc>
          <w:tcPr>
            <w:tcW w:w="8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D7A95DF" w14:textId="77777777" w:rsidR="00F2396B" w:rsidRDefault="00702746" w:rsidP="008F5D5E">
            <w:pPr>
              <w:contextualSpacing w:val="0"/>
              <w:jc w:val="both"/>
              <w:rPr>
                <w:sz w:val="18"/>
                <w:szCs w:val="18"/>
              </w:rPr>
            </w:pPr>
            <w:r>
              <w:rPr>
                <w:sz w:val="18"/>
                <w:szCs w:val="18"/>
              </w:rPr>
              <w:t>22.61</w:t>
            </w:r>
          </w:p>
        </w:tc>
        <w:tc>
          <w:tcPr>
            <w:tcW w:w="8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2D44A34" w14:textId="77777777" w:rsidR="00F2396B" w:rsidRDefault="00702746" w:rsidP="008F5D5E">
            <w:pPr>
              <w:contextualSpacing w:val="0"/>
              <w:jc w:val="both"/>
              <w:rPr>
                <w:sz w:val="18"/>
                <w:szCs w:val="18"/>
              </w:rPr>
            </w:pPr>
            <w:r>
              <w:rPr>
                <w:sz w:val="18"/>
                <w:szCs w:val="18"/>
              </w:rPr>
              <w:t>35.85</w:t>
            </w:r>
          </w:p>
        </w:tc>
        <w:tc>
          <w:tcPr>
            <w:tcW w:w="5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52F9498" w14:textId="77777777" w:rsidR="00F2396B" w:rsidRDefault="00702746" w:rsidP="008F5D5E">
            <w:pPr>
              <w:contextualSpacing w:val="0"/>
              <w:jc w:val="both"/>
              <w:rPr>
                <w:sz w:val="18"/>
                <w:szCs w:val="18"/>
              </w:rPr>
            </w:pPr>
            <w:r>
              <w:rPr>
                <w:sz w:val="18"/>
                <w:szCs w:val="18"/>
              </w:rPr>
              <w:t>42.7</w:t>
            </w:r>
          </w:p>
        </w:tc>
      </w:tr>
      <w:tr w:rsidR="00F2396B" w14:paraId="7D7F9541" w14:textId="77777777" w:rsidTr="008F5D5E">
        <w:trPr>
          <w:trHeight w:val="284"/>
        </w:trPr>
        <w:tc>
          <w:tcPr>
            <w:tcW w:w="165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C04EA79" w14:textId="77777777" w:rsidR="00F2396B" w:rsidRDefault="00702746" w:rsidP="008F5D5E">
            <w:pPr>
              <w:contextualSpacing w:val="0"/>
              <w:jc w:val="both"/>
              <w:rPr>
                <w:sz w:val="18"/>
                <w:szCs w:val="18"/>
              </w:rPr>
            </w:pPr>
            <w:r>
              <w:rPr>
                <w:sz w:val="18"/>
                <w:szCs w:val="18"/>
              </w:rPr>
              <w:t>PVH</w:t>
            </w:r>
          </w:p>
        </w:tc>
        <w:tc>
          <w:tcPr>
            <w:tcW w:w="8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3A3EAEA" w14:textId="77777777" w:rsidR="00F2396B" w:rsidRDefault="00702746" w:rsidP="008F5D5E">
            <w:pPr>
              <w:contextualSpacing w:val="0"/>
              <w:jc w:val="both"/>
              <w:rPr>
                <w:sz w:val="18"/>
                <w:szCs w:val="18"/>
              </w:rPr>
            </w:pPr>
            <w:r>
              <w:rPr>
                <w:sz w:val="18"/>
                <w:szCs w:val="18"/>
              </w:rPr>
              <w:t>113.3</w:t>
            </w:r>
          </w:p>
        </w:tc>
        <w:tc>
          <w:tcPr>
            <w:tcW w:w="8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277ED5F" w14:textId="77777777" w:rsidR="00F2396B" w:rsidRDefault="00702746" w:rsidP="008F5D5E">
            <w:pPr>
              <w:contextualSpacing w:val="0"/>
              <w:jc w:val="both"/>
              <w:rPr>
                <w:sz w:val="18"/>
                <w:szCs w:val="18"/>
              </w:rPr>
            </w:pPr>
            <w:r>
              <w:rPr>
                <w:sz w:val="18"/>
                <w:szCs w:val="18"/>
              </w:rPr>
              <w:t>135.76</w:t>
            </w:r>
          </w:p>
        </w:tc>
        <w:tc>
          <w:tcPr>
            <w:tcW w:w="8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DDA3199" w14:textId="77777777" w:rsidR="00F2396B" w:rsidRDefault="00702746" w:rsidP="008F5D5E">
            <w:pPr>
              <w:contextualSpacing w:val="0"/>
              <w:jc w:val="both"/>
              <w:rPr>
                <w:sz w:val="18"/>
                <w:szCs w:val="18"/>
              </w:rPr>
            </w:pPr>
            <w:r>
              <w:rPr>
                <w:sz w:val="18"/>
                <w:szCs w:val="18"/>
              </w:rPr>
              <w:t>128.89</w:t>
            </w:r>
          </w:p>
        </w:tc>
        <w:tc>
          <w:tcPr>
            <w:tcW w:w="5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6AD9D7C" w14:textId="77777777" w:rsidR="00F2396B" w:rsidRDefault="00702746" w:rsidP="008F5D5E">
            <w:pPr>
              <w:contextualSpacing w:val="0"/>
              <w:jc w:val="both"/>
              <w:rPr>
                <w:sz w:val="18"/>
                <w:szCs w:val="18"/>
              </w:rPr>
            </w:pPr>
            <w:r>
              <w:rPr>
                <w:sz w:val="18"/>
                <w:szCs w:val="18"/>
              </w:rPr>
              <w:t>72.72</w:t>
            </w:r>
          </w:p>
        </w:tc>
      </w:tr>
    </w:tbl>
    <w:p w14:paraId="17477996" w14:textId="77777777" w:rsidR="002601CC" w:rsidRDefault="008F5D5E">
      <w:pPr>
        <w:jc w:val="both"/>
        <w:rPr>
          <w:sz w:val="20"/>
          <w:szCs w:val="20"/>
        </w:rPr>
      </w:pPr>
      <w:r>
        <w:rPr>
          <w:noProof/>
          <w:lang w:eastAsia="en-US"/>
        </w:rPr>
        <w:drawing>
          <wp:inline distT="0" distB="0" distL="0" distR="0" wp14:anchorId="10E9DD8F" wp14:editId="281D8DA8">
            <wp:extent cx="3139440" cy="1592580"/>
            <wp:effectExtent l="0" t="0" r="3810" b="7620"/>
            <wp:docPr id="7" name="Chart 7">
              <a:extLst xmlns:a="http://schemas.openxmlformats.org/drawingml/2006/main">
                <a:ext uri="{FF2B5EF4-FFF2-40B4-BE49-F238E27FC236}">
                  <a16:creationId xmlns:a16="http://schemas.microsoft.com/office/drawing/2014/main" id="{74B35811-847F-486A-BA71-D07AB6455F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E0E1F77" w14:textId="77777777" w:rsidR="002601CC" w:rsidRDefault="002601CC">
      <w:pPr>
        <w:jc w:val="both"/>
        <w:rPr>
          <w:sz w:val="20"/>
          <w:szCs w:val="20"/>
        </w:rPr>
      </w:pPr>
    </w:p>
    <w:p w14:paraId="228DDE85" w14:textId="15B836B5" w:rsidR="00F2396B" w:rsidRPr="002601CC" w:rsidRDefault="002601CC" w:rsidP="002601CC">
      <w:pPr>
        <w:tabs>
          <w:tab w:val="left" w:pos="1752"/>
          <w:tab w:val="left" w:pos="6660"/>
        </w:tabs>
        <w:rPr>
          <w:b/>
          <w:sz w:val="20"/>
          <w:szCs w:val="20"/>
        </w:rPr>
      </w:pPr>
      <w:r>
        <w:rPr>
          <w:sz w:val="20"/>
          <w:szCs w:val="20"/>
        </w:rPr>
        <w:t xml:space="preserve"> </w:t>
      </w:r>
      <w:r>
        <w:rPr>
          <w:sz w:val="20"/>
          <w:szCs w:val="20"/>
        </w:rPr>
        <w:tab/>
      </w:r>
      <w:r w:rsidRPr="002601CC">
        <w:rPr>
          <w:b/>
          <w:sz w:val="20"/>
          <w:szCs w:val="20"/>
        </w:rPr>
        <w:t>Table 7</w:t>
      </w:r>
      <w:r>
        <w:rPr>
          <w:b/>
          <w:sz w:val="20"/>
          <w:szCs w:val="20"/>
        </w:rPr>
        <w:tab/>
        <w:t>Figure 7</w:t>
      </w:r>
      <w:r w:rsidR="008F5D5E" w:rsidRPr="002601CC">
        <w:rPr>
          <w:b/>
          <w:sz w:val="20"/>
          <w:szCs w:val="20"/>
        </w:rPr>
        <w:br w:type="textWrapping" w:clear="all"/>
      </w:r>
    </w:p>
    <w:p w14:paraId="379E4A31" w14:textId="77777777" w:rsidR="00F2396B" w:rsidRDefault="00702746">
      <w:pPr>
        <w:ind w:firstLine="360"/>
        <w:jc w:val="both"/>
        <w:rPr>
          <w:sz w:val="20"/>
          <w:szCs w:val="20"/>
        </w:rPr>
      </w:pPr>
      <w:r>
        <w:rPr>
          <w:sz w:val="20"/>
          <w:szCs w:val="20"/>
        </w:rPr>
        <w:t>The following are the results based on our observation for the five companies,</w:t>
      </w:r>
    </w:p>
    <w:p w14:paraId="4E910447" w14:textId="77777777" w:rsidR="00F2396B" w:rsidRDefault="00702746">
      <w:pPr>
        <w:numPr>
          <w:ilvl w:val="0"/>
          <w:numId w:val="2"/>
        </w:numPr>
        <w:ind w:hanging="360"/>
        <w:jc w:val="both"/>
        <w:rPr>
          <w:sz w:val="20"/>
          <w:szCs w:val="20"/>
        </w:rPr>
      </w:pPr>
      <w:r>
        <w:rPr>
          <w:sz w:val="20"/>
          <w:szCs w:val="20"/>
        </w:rPr>
        <w:t>AEO has a constant drop in their stock price over the past four years</w:t>
      </w:r>
    </w:p>
    <w:p w14:paraId="2C5E06C3" w14:textId="77777777" w:rsidR="00F2396B" w:rsidRDefault="00702746">
      <w:pPr>
        <w:numPr>
          <w:ilvl w:val="0"/>
          <w:numId w:val="2"/>
        </w:numPr>
        <w:ind w:hanging="360"/>
        <w:jc w:val="both"/>
        <w:rPr>
          <w:sz w:val="20"/>
          <w:szCs w:val="20"/>
        </w:rPr>
      </w:pPr>
      <w:r>
        <w:rPr>
          <w:sz w:val="20"/>
          <w:szCs w:val="20"/>
        </w:rPr>
        <w:t>PVH, Ralph Lauren and GAP had approximately a constant growth in their stock price, but in 2016 all the three companies shares dropped.</w:t>
      </w:r>
    </w:p>
    <w:p w14:paraId="2E36410E" w14:textId="77777777" w:rsidR="00F2396B" w:rsidRDefault="00702746">
      <w:pPr>
        <w:numPr>
          <w:ilvl w:val="0"/>
          <w:numId w:val="2"/>
        </w:numPr>
        <w:ind w:hanging="360"/>
        <w:jc w:val="both"/>
        <w:rPr>
          <w:sz w:val="20"/>
          <w:szCs w:val="20"/>
        </w:rPr>
      </w:pPr>
      <w:r>
        <w:rPr>
          <w:sz w:val="20"/>
          <w:szCs w:val="20"/>
        </w:rPr>
        <w:t xml:space="preserve">Even though Under </w:t>
      </w:r>
      <w:proofErr w:type="spellStart"/>
      <w:r>
        <w:rPr>
          <w:sz w:val="20"/>
          <w:szCs w:val="20"/>
        </w:rPr>
        <w:t>Armour</w:t>
      </w:r>
      <w:proofErr w:type="spellEnd"/>
      <w:r>
        <w:rPr>
          <w:sz w:val="20"/>
          <w:szCs w:val="20"/>
        </w:rPr>
        <w:t xml:space="preserve"> share prices is not as high as compared to Ralph Lauren and PVH, but their stock price has a steady growth over the past four years.</w:t>
      </w:r>
    </w:p>
    <w:p w14:paraId="726A843C" w14:textId="77777777" w:rsidR="00F2396B" w:rsidRDefault="00702746">
      <w:pPr>
        <w:ind w:firstLine="360"/>
        <w:jc w:val="both"/>
        <w:rPr>
          <w:sz w:val="20"/>
          <w:szCs w:val="20"/>
        </w:rPr>
      </w:pPr>
      <w:r>
        <w:rPr>
          <w:sz w:val="20"/>
          <w:szCs w:val="20"/>
        </w:rPr>
        <w:t xml:space="preserve">Hence, we can infer that Under </w:t>
      </w:r>
      <w:proofErr w:type="spellStart"/>
      <w:r>
        <w:rPr>
          <w:sz w:val="20"/>
          <w:szCs w:val="20"/>
        </w:rPr>
        <w:t>Armour</w:t>
      </w:r>
      <w:proofErr w:type="spellEnd"/>
      <w:r>
        <w:rPr>
          <w:sz w:val="20"/>
          <w:szCs w:val="20"/>
        </w:rPr>
        <w:t xml:space="preserve"> has an acceptable stock price over past four years.</w:t>
      </w:r>
    </w:p>
    <w:p w14:paraId="7B5FDCF1" w14:textId="77777777" w:rsidR="00B21297" w:rsidRDefault="00B21297">
      <w:pPr>
        <w:ind w:firstLine="360"/>
        <w:jc w:val="both"/>
        <w:rPr>
          <w:sz w:val="20"/>
          <w:szCs w:val="20"/>
        </w:rPr>
      </w:pPr>
    </w:p>
    <w:p w14:paraId="27AC002A" w14:textId="77777777" w:rsidR="00B21297" w:rsidRDefault="00B21297">
      <w:pPr>
        <w:ind w:firstLine="360"/>
        <w:jc w:val="both"/>
        <w:rPr>
          <w:sz w:val="20"/>
          <w:szCs w:val="20"/>
        </w:rPr>
      </w:pPr>
      <w:r>
        <w:rPr>
          <w:sz w:val="20"/>
          <w:szCs w:val="20"/>
        </w:rPr>
        <w:t>Conclusion</w:t>
      </w:r>
    </w:p>
    <w:p w14:paraId="0C8F136B" w14:textId="77777777" w:rsidR="00B21297" w:rsidRDefault="00B21297">
      <w:pPr>
        <w:ind w:firstLine="360"/>
        <w:jc w:val="both"/>
        <w:rPr>
          <w:sz w:val="20"/>
          <w:szCs w:val="20"/>
        </w:rPr>
      </w:pPr>
    </w:p>
    <w:p w14:paraId="67E8A046" w14:textId="77777777" w:rsidR="003849B1" w:rsidRDefault="003849B1" w:rsidP="003849B1">
      <w:pPr>
        <w:ind w:firstLine="360"/>
        <w:jc w:val="both"/>
        <w:rPr>
          <w:sz w:val="20"/>
          <w:szCs w:val="20"/>
        </w:rPr>
      </w:pPr>
      <w:r>
        <w:rPr>
          <w:sz w:val="20"/>
          <w:szCs w:val="20"/>
        </w:rPr>
        <w:t xml:space="preserve">We prepared a performance matrix of all the five companies based on our financial ratio calculations. From our evaluation, we inferred that GAP Inc. had best ratios for most of the calculations. Even though their sales growth is decreasing every year, there net profit margin, return on investments, return on equity and current ratio is much better than the other companies. Gap as a company has taken initiatives for a better environment by reducing its carbon footprint to decrease the pollution. </w:t>
      </w:r>
    </w:p>
    <w:p w14:paraId="6259844E" w14:textId="77777777" w:rsidR="003849B1" w:rsidRDefault="003849B1" w:rsidP="003849B1">
      <w:pPr>
        <w:ind w:firstLine="360"/>
        <w:jc w:val="both"/>
        <w:rPr>
          <w:sz w:val="20"/>
          <w:szCs w:val="20"/>
        </w:rPr>
      </w:pPr>
    </w:p>
    <w:p w14:paraId="1F358D3D" w14:textId="77777777" w:rsidR="003849B1" w:rsidRDefault="003849B1" w:rsidP="003849B1">
      <w:pPr>
        <w:ind w:firstLine="360"/>
        <w:jc w:val="both"/>
        <w:rPr>
          <w:sz w:val="20"/>
          <w:szCs w:val="20"/>
        </w:rPr>
      </w:pPr>
      <w:r>
        <w:rPr>
          <w:sz w:val="20"/>
          <w:szCs w:val="20"/>
        </w:rPr>
        <w:t xml:space="preserve">From our calculations, Ralph Lauren has the lowest ratio after Under </w:t>
      </w:r>
      <w:proofErr w:type="spellStart"/>
      <w:r>
        <w:rPr>
          <w:sz w:val="20"/>
          <w:szCs w:val="20"/>
        </w:rPr>
        <w:t>Armour</w:t>
      </w:r>
      <w:proofErr w:type="spellEnd"/>
      <w:r>
        <w:rPr>
          <w:sz w:val="20"/>
          <w:szCs w:val="20"/>
        </w:rPr>
        <w:t xml:space="preserve">. </w:t>
      </w:r>
    </w:p>
    <w:p w14:paraId="64781C06" w14:textId="77777777" w:rsidR="003849B1" w:rsidRDefault="003849B1">
      <w:pPr>
        <w:ind w:firstLine="360"/>
        <w:jc w:val="both"/>
        <w:rPr>
          <w:sz w:val="20"/>
          <w:szCs w:val="20"/>
        </w:rPr>
      </w:pPr>
    </w:p>
    <w:p w14:paraId="6ED7FB3A" w14:textId="77777777" w:rsidR="003849B1" w:rsidRDefault="003849B1">
      <w:pPr>
        <w:ind w:firstLine="360"/>
        <w:jc w:val="both"/>
        <w:rPr>
          <w:sz w:val="20"/>
          <w:szCs w:val="20"/>
        </w:rPr>
      </w:pPr>
    </w:p>
    <w:p w14:paraId="6ECDD33C" w14:textId="77777777" w:rsidR="003849B1" w:rsidRDefault="003849B1" w:rsidP="003849B1">
      <w:pPr>
        <w:pStyle w:val="Caption"/>
        <w:keepNext/>
      </w:pPr>
    </w:p>
    <w:tbl>
      <w:tblPr>
        <w:tblW w:w="8020" w:type="dxa"/>
        <w:jc w:val="center"/>
        <w:tblCellMar>
          <w:left w:w="0" w:type="dxa"/>
          <w:right w:w="0" w:type="dxa"/>
        </w:tblCellMar>
        <w:tblLook w:val="04A0" w:firstRow="1" w:lastRow="0" w:firstColumn="1" w:lastColumn="0" w:noHBand="0" w:noVBand="1"/>
      </w:tblPr>
      <w:tblGrid>
        <w:gridCol w:w="2047"/>
        <w:gridCol w:w="918"/>
        <w:gridCol w:w="918"/>
        <w:gridCol w:w="1554"/>
        <w:gridCol w:w="1665"/>
        <w:gridCol w:w="918"/>
      </w:tblGrid>
      <w:tr w:rsidR="003849B1" w:rsidRPr="003849B1" w14:paraId="126E38CF" w14:textId="77777777" w:rsidTr="00AC7773">
        <w:trPr>
          <w:divId w:val="693920129"/>
          <w:trHeight w:val="340"/>
          <w:jc w:val="center"/>
        </w:trPr>
        <w:tc>
          <w:tcPr>
            <w:tcW w:w="8020" w:type="dxa"/>
            <w:gridSpan w:val="6"/>
            <w:tcBorders>
              <w:top w:val="single" w:sz="8" w:space="0" w:color="auto"/>
              <w:left w:val="single" w:sz="8" w:space="0" w:color="auto"/>
              <w:bottom w:val="single" w:sz="8" w:space="0" w:color="auto"/>
              <w:right w:val="single" w:sz="8" w:space="0" w:color="000000"/>
            </w:tcBorders>
            <w:shd w:val="clear" w:color="auto" w:fill="auto"/>
            <w:tcMar>
              <w:top w:w="15" w:type="dxa"/>
              <w:left w:w="15" w:type="dxa"/>
              <w:bottom w:w="0" w:type="dxa"/>
              <w:right w:w="15" w:type="dxa"/>
            </w:tcMar>
            <w:vAlign w:val="bottom"/>
            <w:hideMark/>
          </w:tcPr>
          <w:p w14:paraId="692D85AD" w14:textId="77777777" w:rsidR="003849B1" w:rsidRPr="003849B1" w:rsidRDefault="003849B1" w:rsidP="003849B1">
            <w:pPr>
              <w:widowControl/>
              <w:jc w:val="center"/>
              <w:rPr>
                <w:rFonts w:ascii="Calibri" w:hAnsi="Calibri"/>
                <w:b/>
                <w:bCs/>
              </w:rPr>
            </w:pPr>
            <w:r w:rsidRPr="003849B1">
              <w:rPr>
                <w:rFonts w:ascii="Calibri" w:hAnsi="Calibri"/>
                <w:b/>
                <w:bCs/>
              </w:rPr>
              <w:t>Performance Matrix</w:t>
            </w:r>
          </w:p>
        </w:tc>
      </w:tr>
      <w:tr w:rsidR="003849B1" w:rsidRPr="003849B1" w14:paraId="7757FEDA" w14:textId="77777777" w:rsidTr="00AC7773">
        <w:trPr>
          <w:divId w:val="693920129"/>
          <w:trHeight w:val="340"/>
          <w:jc w:val="center"/>
        </w:trPr>
        <w:tc>
          <w:tcPr>
            <w:tcW w:w="0" w:type="auto"/>
            <w:tcBorders>
              <w:top w:val="nil"/>
              <w:left w:val="single" w:sz="8" w:space="0" w:color="auto"/>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29861373" w14:textId="77777777" w:rsidR="003849B1" w:rsidRPr="003849B1" w:rsidRDefault="003849B1" w:rsidP="003849B1">
            <w:pPr>
              <w:widowControl/>
              <w:rPr>
                <w:b/>
                <w:bCs/>
              </w:rPr>
            </w:pPr>
            <w:r w:rsidRPr="003849B1">
              <w:rPr>
                <w:b/>
                <w:bCs/>
              </w:rPr>
              <w:t>Measure</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17A4E9BD" w14:textId="77777777" w:rsidR="003849B1" w:rsidRPr="003849B1" w:rsidRDefault="003849B1" w:rsidP="003849B1">
            <w:pPr>
              <w:widowControl/>
              <w:rPr>
                <w:b/>
                <w:bCs/>
              </w:rPr>
            </w:pPr>
            <w:r w:rsidRPr="003849B1">
              <w:rPr>
                <w:b/>
                <w:bCs/>
              </w:rPr>
              <w:t>AEO</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2CA7ABA9" w14:textId="77777777" w:rsidR="003849B1" w:rsidRPr="003849B1" w:rsidRDefault="003849B1" w:rsidP="003849B1">
            <w:pPr>
              <w:widowControl/>
              <w:rPr>
                <w:b/>
                <w:bCs/>
              </w:rPr>
            </w:pPr>
            <w:r w:rsidRPr="003849B1">
              <w:rPr>
                <w:b/>
                <w:bCs/>
              </w:rPr>
              <w:t>GAP</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37714E7B" w14:textId="77777777" w:rsidR="003849B1" w:rsidRPr="003849B1" w:rsidRDefault="003849B1" w:rsidP="003849B1">
            <w:pPr>
              <w:widowControl/>
              <w:rPr>
                <w:b/>
                <w:bCs/>
              </w:rPr>
            </w:pPr>
            <w:r w:rsidRPr="003849B1">
              <w:rPr>
                <w:b/>
                <w:bCs/>
              </w:rPr>
              <w:t>Ralph Lauren</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10DCA798" w14:textId="77777777" w:rsidR="003849B1" w:rsidRPr="003849B1" w:rsidRDefault="003849B1" w:rsidP="003849B1">
            <w:pPr>
              <w:widowControl/>
              <w:rPr>
                <w:b/>
                <w:bCs/>
              </w:rPr>
            </w:pPr>
            <w:r w:rsidRPr="003849B1">
              <w:rPr>
                <w:b/>
                <w:bCs/>
              </w:rPr>
              <w:t xml:space="preserve">Under </w:t>
            </w:r>
            <w:proofErr w:type="spellStart"/>
            <w:r w:rsidRPr="003849B1">
              <w:rPr>
                <w:b/>
                <w:bCs/>
              </w:rPr>
              <w:t>Armour</w:t>
            </w:r>
            <w:proofErr w:type="spellEnd"/>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7C161CB3" w14:textId="77777777" w:rsidR="003849B1" w:rsidRPr="003849B1" w:rsidRDefault="003849B1" w:rsidP="003849B1">
            <w:pPr>
              <w:widowControl/>
              <w:rPr>
                <w:b/>
                <w:bCs/>
              </w:rPr>
            </w:pPr>
            <w:r w:rsidRPr="003849B1">
              <w:rPr>
                <w:b/>
                <w:bCs/>
              </w:rPr>
              <w:t>PVH</w:t>
            </w:r>
          </w:p>
        </w:tc>
      </w:tr>
      <w:tr w:rsidR="003849B1" w:rsidRPr="003849B1" w14:paraId="2A455541" w14:textId="77777777" w:rsidTr="00AC7773">
        <w:trPr>
          <w:divId w:val="693920129"/>
          <w:trHeight w:val="320"/>
          <w:jc w:val="center"/>
        </w:trPr>
        <w:tc>
          <w:tcPr>
            <w:tcW w:w="1947" w:type="dxa"/>
            <w:tcBorders>
              <w:top w:val="nil"/>
              <w:left w:val="single" w:sz="8" w:space="0" w:color="auto"/>
              <w:bottom w:val="single" w:sz="4" w:space="0" w:color="auto"/>
              <w:right w:val="single" w:sz="4" w:space="0" w:color="auto"/>
            </w:tcBorders>
            <w:shd w:val="clear" w:color="000000" w:fill="auto"/>
            <w:tcMar>
              <w:top w:w="15" w:type="dxa"/>
              <w:left w:w="15" w:type="dxa"/>
              <w:bottom w:w="0" w:type="dxa"/>
              <w:right w:w="15" w:type="dxa"/>
            </w:tcMar>
            <w:vAlign w:val="bottom"/>
            <w:hideMark/>
          </w:tcPr>
          <w:p w14:paraId="05D8ECE8" w14:textId="77777777" w:rsidR="003849B1" w:rsidRPr="003849B1" w:rsidRDefault="003849B1" w:rsidP="003849B1">
            <w:pPr>
              <w:widowControl/>
              <w:rPr>
                <w:b/>
                <w:bCs/>
                <w:sz w:val="22"/>
                <w:szCs w:val="22"/>
              </w:rPr>
            </w:pPr>
            <w:r w:rsidRPr="003849B1">
              <w:rPr>
                <w:b/>
                <w:bCs/>
                <w:sz w:val="22"/>
                <w:szCs w:val="22"/>
              </w:rPr>
              <w:t>Net Profit Margin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052F8F" w14:textId="77777777" w:rsidR="003849B1" w:rsidRPr="003849B1" w:rsidRDefault="003849B1" w:rsidP="003849B1">
            <w:pPr>
              <w:widowControl/>
              <w:rPr>
                <w:sz w:val="22"/>
                <w:szCs w:val="22"/>
              </w:rPr>
            </w:pPr>
            <w:r w:rsidRPr="003849B1">
              <w:rPr>
                <w:sz w:val="22"/>
                <w:szCs w:val="22"/>
              </w:rPr>
              <w:t>Low</w:t>
            </w:r>
          </w:p>
        </w:tc>
        <w:tc>
          <w:tcPr>
            <w:tcW w:w="0" w:type="auto"/>
            <w:tcBorders>
              <w:top w:val="nil"/>
              <w:left w:val="nil"/>
              <w:bottom w:val="single" w:sz="4" w:space="0" w:color="auto"/>
              <w:right w:val="single" w:sz="4" w:space="0" w:color="auto"/>
            </w:tcBorders>
            <w:shd w:val="clear" w:color="000000" w:fill="FFD966"/>
            <w:noWrap/>
            <w:tcMar>
              <w:top w:w="15" w:type="dxa"/>
              <w:left w:w="15" w:type="dxa"/>
              <w:bottom w:w="0" w:type="dxa"/>
              <w:right w:w="15" w:type="dxa"/>
            </w:tcMar>
            <w:vAlign w:val="bottom"/>
            <w:hideMark/>
          </w:tcPr>
          <w:p w14:paraId="57FE7264" w14:textId="77777777" w:rsidR="003849B1" w:rsidRPr="003849B1" w:rsidRDefault="003849B1" w:rsidP="003849B1">
            <w:pPr>
              <w:widowControl/>
              <w:rPr>
                <w:b/>
                <w:bCs/>
                <w:sz w:val="22"/>
                <w:szCs w:val="22"/>
              </w:rPr>
            </w:pPr>
            <w:r w:rsidRPr="003849B1">
              <w:rPr>
                <w:b/>
                <w:bCs/>
                <w:sz w:val="22"/>
                <w:szCs w:val="22"/>
              </w:rPr>
              <w:t>High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774077" w14:textId="77777777" w:rsidR="003849B1" w:rsidRPr="003849B1" w:rsidRDefault="003849B1" w:rsidP="003849B1">
            <w:pPr>
              <w:widowControl/>
              <w:rPr>
                <w:sz w:val="22"/>
                <w:szCs w:val="22"/>
              </w:rPr>
            </w:pPr>
            <w:r w:rsidRPr="003849B1">
              <w:rPr>
                <w:sz w:val="22"/>
                <w:szCs w:val="22"/>
              </w:rPr>
              <w:t>Low</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F102C7" w14:textId="77777777" w:rsidR="003849B1" w:rsidRPr="003849B1" w:rsidRDefault="003849B1" w:rsidP="003849B1">
            <w:pPr>
              <w:widowControl/>
              <w:rPr>
                <w:sz w:val="22"/>
                <w:szCs w:val="22"/>
              </w:rPr>
            </w:pPr>
            <w:r w:rsidRPr="003849B1">
              <w:rPr>
                <w:sz w:val="22"/>
                <w:szCs w:val="22"/>
              </w:rPr>
              <w:t>Low</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D045532" w14:textId="77777777" w:rsidR="003849B1" w:rsidRPr="003849B1" w:rsidRDefault="003849B1" w:rsidP="003849B1">
            <w:pPr>
              <w:widowControl/>
              <w:rPr>
                <w:sz w:val="22"/>
                <w:szCs w:val="22"/>
              </w:rPr>
            </w:pPr>
            <w:r w:rsidRPr="003849B1">
              <w:rPr>
                <w:sz w:val="22"/>
                <w:szCs w:val="22"/>
              </w:rPr>
              <w:t>Moderate</w:t>
            </w:r>
          </w:p>
        </w:tc>
      </w:tr>
      <w:tr w:rsidR="003849B1" w:rsidRPr="003849B1" w14:paraId="61CDB171" w14:textId="77777777" w:rsidTr="00AC7773">
        <w:trPr>
          <w:divId w:val="693920129"/>
          <w:trHeight w:val="320"/>
          <w:jc w:val="center"/>
        </w:trPr>
        <w:tc>
          <w:tcPr>
            <w:tcW w:w="1947" w:type="dxa"/>
            <w:tcBorders>
              <w:top w:val="nil"/>
              <w:left w:val="single" w:sz="8" w:space="0" w:color="auto"/>
              <w:bottom w:val="single" w:sz="4" w:space="0" w:color="auto"/>
              <w:right w:val="single" w:sz="4" w:space="0" w:color="auto"/>
            </w:tcBorders>
            <w:shd w:val="clear" w:color="000000" w:fill="auto"/>
            <w:tcMar>
              <w:top w:w="15" w:type="dxa"/>
              <w:left w:w="15" w:type="dxa"/>
              <w:bottom w:w="0" w:type="dxa"/>
              <w:right w:w="15" w:type="dxa"/>
            </w:tcMar>
            <w:vAlign w:val="bottom"/>
            <w:hideMark/>
          </w:tcPr>
          <w:p w14:paraId="40E45C48" w14:textId="77777777" w:rsidR="003849B1" w:rsidRPr="003849B1" w:rsidRDefault="003849B1" w:rsidP="003849B1">
            <w:pPr>
              <w:widowControl/>
              <w:rPr>
                <w:b/>
                <w:bCs/>
                <w:sz w:val="22"/>
                <w:szCs w:val="22"/>
              </w:rPr>
            </w:pPr>
            <w:r w:rsidRPr="003849B1">
              <w:rPr>
                <w:b/>
                <w:bCs/>
                <w:sz w:val="22"/>
                <w:szCs w:val="22"/>
              </w:rPr>
              <w:t>Sales Growth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B4FC71" w14:textId="77777777" w:rsidR="003849B1" w:rsidRPr="003849B1" w:rsidRDefault="003849B1" w:rsidP="003849B1">
            <w:pPr>
              <w:widowControl/>
              <w:rPr>
                <w:sz w:val="22"/>
                <w:szCs w:val="22"/>
              </w:rPr>
            </w:pPr>
            <w:r w:rsidRPr="003849B1">
              <w:rPr>
                <w:sz w:val="22"/>
                <w:szCs w:val="22"/>
              </w:rPr>
              <w:t>Moderate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453D11" w14:textId="77777777" w:rsidR="003849B1" w:rsidRPr="003849B1" w:rsidRDefault="003849B1" w:rsidP="003849B1">
            <w:pPr>
              <w:widowControl/>
              <w:rPr>
                <w:sz w:val="22"/>
                <w:szCs w:val="22"/>
              </w:rPr>
            </w:pPr>
            <w:r w:rsidRPr="003849B1">
              <w:rPr>
                <w:sz w:val="22"/>
                <w:szCs w:val="22"/>
              </w:rPr>
              <w:t>Low</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44699F" w14:textId="77777777" w:rsidR="003849B1" w:rsidRPr="003849B1" w:rsidRDefault="003849B1" w:rsidP="003849B1">
            <w:pPr>
              <w:widowControl/>
              <w:rPr>
                <w:sz w:val="22"/>
                <w:szCs w:val="22"/>
              </w:rPr>
            </w:pPr>
            <w:r w:rsidRPr="003849B1">
              <w:rPr>
                <w:sz w:val="22"/>
                <w:szCs w:val="22"/>
              </w:rPr>
              <w:t>Low</w:t>
            </w:r>
          </w:p>
        </w:tc>
        <w:tc>
          <w:tcPr>
            <w:tcW w:w="0" w:type="auto"/>
            <w:tcBorders>
              <w:top w:val="nil"/>
              <w:left w:val="nil"/>
              <w:bottom w:val="single" w:sz="4" w:space="0" w:color="auto"/>
              <w:right w:val="single" w:sz="4" w:space="0" w:color="auto"/>
            </w:tcBorders>
            <w:shd w:val="clear" w:color="000000" w:fill="FFD966"/>
            <w:noWrap/>
            <w:tcMar>
              <w:top w:w="15" w:type="dxa"/>
              <w:left w:w="15" w:type="dxa"/>
              <w:bottom w:w="0" w:type="dxa"/>
              <w:right w:w="15" w:type="dxa"/>
            </w:tcMar>
            <w:vAlign w:val="bottom"/>
            <w:hideMark/>
          </w:tcPr>
          <w:p w14:paraId="7394FEA8" w14:textId="77777777" w:rsidR="003849B1" w:rsidRPr="003849B1" w:rsidRDefault="003849B1" w:rsidP="003849B1">
            <w:pPr>
              <w:widowControl/>
              <w:rPr>
                <w:b/>
                <w:bCs/>
                <w:sz w:val="22"/>
                <w:szCs w:val="22"/>
              </w:rPr>
            </w:pPr>
            <w:r w:rsidRPr="003849B1">
              <w:rPr>
                <w:b/>
                <w:bCs/>
                <w:sz w:val="22"/>
                <w:szCs w:val="22"/>
              </w:rPr>
              <w:t>High</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5FA63A6" w14:textId="77777777" w:rsidR="003849B1" w:rsidRPr="003849B1" w:rsidRDefault="003849B1" w:rsidP="003849B1">
            <w:pPr>
              <w:widowControl/>
              <w:rPr>
                <w:sz w:val="22"/>
                <w:szCs w:val="22"/>
              </w:rPr>
            </w:pPr>
            <w:r w:rsidRPr="003849B1">
              <w:rPr>
                <w:sz w:val="22"/>
                <w:szCs w:val="22"/>
              </w:rPr>
              <w:t>Low</w:t>
            </w:r>
          </w:p>
        </w:tc>
      </w:tr>
      <w:tr w:rsidR="003849B1" w:rsidRPr="003849B1" w14:paraId="0538D423" w14:textId="77777777" w:rsidTr="00AC7773">
        <w:trPr>
          <w:divId w:val="693920129"/>
          <w:trHeight w:val="580"/>
          <w:jc w:val="center"/>
        </w:trPr>
        <w:tc>
          <w:tcPr>
            <w:tcW w:w="1947" w:type="dxa"/>
            <w:tcBorders>
              <w:top w:val="nil"/>
              <w:left w:val="single" w:sz="8" w:space="0" w:color="auto"/>
              <w:bottom w:val="single" w:sz="4" w:space="0" w:color="auto"/>
              <w:right w:val="single" w:sz="4" w:space="0" w:color="auto"/>
            </w:tcBorders>
            <w:shd w:val="clear" w:color="000000" w:fill="auto"/>
            <w:tcMar>
              <w:top w:w="15" w:type="dxa"/>
              <w:left w:w="15" w:type="dxa"/>
              <w:bottom w:w="0" w:type="dxa"/>
              <w:right w:w="15" w:type="dxa"/>
            </w:tcMar>
            <w:vAlign w:val="bottom"/>
            <w:hideMark/>
          </w:tcPr>
          <w:p w14:paraId="2B1D2999" w14:textId="77777777" w:rsidR="003849B1" w:rsidRPr="003849B1" w:rsidRDefault="003849B1" w:rsidP="003849B1">
            <w:pPr>
              <w:widowControl/>
              <w:rPr>
                <w:b/>
                <w:bCs/>
                <w:sz w:val="22"/>
                <w:szCs w:val="22"/>
              </w:rPr>
            </w:pPr>
            <w:r w:rsidRPr="003849B1">
              <w:rPr>
                <w:b/>
                <w:bCs/>
                <w:sz w:val="22"/>
                <w:szCs w:val="22"/>
              </w:rPr>
              <w:t>Earnings per share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D19B7D" w14:textId="77777777" w:rsidR="003849B1" w:rsidRPr="003849B1" w:rsidRDefault="003849B1" w:rsidP="003849B1">
            <w:pPr>
              <w:widowControl/>
              <w:rPr>
                <w:sz w:val="22"/>
                <w:szCs w:val="22"/>
              </w:rPr>
            </w:pPr>
            <w:r w:rsidRPr="003849B1">
              <w:rPr>
                <w:sz w:val="22"/>
                <w:szCs w:val="22"/>
              </w:rPr>
              <w:t>Low</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46DA22" w14:textId="77777777" w:rsidR="003849B1" w:rsidRPr="003849B1" w:rsidRDefault="003849B1" w:rsidP="003849B1">
            <w:pPr>
              <w:widowControl/>
              <w:rPr>
                <w:sz w:val="22"/>
                <w:szCs w:val="22"/>
              </w:rPr>
            </w:pPr>
            <w:r w:rsidRPr="003849B1">
              <w:rPr>
                <w:sz w:val="22"/>
                <w:szCs w:val="22"/>
              </w:rPr>
              <w:t>Moderate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2B2E62" w14:textId="77777777" w:rsidR="003849B1" w:rsidRPr="003849B1" w:rsidRDefault="003849B1" w:rsidP="003849B1">
            <w:pPr>
              <w:widowControl/>
              <w:rPr>
                <w:sz w:val="22"/>
                <w:szCs w:val="22"/>
              </w:rPr>
            </w:pPr>
            <w:r w:rsidRPr="003849B1">
              <w:rPr>
                <w:sz w:val="22"/>
                <w:szCs w:val="22"/>
              </w:rPr>
              <w:t>Low</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9F2BE2" w14:textId="77777777" w:rsidR="003849B1" w:rsidRPr="003849B1" w:rsidRDefault="003849B1" w:rsidP="003849B1">
            <w:pPr>
              <w:widowControl/>
              <w:rPr>
                <w:sz w:val="22"/>
                <w:szCs w:val="22"/>
              </w:rPr>
            </w:pPr>
            <w:r w:rsidRPr="003849B1">
              <w:rPr>
                <w:sz w:val="22"/>
                <w:szCs w:val="22"/>
              </w:rPr>
              <w:t>Low</w:t>
            </w:r>
          </w:p>
        </w:tc>
        <w:tc>
          <w:tcPr>
            <w:tcW w:w="0" w:type="auto"/>
            <w:tcBorders>
              <w:top w:val="nil"/>
              <w:left w:val="nil"/>
              <w:bottom w:val="single" w:sz="4" w:space="0" w:color="auto"/>
              <w:right w:val="single" w:sz="8" w:space="0" w:color="auto"/>
            </w:tcBorders>
            <w:shd w:val="clear" w:color="000000" w:fill="FFD966"/>
            <w:noWrap/>
            <w:tcMar>
              <w:top w:w="15" w:type="dxa"/>
              <w:left w:w="15" w:type="dxa"/>
              <w:bottom w:w="0" w:type="dxa"/>
              <w:right w:w="15" w:type="dxa"/>
            </w:tcMar>
            <w:vAlign w:val="bottom"/>
            <w:hideMark/>
          </w:tcPr>
          <w:p w14:paraId="4963657A" w14:textId="77777777" w:rsidR="003849B1" w:rsidRPr="003849B1" w:rsidRDefault="003849B1" w:rsidP="003849B1">
            <w:pPr>
              <w:widowControl/>
              <w:rPr>
                <w:b/>
                <w:bCs/>
                <w:sz w:val="22"/>
                <w:szCs w:val="22"/>
              </w:rPr>
            </w:pPr>
            <w:r w:rsidRPr="003849B1">
              <w:rPr>
                <w:b/>
                <w:bCs/>
                <w:sz w:val="22"/>
                <w:szCs w:val="22"/>
              </w:rPr>
              <w:t>High</w:t>
            </w:r>
          </w:p>
        </w:tc>
      </w:tr>
      <w:tr w:rsidR="003849B1" w:rsidRPr="003849B1" w14:paraId="2FDD714A" w14:textId="77777777" w:rsidTr="00AC7773">
        <w:trPr>
          <w:divId w:val="693920129"/>
          <w:trHeight w:val="580"/>
          <w:jc w:val="center"/>
        </w:trPr>
        <w:tc>
          <w:tcPr>
            <w:tcW w:w="1947" w:type="dxa"/>
            <w:tcBorders>
              <w:top w:val="nil"/>
              <w:left w:val="single" w:sz="8" w:space="0" w:color="auto"/>
              <w:bottom w:val="single" w:sz="4" w:space="0" w:color="auto"/>
              <w:right w:val="single" w:sz="4" w:space="0" w:color="auto"/>
            </w:tcBorders>
            <w:shd w:val="clear" w:color="000000" w:fill="auto"/>
            <w:tcMar>
              <w:top w:w="15" w:type="dxa"/>
              <w:left w:w="15" w:type="dxa"/>
              <w:bottom w:w="0" w:type="dxa"/>
              <w:right w:w="15" w:type="dxa"/>
            </w:tcMar>
            <w:vAlign w:val="bottom"/>
            <w:hideMark/>
          </w:tcPr>
          <w:p w14:paraId="702EFBE2" w14:textId="77777777" w:rsidR="003849B1" w:rsidRPr="003849B1" w:rsidRDefault="003849B1" w:rsidP="003849B1">
            <w:pPr>
              <w:widowControl/>
              <w:rPr>
                <w:b/>
                <w:bCs/>
                <w:sz w:val="22"/>
                <w:szCs w:val="22"/>
              </w:rPr>
            </w:pPr>
            <w:r w:rsidRPr="003849B1">
              <w:rPr>
                <w:b/>
                <w:bCs/>
                <w:sz w:val="22"/>
                <w:szCs w:val="22"/>
              </w:rPr>
              <w:t>Return on Investments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81FDA5" w14:textId="77777777" w:rsidR="003849B1" w:rsidRPr="003849B1" w:rsidRDefault="003849B1" w:rsidP="003849B1">
            <w:pPr>
              <w:widowControl/>
              <w:rPr>
                <w:sz w:val="22"/>
                <w:szCs w:val="22"/>
              </w:rPr>
            </w:pPr>
            <w:r w:rsidRPr="003849B1">
              <w:rPr>
                <w:sz w:val="22"/>
                <w:szCs w:val="22"/>
              </w:rPr>
              <w:t>Moderate</w:t>
            </w:r>
          </w:p>
        </w:tc>
        <w:tc>
          <w:tcPr>
            <w:tcW w:w="0" w:type="auto"/>
            <w:tcBorders>
              <w:top w:val="nil"/>
              <w:left w:val="nil"/>
              <w:bottom w:val="single" w:sz="4" w:space="0" w:color="auto"/>
              <w:right w:val="single" w:sz="4" w:space="0" w:color="auto"/>
            </w:tcBorders>
            <w:shd w:val="clear" w:color="000000" w:fill="FFD966"/>
            <w:noWrap/>
            <w:tcMar>
              <w:top w:w="15" w:type="dxa"/>
              <w:left w:w="15" w:type="dxa"/>
              <w:bottom w:w="0" w:type="dxa"/>
              <w:right w:w="15" w:type="dxa"/>
            </w:tcMar>
            <w:vAlign w:val="bottom"/>
            <w:hideMark/>
          </w:tcPr>
          <w:p w14:paraId="76EC762F" w14:textId="77777777" w:rsidR="003849B1" w:rsidRPr="003849B1" w:rsidRDefault="003849B1" w:rsidP="003849B1">
            <w:pPr>
              <w:widowControl/>
              <w:rPr>
                <w:b/>
                <w:bCs/>
                <w:sz w:val="22"/>
                <w:szCs w:val="22"/>
              </w:rPr>
            </w:pPr>
            <w:r w:rsidRPr="003849B1">
              <w:rPr>
                <w:b/>
                <w:bCs/>
                <w:sz w:val="22"/>
                <w:szCs w:val="22"/>
              </w:rPr>
              <w:t>High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7EE1B5" w14:textId="77777777" w:rsidR="003849B1" w:rsidRPr="003849B1" w:rsidRDefault="003849B1" w:rsidP="003849B1">
            <w:pPr>
              <w:widowControl/>
              <w:rPr>
                <w:sz w:val="22"/>
                <w:szCs w:val="22"/>
              </w:rPr>
            </w:pPr>
            <w:r w:rsidRPr="003849B1">
              <w:rPr>
                <w:sz w:val="22"/>
                <w:szCs w:val="22"/>
              </w:rPr>
              <w:t>Low</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A5C7AD" w14:textId="77777777" w:rsidR="003849B1" w:rsidRPr="003849B1" w:rsidRDefault="003849B1" w:rsidP="003849B1">
            <w:pPr>
              <w:widowControl/>
              <w:rPr>
                <w:sz w:val="22"/>
                <w:szCs w:val="22"/>
              </w:rPr>
            </w:pPr>
            <w:r w:rsidRPr="003849B1">
              <w:rPr>
                <w:sz w:val="22"/>
                <w:szCs w:val="22"/>
              </w:rPr>
              <w:t>Low</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0EA1969" w14:textId="77777777" w:rsidR="003849B1" w:rsidRPr="003849B1" w:rsidRDefault="003849B1" w:rsidP="003849B1">
            <w:pPr>
              <w:widowControl/>
              <w:rPr>
                <w:sz w:val="22"/>
                <w:szCs w:val="22"/>
              </w:rPr>
            </w:pPr>
            <w:r w:rsidRPr="003849B1">
              <w:rPr>
                <w:sz w:val="22"/>
                <w:szCs w:val="22"/>
              </w:rPr>
              <w:t>Low</w:t>
            </w:r>
          </w:p>
        </w:tc>
      </w:tr>
      <w:tr w:rsidR="003849B1" w:rsidRPr="003849B1" w14:paraId="305E631D" w14:textId="77777777" w:rsidTr="00AC7773">
        <w:trPr>
          <w:divId w:val="693920129"/>
          <w:trHeight w:val="320"/>
          <w:jc w:val="center"/>
        </w:trPr>
        <w:tc>
          <w:tcPr>
            <w:tcW w:w="1947" w:type="dxa"/>
            <w:tcBorders>
              <w:top w:val="nil"/>
              <w:left w:val="single" w:sz="8" w:space="0" w:color="auto"/>
              <w:bottom w:val="single" w:sz="4" w:space="0" w:color="auto"/>
              <w:right w:val="single" w:sz="4" w:space="0" w:color="auto"/>
            </w:tcBorders>
            <w:shd w:val="clear" w:color="000000" w:fill="auto"/>
            <w:tcMar>
              <w:top w:w="15" w:type="dxa"/>
              <w:left w:w="15" w:type="dxa"/>
              <w:bottom w:w="0" w:type="dxa"/>
              <w:right w:w="15" w:type="dxa"/>
            </w:tcMar>
            <w:vAlign w:val="bottom"/>
            <w:hideMark/>
          </w:tcPr>
          <w:p w14:paraId="5D4FFACD" w14:textId="77777777" w:rsidR="003849B1" w:rsidRPr="003849B1" w:rsidRDefault="003849B1" w:rsidP="003849B1">
            <w:pPr>
              <w:widowControl/>
              <w:rPr>
                <w:b/>
                <w:bCs/>
                <w:sz w:val="22"/>
                <w:szCs w:val="22"/>
              </w:rPr>
            </w:pPr>
            <w:r w:rsidRPr="003849B1">
              <w:rPr>
                <w:b/>
                <w:bCs/>
                <w:sz w:val="22"/>
                <w:szCs w:val="22"/>
              </w:rPr>
              <w:t>Return on Equity</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55646C" w14:textId="77777777" w:rsidR="003849B1" w:rsidRPr="003849B1" w:rsidRDefault="003849B1" w:rsidP="003849B1">
            <w:pPr>
              <w:widowControl/>
              <w:rPr>
                <w:sz w:val="22"/>
                <w:szCs w:val="22"/>
              </w:rPr>
            </w:pPr>
            <w:r w:rsidRPr="003849B1">
              <w:rPr>
                <w:sz w:val="22"/>
                <w:szCs w:val="22"/>
              </w:rPr>
              <w:t>Moderate</w:t>
            </w:r>
          </w:p>
        </w:tc>
        <w:tc>
          <w:tcPr>
            <w:tcW w:w="0" w:type="auto"/>
            <w:tcBorders>
              <w:top w:val="nil"/>
              <w:left w:val="nil"/>
              <w:bottom w:val="single" w:sz="4" w:space="0" w:color="auto"/>
              <w:right w:val="single" w:sz="4" w:space="0" w:color="auto"/>
            </w:tcBorders>
            <w:shd w:val="clear" w:color="000000" w:fill="FFD966"/>
            <w:noWrap/>
            <w:tcMar>
              <w:top w:w="15" w:type="dxa"/>
              <w:left w:w="15" w:type="dxa"/>
              <w:bottom w:w="0" w:type="dxa"/>
              <w:right w:w="15" w:type="dxa"/>
            </w:tcMar>
            <w:vAlign w:val="bottom"/>
            <w:hideMark/>
          </w:tcPr>
          <w:p w14:paraId="46FA7294" w14:textId="77777777" w:rsidR="003849B1" w:rsidRPr="003849B1" w:rsidRDefault="003849B1" w:rsidP="003849B1">
            <w:pPr>
              <w:widowControl/>
              <w:rPr>
                <w:b/>
                <w:bCs/>
                <w:sz w:val="22"/>
                <w:szCs w:val="22"/>
              </w:rPr>
            </w:pPr>
            <w:r w:rsidRPr="003849B1">
              <w:rPr>
                <w:b/>
                <w:bCs/>
                <w:sz w:val="22"/>
                <w:szCs w:val="22"/>
              </w:rPr>
              <w:t>High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0A6E76" w14:textId="77777777" w:rsidR="003849B1" w:rsidRPr="003849B1" w:rsidRDefault="003849B1" w:rsidP="003849B1">
            <w:pPr>
              <w:widowControl/>
              <w:rPr>
                <w:sz w:val="22"/>
                <w:szCs w:val="22"/>
              </w:rPr>
            </w:pPr>
            <w:r w:rsidRPr="003849B1">
              <w:rPr>
                <w:sz w:val="22"/>
                <w:szCs w:val="22"/>
              </w:rPr>
              <w:t>Low</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3C5E69" w14:textId="77777777" w:rsidR="003849B1" w:rsidRPr="003849B1" w:rsidRDefault="003849B1" w:rsidP="003849B1">
            <w:pPr>
              <w:widowControl/>
              <w:rPr>
                <w:sz w:val="22"/>
                <w:szCs w:val="22"/>
              </w:rPr>
            </w:pPr>
            <w:r w:rsidRPr="003849B1">
              <w:rPr>
                <w:sz w:val="22"/>
                <w:szCs w:val="22"/>
              </w:rPr>
              <w:t>Low</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EFECF2B" w14:textId="77777777" w:rsidR="003849B1" w:rsidRPr="003849B1" w:rsidRDefault="003849B1" w:rsidP="003849B1">
            <w:pPr>
              <w:widowControl/>
              <w:rPr>
                <w:sz w:val="22"/>
                <w:szCs w:val="22"/>
              </w:rPr>
            </w:pPr>
            <w:r w:rsidRPr="003849B1">
              <w:rPr>
                <w:sz w:val="22"/>
                <w:szCs w:val="22"/>
              </w:rPr>
              <w:t>Low</w:t>
            </w:r>
          </w:p>
        </w:tc>
      </w:tr>
      <w:tr w:rsidR="003849B1" w:rsidRPr="003849B1" w14:paraId="3597584E" w14:textId="77777777" w:rsidTr="00AC7773">
        <w:trPr>
          <w:divId w:val="693920129"/>
          <w:trHeight w:val="320"/>
          <w:jc w:val="center"/>
        </w:trPr>
        <w:tc>
          <w:tcPr>
            <w:tcW w:w="1947" w:type="dxa"/>
            <w:tcBorders>
              <w:top w:val="nil"/>
              <w:left w:val="single" w:sz="8" w:space="0" w:color="auto"/>
              <w:bottom w:val="single" w:sz="4" w:space="0" w:color="auto"/>
              <w:right w:val="single" w:sz="4" w:space="0" w:color="auto"/>
            </w:tcBorders>
            <w:shd w:val="clear" w:color="000000" w:fill="auto"/>
            <w:tcMar>
              <w:top w:w="15" w:type="dxa"/>
              <w:left w:w="15" w:type="dxa"/>
              <w:bottom w:w="0" w:type="dxa"/>
              <w:right w:w="15" w:type="dxa"/>
            </w:tcMar>
            <w:vAlign w:val="bottom"/>
            <w:hideMark/>
          </w:tcPr>
          <w:p w14:paraId="300D15BF" w14:textId="77777777" w:rsidR="003849B1" w:rsidRPr="003849B1" w:rsidRDefault="003849B1" w:rsidP="003849B1">
            <w:pPr>
              <w:widowControl/>
              <w:rPr>
                <w:b/>
                <w:bCs/>
                <w:sz w:val="22"/>
                <w:szCs w:val="22"/>
              </w:rPr>
            </w:pPr>
            <w:r w:rsidRPr="003849B1">
              <w:rPr>
                <w:b/>
                <w:bCs/>
                <w:sz w:val="22"/>
                <w:szCs w:val="22"/>
              </w:rPr>
              <w:t>Current Ratio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07FB6F" w14:textId="77777777" w:rsidR="003849B1" w:rsidRPr="003849B1" w:rsidRDefault="003849B1" w:rsidP="003849B1">
            <w:pPr>
              <w:widowControl/>
              <w:rPr>
                <w:sz w:val="22"/>
                <w:szCs w:val="22"/>
              </w:rPr>
            </w:pPr>
            <w:r w:rsidRPr="003849B1">
              <w:rPr>
                <w:sz w:val="22"/>
                <w:szCs w:val="22"/>
              </w:rPr>
              <w:t>Moderate</w:t>
            </w:r>
          </w:p>
        </w:tc>
        <w:tc>
          <w:tcPr>
            <w:tcW w:w="0" w:type="auto"/>
            <w:tcBorders>
              <w:top w:val="nil"/>
              <w:left w:val="nil"/>
              <w:bottom w:val="single" w:sz="4" w:space="0" w:color="auto"/>
              <w:right w:val="single" w:sz="4" w:space="0" w:color="auto"/>
            </w:tcBorders>
            <w:shd w:val="clear" w:color="000000" w:fill="FFD966"/>
            <w:noWrap/>
            <w:tcMar>
              <w:top w:w="15" w:type="dxa"/>
              <w:left w:w="15" w:type="dxa"/>
              <w:bottom w:w="0" w:type="dxa"/>
              <w:right w:w="15" w:type="dxa"/>
            </w:tcMar>
            <w:vAlign w:val="bottom"/>
            <w:hideMark/>
          </w:tcPr>
          <w:p w14:paraId="2A4589E6" w14:textId="77777777" w:rsidR="003849B1" w:rsidRPr="003849B1" w:rsidRDefault="003849B1" w:rsidP="003849B1">
            <w:pPr>
              <w:widowControl/>
              <w:rPr>
                <w:b/>
                <w:bCs/>
                <w:sz w:val="22"/>
                <w:szCs w:val="22"/>
              </w:rPr>
            </w:pPr>
            <w:r w:rsidRPr="003849B1">
              <w:rPr>
                <w:b/>
                <w:bCs/>
                <w:sz w:val="22"/>
                <w:szCs w:val="22"/>
              </w:rPr>
              <w:t>High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C7F55A" w14:textId="77777777" w:rsidR="003849B1" w:rsidRPr="003849B1" w:rsidRDefault="003849B1" w:rsidP="003849B1">
            <w:pPr>
              <w:widowControl/>
              <w:rPr>
                <w:sz w:val="22"/>
                <w:szCs w:val="22"/>
              </w:rPr>
            </w:pPr>
            <w:r w:rsidRPr="003849B1">
              <w:rPr>
                <w:sz w:val="22"/>
                <w:szCs w:val="22"/>
              </w:rPr>
              <w:t>Low</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1C56E6" w14:textId="77777777" w:rsidR="003849B1" w:rsidRPr="003849B1" w:rsidRDefault="003849B1" w:rsidP="003849B1">
            <w:pPr>
              <w:widowControl/>
              <w:rPr>
                <w:sz w:val="22"/>
                <w:szCs w:val="22"/>
              </w:rPr>
            </w:pPr>
            <w:r w:rsidRPr="003849B1">
              <w:rPr>
                <w:sz w:val="22"/>
                <w:szCs w:val="22"/>
              </w:rPr>
              <w:t>Low</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6C3E8593" w14:textId="77777777" w:rsidR="003849B1" w:rsidRPr="003849B1" w:rsidRDefault="003849B1" w:rsidP="003849B1">
            <w:pPr>
              <w:widowControl/>
              <w:rPr>
                <w:sz w:val="22"/>
                <w:szCs w:val="22"/>
              </w:rPr>
            </w:pPr>
            <w:r w:rsidRPr="003849B1">
              <w:rPr>
                <w:sz w:val="22"/>
                <w:szCs w:val="22"/>
              </w:rPr>
              <w:t>Moderate</w:t>
            </w:r>
          </w:p>
        </w:tc>
      </w:tr>
      <w:tr w:rsidR="003849B1" w:rsidRPr="003849B1" w14:paraId="63085395" w14:textId="77777777" w:rsidTr="00AC7773">
        <w:trPr>
          <w:divId w:val="693920129"/>
          <w:trHeight w:val="340"/>
          <w:jc w:val="center"/>
        </w:trPr>
        <w:tc>
          <w:tcPr>
            <w:tcW w:w="1947" w:type="dxa"/>
            <w:tcBorders>
              <w:top w:val="nil"/>
              <w:left w:val="single" w:sz="8" w:space="0" w:color="auto"/>
              <w:bottom w:val="single" w:sz="8" w:space="0" w:color="auto"/>
              <w:right w:val="single" w:sz="4" w:space="0" w:color="auto"/>
            </w:tcBorders>
            <w:shd w:val="clear" w:color="000000" w:fill="auto"/>
            <w:tcMar>
              <w:top w:w="15" w:type="dxa"/>
              <w:left w:w="15" w:type="dxa"/>
              <w:bottom w:w="0" w:type="dxa"/>
              <w:right w:w="15" w:type="dxa"/>
            </w:tcMar>
            <w:vAlign w:val="bottom"/>
            <w:hideMark/>
          </w:tcPr>
          <w:p w14:paraId="0A238494" w14:textId="77777777" w:rsidR="003849B1" w:rsidRPr="003849B1" w:rsidRDefault="003849B1" w:rsidP="003849B1">
            <w:pPr>
              <w:widowControl/>
              <w:rPr>
                <w:b/>
                <w:bCs/>
                <w:sz w:val="22"/>
                <w:szCs w:val="22"/>
              </w:rPr>
            </w:pPr>
            <w:r w:rsidRPr="003849B1">
              <w:rPr>
                <w:b/>
                <w:bCs/>
                <w:sz w:val="22"/>
                <w:szCs w:val="22"/>
              </w:rPr>
              <w:t>Stock Price</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0FA1C5E2" w14:textId="77777777" w:rsidR="003849B1" w:rsidRPr="003849B1" w:rsidRDefault="003849B1" w:rsidP="003849B1">
            <w:pPr>
              <w:widowControl/>
              <w:rPr>
                <w:sz w:val="22"/>
                <w:szCs w:val="22"/>
              </w:rPr>
            </w:pPr>
            <w:r w:rsidRPr="003849B1">
              <w:rPr>
                <w:sz w:val="22"/>
                <w:szCs w:val="22"/>
              </w:rPr>
              <w:t>Low</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4C3137B5" w14:textId="77777777" w:rsidR="003849B1" w:rsidRPr="003849B1" w:rsidRDefault="003849B1" w:rsidP="003849B1">
            <w:pPr>
              <w:widowControl/>
              <w:rPr>
                <w:sz w:val="22"/>
                <w:szCs w:val="22"/>
              </w:rPr>
            </w:pPr>
            <w:r w:rsidRPr="003849B1">
              <w:rPr>
                <w:sz w:val="22"/>
                <w:szCs w:val="22"/>
              </w:rPr>
              <w:t>Moderate</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1732F4F8" w14:textId="77777777" w:rsidR="003849B1" w:rsidRPr="003849B1" w:rsidRDefault="003849B1" w:rsidP="003849B1">
            <w:pPr>
              <w:widowControl/>
              <w:rPr>
                <w:sz w:val="22"/>
                <w:szCs w:val="22"/>
              </w:rPr>
            </w:pPr>
            <w:r w:rsidRPr="003849B1">
              <w:rPr>
                <w:sz w:val="22"/>
                <w:szCs w:val="22"/>
              </w:rPr>
              <w:t>Moderate</w:t>
            </w:r>
          </w:p>
        </w:tc>
        <w:tc>
          <w:tcPr>
            <w:tcW w:w="0" w:type="auto"/>
            <w:tcBorders>
              <w:top w:val="nil"/>
              <w:left w:val="nil"/>
              <w:bottom w:val="single" w:sz="8" w:space="0" w:color="auto"/>
              <w:right w:val="single" w:sz="4" w:space="0" w:color="auto"/>
            </w:tcBorders>
            <w:shd w:val="clear" w:color="000000" w:fill="FFD966"/>
            <w:noWrap/>
            <w:tcMar>
              <w:top w:w="15" w:type="dxa"/>
              <w:left w:w="15" w:type="dxa"/>
              <w:bottom w:w="0" w:type="dxa"/>
              <w:right w:w="15" w:type="dxa"/>
            </w:tcMar>
            <w:vAlign w:val="bottom"/>
            <w:hideMark/>
          </w:tcPr>
          <w:p w14:paraId="18EC9C3F" w14:textId="77777777" w:rsidR="003849B1" w:rsidRPr="003849B1" w:rsidRDefault="003849B1" w:rsidP="003849B1">
            <w:pPr>
              <w:widowControl/>
              <w:rPr>
                <w:b/>
                <w:bCs/>
                <w:sz w:val="22"/>
                <w:szCs w:val="22"/>
              </w:rPr>
            </w:pPr>
            <w:r w:rsidRPr="003849B1">
              <w:rPr>
                <w:b/>
                <w:bCs/>
                <w:sz w:val="22"/>
                <w:szCs w:val="22"/>
              </w:rPr>
              <w:t>High</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4832E1AC" w14:textId="77777777" w:rsidR="003849B1" w:rsidRPr="003849B1" w:rsidRDefault="003849B1" w:rsidP="003849B1">
            <w:pPr>
              <w:widowControl/>
              <w:rPr>
                <w:sz w:val="22"/>
                <w:szCs w:val="22"/>
              </w:rPr>
            </w:pPr>
            <w:r w:rsidRPr="003849B1">
              <w:rPr>
                <w:sz w:val="22"/>
                <w:szCs w:val="22"/>
              </w:rPr>
              <w:t>Moderate</w:t>
            </w:r>
          </w:p>
        </w:tc>
      </w:tr>
    </w:tbl>
    <w:p w14:paraId="517B5BA3" w14:textId="77777777" w:rsidR="00B21297" w:rsidRDefault="00B21297">
      <w:pPr>
        <w:ind w:firstLine="360"/>
        <w:jc w:val="both"/>
        <w:rPr>
          <w:sz w:val="20"/>
          <w:szCs w:val="20"/>
        </w:rPr>
      </w:pPr>
    </w:p>
    <w:p w14:paraId="04775442" w14:textId="00AF7B10" w:rsidR="00F2396B" w:rsidRPr="002601CC" w:rsidRDefault="002601CC" w:rsidP="002601CC">
      <w:pPr>
        <w:tabs>
          <w:tab w:val="left" w:pos="4104"/>
        </w:tabs>
        <w:ind w:firstLine="360"/>
        <w:jc w:val="both"/>
        <w:rPr>
          <w:b/>
          <w:sz w:val="20"/>
          <w:szCs w:val="20"/>
        </w:rPr>
      </w:pPr>
      <w:r>
        <w:rPr>
          <w:sz w:val="20"/>
          <w:szCs w:val="20"/>
        </w:rPr>
        <w:tab/>
        <w:t xml:space="preserve">       </w:t>
      </w:r>
      <w:bookmarkStart w:id="4" w:name="_GoBack"/>
      <w:r w:rsidRPr="002601CC">
        <w:rPr>
          <w:b/>
          <w:sz w:val="20"/>
          <w:szCs w:val="20"/>
        </w:rPr>
        <w:t>Table 8</w:t>
      </w:r>
      <w:bookmarkEnd w:id="4"/>
    </w:p>
    <w:p w14:paraId="70E82BDC" w14:textId="77777777" w:rsidR="00F2396B" w:rsidRDefault="001A703C">
      <w:pPr>
        <w:jc w:val="both"/>
        <w:rPr>
          <w:sz w:val="20"/>
          <w:szCs w:val="20"/>
        </w:rPr>
      </w:pPr>
      <w:r>
        <w:rPr>
          <w:sz w:val="20"/>
          <w:szCs w:val="20"/>
        </w:rPr>
        <w:lastRenderedPageBreak/>
        <w:t>References:</w:t>
      </w:r>
    </w:p>
    <w:p w14:paraId="15E7867E" w14:textId="77777777" w:rsidR="001A703C" w:rsidRDefault="001A703C">
      <w:pPr>
        <w:jc w:val="both"/>
        <w:rPr>
          <w:sz w:val="20"/>
          <w:szCs w:val="20"/>
        </w:rPr>
      </w:pPr>
    </w:p>
    <w:p w14:paraId="6E1F5514" w14:textId="77777777" w:rsidR="001A703C" w:rsidRDefault="00E90219" w:rsidP="001A703C">
      <w:pPr>
        <w:pStyle w:val="ListParagraph"/>
        <w:numPr>
          <w:ilvl w:val="0"/>
          <w:numId w:val="7"/>
        </w:numPr>
        <w:jc w:val="both"/>
        <w:rPr>
          <w:sz w:val="20"/>
          <w:szCs w:val="20"/>
        </w:rPr>
      </w:pPr>
      <w:r>
        <w:rPr>
          <w:sz w:val="20"/>
          <w:szCs w:val="20"/>
        </w:rPr>
        <w:t>Marketwatch</w:t>
      </w:r>
      <w:r w:rsidR="001A703C">
        <w:rPr>
          <w:sz w:val="20"/>
          <w:szCs w:val="20"/>
        </w:rPr>
        <w:t>.com</w:t>
      </w:r>
    </w:p>
    <w:p w14:paraId="430FE124" w14:textId="77777777" w:rsidR="001A703C" w:rsidRDefault="001A703C" w:rsidP="001A703C">
      <w:pPr>
        <w:pStyle w:val="ListParagraph"/>
        <w:numPr>
          <w:ilvl w:val="0"/>
          <w:numId w:val="7"/>
        </w:numPr>
        <w:jc w:val="both"/>
        <w:rPr>
          <w:sz w:val="20"/>
          <w:szCs w:val="20"/>
        </w:rPr>
      </w:pPr>
      <w:r>
        <w:rPr>
          <w:sz w:val="20"/>
          <w:szCs w:val="20"/>
        </w:rPr>
        <w:t>Morningstar.com</w:t>
      </w:r>
    </w:p>
    <w:p w14:paraId="533D0C1A" w14:textId="77777777" w:rsidR="001A703C" w:rsidRDefault="00E90219" w:rsidP="001A703C">
      <w:pPr>
        <w:pStyle w:val="ListParagraph"/>
        <w:numPr>
          <w:ilvl w:val="0"/>
          <w:numId w:val="7"/>
        </w:numPr>
        <w:jc w:val="both"/>
        <w:rPr>
          <w:sz w:val="20"/>
          <w:szCs w:val="20"/>
        </w:rPr>
      </w:pPr>
      <w:r>
        <w:rPr>
          <w:sz w:val="20"/>
          <w:szCs w:val="20"/>
        </w:rPr>
        <w:t>Gap.com</w:t>
      </w:r>
    </w:p>
    <w:p w14:paraId="68061C1B" w14:textId="77777777" w:rsidR="00E90219" w:rsidRDefault="00752547" w:rsidP="001A703C">
      <w:pPr>
        <w:pStyle w:val="ListParagraph"/>
        <w:numPr>
          <w:ilvl w:val="0"/>
          <w:numId w:val="7"/>
        </w:numPr>
        <w:jc w:val="both"/>
        <w:rPr>
          <w:sz w:val="20"/>
          <w:szCs w:val="20"/>
        </w:rPr>
      </w:pPr>
      <w:hyperlink r:id="rId16" w:history="1">
        <w:r w:rsidR="00E90219" w:rsidRPr="00E90219">
          <w:rPr>
            <w:sz w:val="20"/>
            <w:szCs w:val="20"/>
          </w:rPr>
          <w:t>underarmour.com</w:t>
        </w:r>
      </w:hyperlink>
    </w:p>
    <w:p w14:paraId="4D712FC5" w14:textId="77777777" w:rsidR="00E90219" w:rsidRDefault="00E90219" w:rsidP="001A703C">
      <w:pPr>
        <w:pStyle w:val="ListParagraph"/>
        <w:numPr>
          <w:ilvl w:val="0"/>
          <w:numId w:val="7"/>
        </w:numPr>
        <w:jc w:val="both"/>
        <w:rPr>
          <w:sz w:val="20"/>
          <w:szCs w:val="20"/>
        </w:rPr>
      </w:pPr>
      <w:r>
        <w:rPr>
          <w:sz w:val="20"/>
          <w:szCs w:val="20"/>
        </w:rPr>
        <w:t>ae.com</w:t>
      </w:r>
    </w:p>
    <w:p w14:paraId="0A426AFE" w14:textId="77777777" w:rsidR="00E90219" w:rsidRDefault="00E90219" w:rsidP="001A703C">
      <w:pPr>
        <w:pStyle w:val="ListParagraph"/>
        <w:numPr>
          <w:ilvl w:val="0"/>
          <w:numId w:val="7"/>
        </w:numPr>
        <w:jc w:val="both"/>
        <w:rPr>
          <w:sz w:val="20"/>
          <w:szCs w:val="20"/>
        </w:rPr>
      </w:pPr>
      <w:r>
        <w:rPr>
          <w:sz w:val="20"/>
          <w:szCs w:val="20"/>
        </w:rPr>
        <w:t>ralphlauren.com</w:t>
      </w:r>
    </w:p>
    <w:p w14:paraId="310F3E42" w14:textId="77777777" w:rsidR="00E90219" w:rsidRDefault="00E90219" w:rsidP="001A703C">
      <w:pPr>
        <w:pStyle w:val="ListParagraph"/>
        <w:numPr>
          <w:ilvl w:val="0"/>
          <w:numId w:val="7"/>
        </w:numPr>
        <w:jc w:val="both"/>
        <w:rPr>
          <w:sz w:val="20"/>
          <w:szCs w:val="20"/>
        </w:rPr>
      </w:pPr>
      <w:r>
        <w:rPr>
          <w:sz w:val="20"/>
          <w:szCs w:val="20"/>
        </w:rPr>
        <w:t>pvh.com</w:t>
      </w:r>
    </w:p>
    <w:p w14:paraId="30D4355B" w14:textId="77777777" w:rsidR="00E90219" w:rsidRDefault="00E90219" w:rsidP="001A703C">
      <w:pPr>
        <w:pStyle w:val="ListParagraph"/>
        <w:numPr>
          <w:ilvl w:val="0"/>
          <w:numId w:val="7"/>
        </w:numPr>
        <w:jc w:val="both"/>
        <w:rPr>
          <w:sz w:val="20"/>
          <w:szCs w:val="20"/>
        </w:rPr>
      </w:pPr>
      <w:r>
        <w:rPr>
          <w:sz w:val="20"/>
          <w:szCs w:val="20"/>
        </w:rPr>
        <w:t>finance.yahoo.com</w:t>
      </w:r>
    </w:p>
    <w:p w14:paraId="580FB38E" w14:textId="77777777" w:rsidR="00F266CB" w:rsidRDefault="00F266CB" w:rsidP="001A703C">
      <w:pPr>
        <w:pStyle w:val="ListParagraph"/>
        <w:numPr>
          <w:ilvl w:val="0"/>
          <w:numId w:val="7"/>
        </w:numPr>
        <w:jc w:val="both"/>
        <w:rPr>
          <w:sz w:val="20"/>
          <w:szCs w:val="20"/>
        </w:rPr>
      </w:pPr>
      <w:r w:rsidRPr="00F266CB">
        <w:rPr>
          <w:sz w:val="20"/>
          <w:szCs w:val="20"/>
        </w:rPr>
        <w:t>statista.com</w:t>
      </w:r>
    </w:p>
    <w:p w14:paraId="3AFD718E" w14:textId="77777777" w:rsidR="005313BD" w:rsidRDefault="005313BD" w:rsidP="005313BD">
      <w:pPr>
        <w:ind w:left="360"/>
        <w:jc w:val="both"/>
        <w:rPr>
          <w:sz w:val="20"/>
          <w:szCs w:val="20"/>
        </w:rPr>
      </w:pPr>
    </w:p>
    <w:p w14:paraId="719CB31B" w14:textId="77777777" w:rsidR="005313BD" w:rsidRPr="005313BD" w:rsidRDefault="005313BD" w:rsidP="005313BD">
      <w:pPr>
        <w:rPr>
          <w:rFonts w:ascii="Helvetica" w:hAnsi="Helvetica"/>
          <w:bCs/>
          <w:color w:val="000000" w:themeColor="text1"/>
          <w:sz w:val="21"/>
          <w:szCs w:val="21"/>
          <w:shd w:val="clear" w:color="auto" w:fill="FFFFFF"/>
        </w:rPr>
      </w:pPr>
      <w:r w:rsidRPr="00A80ACE">
        <w:rPr>
          <w:rFonts w:ascii="Helvetica" w:hAnsi="Helvetica"/>
          <w:bCs/>
          <w:color w:val="000000" w:themeColor="text1"/>
          <w:sz w:val="21"/>
          <w:szCs w:val="21"/>
          <w:shd w:val="clear" w:color="auto" w:fill="FFFFFF"/>
        </w:rPr>
        <w:t>Ralph Lauren Corp. Cl A. (</w:t>
      </w:r>
      <w:proofErr w:type="spellStart"/>
      <w:r w:rsidRPr="00A80ACE">
        <w:rPr>
          <w:rFonts w:ascii="Helvetica" w:hAnsi="Helvetica"/>
          <w:bCs/>
          <w:color w:val="000000" w:themeColor="text1"/>
          <w:sz w:val="21"/>
          <w:szCs w:val="21"/>
          <w:shd w:val="clear" w:color="auto" w:fill="FFFFFF"/>
        </w:rPr>
        <w:t>n.d.</w:t>
      </w:r>
      <w:proofErr w:type="spellEnd"/>
      <w:r w:rsidRPr="00A80ACE">
        <w:rPr>
          <w:rFonts w:ascii="Helvetica" w:hAnsi="Helvetica"/>
          <w:bCs/>
          <w:color w:val="000000" w:themeColor="text1"/>
          <w:sz w:val="21"/>
          <w:szCs w:val="21"/>
          <w:shd w:val="clear" w:color="auto" w:fill="FFFFFF"/>
        </w:rPr>
        <w:t xml:space="preserve">). Retrieved May 16, 2017, from </w:t>
      </w:r>
      <w:hyperlink r:id="rId17" w:history="1">
        <w:r w:rsidRPr="005313BD">
          <w:rPr>
            <w:rStyle w:val="Hyperlink"/>
            <w:rFonts w:ascii="Helvetica" w:hAnsi="Helvetica"/>
            <w:bCs/>
            <w:color w:val="000000" w:themeColor="text1"/>
            <w:sz w:val="21"/>
            <w:szCs w:val="21"/>
            <w:u w:val="none"/>
            <w:shd w:val="clear" w:color="auto" w:fill="FFFFFF"/>
          </w:rPr>
          <w:t>http://www.marketwatch.com/investing/stock/rl/financials</w:t>
        </w:r>
      </w:hyperlink>
    </w:p>
    <w:p w14:paraId="2390029B" w14:textId="77777777" w:rsidR="005313BD" w:rsidRPr="005313BD" w:rsidRDefault="005313BD" w:rsidP="005313BD"/>
    <w:p w14:paraId="66C0A815" w14:textId="77777777" w:rsidR="005313BD" w:rsidRPr="009929F2" w:rsidRDefault="005313BD" w:rsidP="005313BD">
      <w:r w:rsidRPr="009929F2">
        <w:rPr>
          <w:rFonts w:ascii="Helvetica" w:hAnsi="Helvetica"/>
          <w:bCs/>
          <w:color w:val="333333"/>
          <w:sz w:val="21"/>
          <w:szCs w:val="21"/>
          <w:shd w:val="clear" w:color="auto" w:fill="FFFFFF"/>
        </w:rPr>
        <w:t xml:space="preserve">Bourne, L. (2017, January 20). Ralph Lauren Is Already Receiving Major Backlash for Dressing </w:t>
      </w:r>
      <w:proofErr w:type="spellStart"/>
      <w:r w:rsidRPr="009929F2">
        <w:rPr>
          <w:rFonts w:ascii="Helvetica" w:hAnsi="Helvetica"/>
          <w:bCs/>
          <w:color w:val="333333"/>
          <w:sz w:val="21"/>
          <w:szCs w:val="21"/>
          <w:shd w:val="clear" w:color="auto" w:fill="FFFFFF"/>
        </w:rPr>
        <w:t>Melania</w:t>
      </w:r>
      <w:proofErr w:type="spellEnd"/>
      <w:r w:rsidRPr="009929F2">
        <w:rPr>
          <w:rFonts w:ascii="Helvetica" w:hAnsi="Helvetica"/>
          <w:bCs/>
          <w:color w:val="333333"/>
          <w:sz w:val="21"/>
          <w:szCs w:val="21"/>
          <w:shd w:val="clear" w:color="auto" w:fill="FFFFFF"/>
        </w:rPr>
        <w:t xml:space="preserve"> Trump. Retrieved May 16, 2017, from http://www.glamour.com/story/ralph-lauren-receiving-backlash-for-dressing-melania-trump</w:t>
      </w:r>
    </w:p>
    <w:p w14:paraId="07FD1B2E" w14:textId="77777777" w:rsidR="005313BD" w:rsidRPr="005313BD" w:rsidRDefault="005313BD" w:rsidP="005313BD"/>
    <w:p w14:paraId="14085642" w14:textId="77777777" w:rsidR="005313BD" w:rsidRPr="009929F2" w:rsidRDefault="005313BD" w:rsidP="005313BD">
      <w:proofErr w:type="spellStart"/>
      <w:r w:rsidRPr="009929F2">
        <w:rPr>
          <w:rFonts w:ascii="Helvetica" w:hAnsi="Helvetica"/>
          <w:bCs/>
          <w:color w:val="333333"/>
          <w:sz w:val="21"/>
          <w:szCs w:val="21"/>
          <w:shd w:val="clear" w:color="auto" w:fill="FFFFFF"/>
        </w:rPr>
        <w:t>Wahba</w:t>
      </w:r>
      <w:proofErr w:type="spellEnd"/>
      <w:r w:rsidRPr="009929F2">
        <w:rPr>
          <w:rFonts w:ascii="Helvetica" w:hAnsi="Helvetica"/>
          <w:bCs/>
          <w:color w:val="333333"/>
          <w:sz w:val="21"/>
          <w:szCs w:val="21"/>
          <w:shd w:val="clear" w:color="auto" w:fill="FFFFFF"/>
        </w:rPr>
        <w:t>, P. (2016, June 08). Macy's problems are taking a massive toll on Ralph Lauren. Retrieved May 16, 2017, from http://fortune.com/2016/06/08/ralph-lauren-macys/</w:t>
      </w:r>
    </w:p>
    <w:p w14:paraId="1EE1CB57" w14:textId="77777777" w:rsidR="005313BD" w:rsidRPr="00A80ACE" w:rsidRDefault="005313BD" w:rsidP="005313BD"/>
    <w:p w14:paraId="57428645" w14:textId="77777777" w:rsidR="005313BD" w:rsidRPr="005067B8" w:rsidRDefault="005313BD" w:rsidP="005313BD">
      <w:r w:rsidRPr="005067B8">
        <w:rPr>
          <w:rFonts w:ascii="Helvetica" w:hAnsi="Helvetica"/>
          <w:bCs/>
          <w:color w:val="333333"/>
          <w:sz w:val="21"/>
          <w:szCs w:val="21"/>
          <w:shd w:val="clear" w:color="auto" w:fill="FFFFFF"/>
        </w:rPr>
        <w:t>Ralph Lauren: Shop Clothing for Men, Women, Children &amp; Babies. (</w:t>
      </w:r>
      <w:proofErr w:type="spellStart"/>
      <w:r w:rsidRPr="005067B8">
        <w:rPr>
          <w:rFonts w:ascii="Helvetica" w:hAnsi="Helvetica"/>
          <w:bCs/>
          <w:color w:val="333333"/>
          <w:sz w:val="21"/>
          <w:szCs w:val="21"/>
          <w:shd w:val="clear" w:color="auto" w:fill="FFFFFF"/>
        </w:rPr>
        <w:t>n.d.</w:t>
      </w:r>
      <w:proofErr w:type="spellEnd"/>
      <w:r w:rsidRPr="005067B8">
        <w:rPr>
          <w:rFonts w:ascii="Helvetica" w:hAnsi="Helvetica"/>
          <w:bCs/>
          <w:color w:val="333333"/>
          <w:sz w:val="21"/>
          <w:szCs w:val="21"/>
          <w:shd w:val="clear" w:color="auto" w:fill="FFFFFF"/>
        </w:rPr>
        <w:t>). Retrieved May 16, 2017, from http://www.ralphlauren.com/</w:t>
      </w:r>
    </w:p>
    <w:p w14:paraId="3EDAF959" w14:textId="77777777" w:rsidR="005313BD" w:rsidRPr="005313BD" w:rsidRDefault="005313BD" w:rsidP="005313BD">
      <w:pPr>
        <w:ind w:left="360"/>
        <w:jc w:val="both"/>
        <w:rPr>
          <w:sz w:val="20"/>
          <w:szCs w:val="20"/>
        </w:rPr>
      </w:pPr>
    </w:p>
    <w:sectPr w:rsidR="005313BD" w:rsidRPr="005313BD">
      <w:type w:val="continuous"/>
      <w:pgSz w:w="12240" w:h="15840"/>
      <w:pgMar w:top="1440" w:right="720" w:bottom="720" w:left="72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4E14F3" w14:textId="77777777" w:rsidR="00752547" w:rsidRDefault="00752547">
      <w:r>
        <w:separator/>
      </w:r>
    </w:p>
  </w:endnote>
  <w:endnote w:type="continuationSeparator" w:id="0">
    <w:p w14:paraId="316E2992" w14:textId="77777777" w:rsidR="00752547" w:rsidRDefault="00752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69FAD" w14:textId="77777777" w:rsidR="00F2396B" w:rsidRDefault="00F2396B">
    <w:pPr>
      <w:tabs>
        <w:tab w:val="left" w:pos="8178"/>
        <w:tab w:val="right" w:pos="10800"/>
      </w:tabs>
      <w:spacing w:after="144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F59AA1" w14:textId="77777777" w:rsidR="00752547" w:rsidRDefault="00752547">
      <w:r>
        <w:separator/>
      </w:r>
    </w:p>
  </w:footnote>
  <w:footnote w:type="continuationSeparator" w:id="0">
    <w:p w14:paraId="0A6C7A39" w14:textId="77777777" w:rsidR="00752547" w:rsidRDefault="00752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CEE63" w14:textId="616330FD" w:rsidR="00F2396B" w:rsidRDefault="00702746">
    <w:pPr>
      <w:tabs>
        <w:tab w:val="right" w:pos="10800"/>
      </w:tabs>
      <w:spacing w:before="720"/>
      <w:rPr>
        <w:sz w:val="16"/>
        <w:szCs w:val="16"/>
      </w:rPr>
    </w:pPr>
    <w:r>
      <w:rPr>
        <w:sz w:val="16"/>
        <w:szCs w:val="16"/>
      </w:rPr>
      <w:t xml:space="preserve">PROCEEDINGS of the FINANCIAL METHODS ENGINEERING ISE 200 SPRING 2017 COURSE </w:t>
    </w:r>
    <w:r>
      <w:rPr>
        <w:i/>
        <w:sz w:val="16"/>
        <w:szCs w:val="16"/>
      </w:rPr>
      <w:tab/>
      <w:t xml:space="preserve">Page </w:t>
    </w:r>
    <w:r>
      <w:rPr>
        <w:i/>
        <w:sz w:val="16"/>
        <w:szCs w:val="16"/>
      </w:rPr>
      <w:fldChar w:fldCharType="begin"/>
    </w:r>
    <w:r>
      <w:rPr>
        <w:i/>
        <w:sz w:val="16"/>
        <w:szCs w:val="16"/>
      </w:rPr>
      <w:instrText>PAGE</w:instrText>
    </w:r>
    <w:r>
      <w:rPr>
        <w:i/>
        <w:sz w:val="16"/>
        <w:szCs w:val="16"/>
      </w:rPr>
      <w:fldChar w:fldCharType="separate"/>
    </w:r>
    <w:r w:rsidR="002601CC">
      <w:rPr>
        <w:i/>
        <w:noProof/>
        <w:sz w:val="16"/>
        <w:szCs w:val="16"/>
      </w:rPr>
      <w:t>8</w:t>
    </w:r>
    <w:r>
      <w:rPr>
        <w:i/>
        <w:sz w:val="16"/>
        <w:szCs w:val="16"/>
      </w:rPr>
      <w:fldChar w:fldCharType="end"/>
    </w:r>
    <w:r>
      <w:rPr>
        <w:i/>
        <w:sz w:val="16"/>
        <w:szCs w:val="16"/>
      </w:rPr>
      <w:t xml:space="preserve"> of </w:t>
    </w:r>
    <w:r>
      <w:rPr>
        <w:i/>
        <w:sz w:val="16"/>
        <w:szCs w:val="16"/>
      </w:rPr>
      <w:fldChar w:fldCharType="begin"/>
    </w:r>
    <w:r>
      <w:rPr>
        <w:i/>
        <w:sz w:val="16"/>
        <w:szCs w:val="16"/>
      </w:rPr>
      <w:instrText>NUMPAGES</w:instrText>
    </w:r>
    <w:r>
      <w:rPr>
        <w:i/>
        <w:sz w:val="16"/>
        <w:szCs w:val="16"/>
      </w:rPr>
      <w:fldChar w:fldCharType="separate"/>
    </w:r>
    <w:r w:rsidR="002601CC">
      <w:rPr>
        <w:i/>
        <w:noProof/>
        <w:sz w:val="16"/>
        <w:szCs w:val="16"/>
      </w:rPr>
      <w:t>8</w:t>
    </w:r>
    <w:r>
      <w:rPr>
        <w:i/>
        <w:sz w:val="16"/>
        <w:szCs w:val="16"/>
      </w:rPr>
      <w:fldChar w:fldCharType="end"/>
    </w:r>
  </w:p>
  <w:p w14:paraId="1FE2079C" w14:textId="77777777" w:rsidR="00F2396B" w:rsidRDefault="00F2396B">
    <w:pPr>
      <w:ind w:left="720" w:hanging="720"/>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32EF9"/>
    <w:multiLevelType w:val="multilevel"/>
    <w:tmpl w:val="5FFCA170"/>
    <w:lvl w:ilvl="0">
      <w:start w:val="1"/>
      <w:numFmt w:val="bullet"/>
      <w:lvlText w:val="●"/>
      <w:lvlJc w:val="left"/>
      <w:pPr>
        <w:ind w:left="1080" w:firstLine="1800"/>
      </w:pPr>
      <w:rPr>
        <w:rFonts w:ascii="Arial" w:eastAsia="Arial" w:hAnsi="Arial" w:cs="Arial"/>
      </w:rPr>
    </w:lvl>
    <w:lvl w:ilvl="1">
      <w:start w:val="1"/>
      <w:numFmt w:val="bullet"/>
      <w:lvlText w:val="o"/>
      <w:lvlJc w:val="left"/>
      <w:pPr>
        <w:ind w:left="1800" w:firstLine="3240"/>
      </w:pPr>
      <w:rPr>
        <w:rFonts w:ascii="Arial" w:eastAsia="Arial" w:hAnsi="Arial" w:cs="Arial"/>
      </w:rPr>
    </w:lvl>
    <w:lvl w:ilvl="2">
      <w:start w:val="1"/>
      <w:numFmt w:val="bullet"/>
      <w:lvlText w:val="▪"/>
      <w:lvlJc w:val="left"/>
      <w:pPr>
        <w:ind w:left="2520" w:firstLine="4680"/>
      </w:pPr>
      <w:rPr>
        <w:rFonts w:ascii="Arial" w:eastAsia="Arial" w:hAnsi="Arial" w:cs="Arial"/>
      </w:rPr>
    </w:lvl>
    <w:lvl w:ilvl="3">
      <w:start w:val="1"/>
      <w:numFmt w:val="bullet"/>
      <w:lvlText w:val="●"/>
      <w:lvlJc w:val="left"/>
      <w:pPr>
        <w:ind w:left="3240" w:firstLine="6120"/>
      </w:pPr>
      <w:rPr>
        <w:rFonts w:ascii="Arial" w:eastAsia="Arial" w:hAnsi="Arial" w:cs="Arial"/>
      </w:rPr>
    </w:lvl>
    <w:lvl w:ilvl="4">
      <w:start w:val="1"/>
      <w:numFmt w:val="bullet"/>
      <w:lvlText w:val="o"/>
      <w:lvlJc w:val="left"/>
      <w:pPr>
        <w:ind w:left="3960" w:firstLine="7560"/>
      </w:pPr>
      <w:rPr>
        <w:rFonts w:ascii="Arial" w:eastAsia="Arial" w:hAnsi="Arial" w:cs="Arial"/>
      </w:rPr>
    </w:lvl>
    <w:lvl w:ilvl="5">
      <w:start w:val="1"/>
      <w:numFmt w:val="bullet"/>
      <w:lvlText w:val="▪"/>
      <w:lvlJc w:val="left"/>
      <w:pPr>
        <w:ind w:left="4680" w:firstLine="9000"/>
      </w:pPr>
      <w:rPr>
        <w:rFonts w:ascii="Arial" w:eastAsia="Arial" w:hAnsi="Arial" w:cs="Arial"/>
      </w:rPr>
    </w:lvl>
    <w:lvl w:ilvl="6">
      <w:start w:val="1"/>
      <w:numFmt w:val="bullet"/>
      <w:lvlText w:val="●"/>
      <w:lvlJc w:val="left"/>
      <w:pPr>
        <w:ind w:left="5400" w:firstLine="10440"/>
      </w:pPr>
      <w:rPr>
        <w:rFonts w:ascii="Arial" w:eastAsia="Arial" w:hAnsi="Arial" w:cs="Arial"/>
      </w:rPr>
    </w:lvl>
    <w:lvl w:ilvl="7">
      <w:start w:val="1"/>
      <w:numFmt w:val="bullet"/>
      <w:lvlText w:val="o"/>
      <w:lvlJc w:val="left"/>
      <w:pPr>
        <w:ind w:left="6120" w:firstLine="11880"/>
      </w:pPr>
      <w:rPr>
        <w:rFonts w:ascii="Arial" w:eastAsia="Arial" w:hAnsi="Arial" w:cs="Arial"/>
      </w:rPr>
    </w:lvl>
    <w:lvl w:ilvl="8">
      <w:start w:val="1"/>
      <w:numFmt w:val="bullet"/>
      <w:lvlText w:val="▪"/>
      <w:lvlJc w:val="left"/>
      <w:pPr>
        <w:ind w:left="6840" w:firstLine="13320"/>
      </w:pPr>
      <w:rPr>
        <w:rFonts w:ascii="Arial" w:eastAsia="Arial" w:hAnsi="Arial" w:cs="Arial"/>
      </w:rPr>
    </w:lvl>
  </w:abstractNum>
  <w:abstractNum w:abstractNumId="1" w15:restartNumberingAfterBreak="0">
    <w:nsid w:val="28B8444E"/>
    <w:multiLevelType w:val="hybridMultilevel"/>
    <w:tmpl w:val="414A2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008F9"/>
    <w:multiLevelType w:val="multilevel"/>
    <w:tmpl w:val="CD54A4A8"/>
    <w:lvl w:ilvl="0">
      <w:start w:val="1"/>
      <w:numFmt w:val="bullet"/>
      <w:lvlText w:val="●"/>
      <w:lvlJc w:val="left"/>
      <w:pPr>
        <w:ind w:left="1080" w:firstLine="1800"/>
      </w:pPr>
      <w:rPr>
        <w:rFonts w:ascii="Arial" w:eastAsia="Arial" w:hAnsi="Arial" w:cs="Arial"/>
      </w:rPr>
    </w:lvl>
    <w:lvl w:ilvl="1">
      <w:start w:val="1"/>
      <w:numFmt w:val="bullet"/>
      <w:lvlText w:val="o"/>
      <w:lvlJc w:val="left"/>
      <w:pPr>
        <w:ind w:left="1800" w:firstLine="3240"/>
      </w:pPr>
      <w:rPr>
        <w:rFonts w:ascii="Arial" w:eastAsia="Arial" w:hAnsi="Arial" w:cs="Arial"/>
      </w:rPr>
    </w:lvl>
    <w:lvl w:ilvl="2">
      <w:start w:val="1"/>
      <w:numFmt w:val="bullet"/>
      <w:lvlText w:val="▪"/>
      <w:lvlJc w:val="left"/>
      <w:pPr>
        <w:ind w:left="2520" w:firstLine="4680"/>
      </w:pPr>
      <w:rPr>
        <w:rFonts w:ascii="Arial" w:eastAsia="Arial" w:hAnsi="Arial" w:cs="Arial"/>
      </w:rPr>
    </w:lvl>
    <w:lvl w:ilvl="3">
      <w:start w:val="1"/>
      <w:numFmt w:val="bullet"/>
      <w:lvlText w:val="●"/>
      <w:lvlJc w:val="left"/>
      <w:pPr>
        <w:ind w:left="3240" w:firstLine="6120"/>
      </w:pPr>
      <w:rPr>
        <w:rFonts w:ascii="Arial" w:eastAsia="Arial" w:hAnsi="Arial" w:cs="Arial"/>
      </w:rPr>
    </w:lvl>
    <w:lvl w:ilvl="4">
      <w:start w:val="1"/>
      <w:numFmt w:val="bullet"/>
      <w:lvlText w:val="o"/>
      <w:lvlJc w:val="left"/>
      <w:pPr>
        <w:ind w:left="3960" w:firstLine="7560"/>
      </w:pPr>
      <w:rPr>
        <w:rFonts w:ascii="Arial" w:eastAsia="Arial" w:hAnsi="Arial" w:cs="Arial"/>
      </w:rPr>
    </w:lvl>
    <w:lvl w:ilvl="5">
      <w:start w:val="1"/>
      <w:numFmt w:val="bullet"/>
      <w:lvlText w:val="▪"/>
      <w:lvlJc w:val="left"/>
      <w:pPr>
        <w:ind w:left="4680" w:firstLine="9000"/>
      </w:pPr>
      <w:rPr>
        <w:rFonts w:ascii="Arial" w:eastAsia="Arial" w:hAnsi="Arial" w:cs="Arial"/>
      </w:rPr>
    </w:lvl>
    <w:lvl w:ilvl="6">
      <w:start w:val="1"/>
      <w:numFmt w:val="bullet"/>
      <w:lvlText w:val="●"/>
      <w:lvlJc w:val="left"/>
      <w:pPr>
        <w:ind w:left="5400" w:firstLine="10440"/>
      </w:pPr>
      <w:rPr>
        <w:rFonts w:ascii="Arial" w:eastAsia="Arial" w:hAnsi="Arial" w:cs="Arial"/>
      </w:rPr>
    </w:lvl>
    <w:lvl w:ilvl="7">
      <w:start w:val="1"/>
      <w:numFmt w:val="bullet"/>
      <w:lvlText w:val="o"/>
      <w:lvlJc w:val="left"/>
      <w:pPr>
        <w:ind w:left="6120" w:firstLine="11880"/>
      </w:pPr>
      <w:rPr>
        <w:rFonts w:ascii="Arial" w:eastAsia="Arial" w:hAnsi="Arial" w:cs="Arial"/>
      </w:rPr>
    </w:lvl>
    <w:lvl w:ilvl="8">
      <w:start w:val="1"/>
      <w:numFmt w:val="bullet"/>
      <w:lvlText w:val="▪"/>
      <w:lvlJc w:val="left"/>
      <w:pPr>
        <w:ind w:left="6840" w:firstLine="13320"/>
      </w:pPr>
      <w:rPr>
        <w:rFonts w:ascii="Arial" w:eastAsia="Arial" w:hAnsi="Arial" w:cs="Arial"/>
      </w:rPr>
    </w:lvl>
  </w:abstractNum>
  <w:abstractNum w:abstractNumId="3" w15:restartNumberingAfterBreak="0">
    <w:nsid w:val="51445E6D"/>
    <w:multiLevelType w:val="multilevel"/>
    <w:tmpl w:val="940C33FA"/>
    <w:lvl w:ilvl="0">
      <w:start w:val="1"/>
      <w:numFmt w:val="bullet"/>
      <w:lvlText w:val="●"/>
      <w:lvlJc w:val="left"/>
      <w:pPr>
        <w:ind w:left="1080" w:firstLine="1800"/>
      </w:pPr>
      <w:rPr>
        <w:rFonts w:ascii="Arial" w:eastAsia="Arial" w:hAnsi="Arial" w:cs="Arial"/>
      </w:rPr>
    </w:lvl>
    <w:lvl w:ilvl="1">
      <w:start w:val="1"/>
      <w:numFmt w:val="bullet"/>
      <w:lvlText w:val="o"/>
      <w:lvlJc w:val="left"/>
      <w:pPr>
        <w:ind w:left="1800" w:firstLine="3240"/>
      </w:pPr>
      <w:rPr>
        <w:rFonts w:ascii="Arial" w:eastAsia="Arial" w:hAnsi="Arial" w:cs="Arial"/>
      </w:rPr>
    </w:lvl>
    <w:lvl w:ilvl="2">
      <w:start w:val="1"/>
      <w:numFmt w:val="bullet"/>
      <w:lvlText w:val="▪"/>
      <w:lvlJc w:val="left"/>
      <w:pPr>
        <w:ind w:left="2520" w:firstLine="4680"/>
      </w:pPr>
      <w:rPr>
        <w:rFonts w:ascii="Arial" w:eastAsia="Arial" w:hAnsi="Arial" w:cs="Arial"/>
      </w:rPr>
    </w:lvl>
    <w:lvl w:ilvl="3">
      <w:start w:val="1"/>
      <w:numFmt w:val="bullet"/>
      <w:lvlText w:val="●"/>
      <w:lvlJc w:val="left"/>
      <w:pPr>
        <w:ind w:left="3240" w:firstLine="6120"/>
      </w:pPr>
      <w:rPr>
        <w:rFonts w:ascii="Arial" w:eastAsia="Arial" w:hAnsi="Arial" w:cs="Arial"/>
      </w:rPr>
    </w:lvl>
    <w:lvl w:ilvl="4">
      <w:start w:val="1"/>
      <w:numFmt w:val="bullet"/>
      <w:lvlText w:val="o"/>
      <w:lvlJc w:val="left"/>
      <w:pPr>
        <w:ind w:left="3960" w:firstLine="7560"/>
      </w:pPr>
      <w:rPr>
        <w:rFonts w:ascii="Arial" w:eastAsia="Arial" w:hAnsi="Arial" w:cs="Arial"/>
      </w:rPr>
    </w:lvl>
    <w:lvl w:ilvl="5">
      <w:start w:val="1"/>
      <w:numFmt w:val="bullet"/>
      <w:lvlText w:val="▪"/>
      <w:lvlJc w:val="left"/>
      <w:pPr>
        <w:ind w:left="4680" w:firstLine="9000"/>
      </w:pPr>
      <w:rPr>
        <w:rFonts w:ascii="Arial" w:eastAsia="Arial" w:hAnsi="Arial" w:cs="Arial"/>
      </w:rPr>
    </w:lvl>
    <w:lvl w:ilvl="6">
      <w:start w:val="1"/>
      <w:numFmt w:val="bullet"/>
      <w:lvlText w:val="●"/>
      <w:lvlJc w:val="left"/>
      <w:pPr>
        <w:ind w:left="5400" w:firstLine="10440"/>
      </w:pPr>
      <w:rPr>
        <w:rFonts w:ascii="Arial" w:eastAsia="Arial" w:hAnsi="Arial" w:cs="Arial"/>
      </w:rPr>
    </w:lvl>
    <w:lvl w:ilvl="7">
      <w:start w:val="1"/>
      <w:numFmt w:val="bullet"/>
      <w:lvlText w:val="o"/>
      <w:lvlJc w:val="left"/>
      <w:pPr>
        <w:ind w:left="6120" w:firstLine="11880"/>
      </w:pPr>
      <w:rPr>
        <w:rFonts w:ascii="Arial" w:eastAsia="Arial" w:hAnsi="Arial" w:cs="Arial"/>
      </w:rPr>
    </w:lvl>
    <w:lvl w:ilvl="8">
      <w:start w:val="1"/>
      <w:numFmt w:val="bullet"/>
      <w:lvlText w:val="▪"/>
      <w:lvlJc w:val="left"/>
      <w:pPr>
        <w:ind w:left="6840" w:firstLine="13320"/>
      </w:pPr>
      <w:rPr>
        <w:rFonts w:ascii="Arial" w:eastAsia="Arial" w:hAnsi="Arial" w:cs="Arial"/>
      </w:rPr>
    </w:lvl>
  </w:abstractNum>
  <w:abstractNum w:abstractNumId="4" w15:restartNumberingAfterBreak="0">
    <w:nsid w:val="579F42EA"/>
    <w:multiLevelType w:val="multilevel"/>
    <w:tmpl w:val="BAEEC7BE"/>
    <w:lvl w:ilvl="0">
      <w:start w:val="1"/>
      <w:numFmt w:val="bullet"/>
      <w:lvlText w:val="●"/>
      <w:lvlJc w:val="left"/>
      <w:pPr>
        <w:ind w:left="1080" w:firstLine="1800"/>
      </w:pPr>
      <w:rPr>
        <w:rFonts w:ascii="Arial" w:eastAsia="Arial" w:hAnsi="Arial" w:cs="Arial"/>
      </w:rPr>
    </w:lvl>
    <w:lvl w:ilvl="1">
      <w:start w:val="1"/>
      <w:numFmt w:val="bullet"/>
      <w:lvlText w:val="o"/>
      <w:lvlJc w:val="left"/>
      <w:pPr>
        <w:ind w:left="1800" w:firstLine="3240"/>
      </w:pPr>
      <w:rPr>
        <w:rFonts w:ascii="Arial" w:eastAsia="Arial" w:hAnsi="Arial" w:cs="Arial"/>
      </w:rPr>
    </w:lvl>
    <w:lvl w:ilvl="2">
      <w:start w:val="1"/>
      <w:numFmt w:val="bullet"/>
      <w:lvlText w:val="▪"/>
      <w:lvlJc w:val="left"/>
      <w:pPr>
        <w:ind w:left="2520" w:firstLine="4680"/>
      </w:pPr>
      <w:rPr>
        <w:rFonts w:ascii="Arial" w:eastAsia="Arial" w:hAnsi="Arial" w:cs="Arial"/>
      </w:rPr>
    </w:lvl>
    <w:lvl w:ilvl="3">
      <w:start w:val="1"/>
      <w:numFmt w:val="bullet"/>
      <w:lvlText w:val="●"/>
      <w:lvlJc w:val="left"/>
      <w:pPr>
        <w:ind w:left="3240" w:firstLine="6120"/>
      </w:pPr>
      <w:rPr>
        <w:rFonts w:ascii="Arial" w:eastAsia="Arial" w:hAnsi="Arial" w:cs="Arial"/>
      </w:rPr>
    </w:lvl>
    <w:lvl w:ilvl="4">
      <w:start w:val="1"/>
      <w:numFmt w:val="bullet"/>
      <w:lvlText w:val="o"/>
      <w:lvlJc w:val="left"/>
      <w:pPr>
        <w:ind w:left="3960" w:firstLine="7560"/>
      </w:pPr>
      <w:rPr>
        <w:rFonts w:ascii="Arial" w:eastAsia="Arial" w:hAnsi="Arial" w:cs="Arial"/>
      </w:rPr>
    </w:lvl>
    <w:lvl w:ilvl="5">
      <w:start w:val="1"/>
      <w:numFmt w:val="bullet"/>
      <w:lvlText w:val="▪"/>
      <w:lvlJc w:val="left"/>
      <w:pPr>
        <w:ind w:left="4680" w:firstLine="9000"/>
      </w:pPr>
      <w:rPr>
        <w:rFonts w:ascii="Arial" w:eastAsia="Arial" w:hAnsi="Arial" w:cs="Arial"/>
      </w:rPr>
    </w:lvl>
    <w:lvl w:ilvl="6">
      <w:start w:val="1"/>
      <w:numFmt w:val="bullet"/>
      <w:lvlText w:val="●"/>
      <w:lvlJc w:val="left"/>
      <w:pPr>
        <w:ind w:left="5400" w:firstLine="10440"/>
      </w:pPr>
      <w:rPr>
        <w:rFonts w:ascii="Arial" w:eastAsia="Arial" w:hAnsi="Arial" w:cs="Arial"/>
      </w:rPr>
    </w:lvl>
    <w:lvl w:ilvl="7">
      <w:start w:val="1"/>
      <w:numFmt w:val="bullet"/>
      <w:lvlText w:val="o"/>
      <w:lvlJc w:val="left"/>
      <w:pPr>
        <w:ind w:left="6120" w:firstLine="11880"/>
      </w:pPr>
      <w:rPr>
        <w:rFonts w:ascii="Arial" w:eastAsia="Arial" w:hAnsi="Arial" w:cs="Arial"/>
      </w:rPr>
    </w:lvl>
    <w:lvl w:ilvl="8">
      <w:start w:val="1"/>
      <w:numFmt w:val="bullet"/>
      <w:lvlText w:val="▪"/>
      <w:lvlJc w:val="left"/>
      <w:pPr>
        <w:ind w:left="6840" w:firstLine="13320"/>
      </w:pPr>
      <w:rPr>
        <w:rFonts w:ascii="Arial" w:eastAsia="Arial" w:hAnsi="Arial" w:cs="Arial"/>
      </w:rPr>
    </w:lvl>
  </w:abstractNum>
  <w:abstractNum w:abstractNumId="5" w15:restartNumberingAfterBreak="0">
    <w:nsid w:val="5F0F1562"/>
    <w:multiLevelType w:val="multilevel"/>
    <w:tmpl w:val="F0BE31B6"/>
    <w:lvl w:ilvl="0">
      <w:start w:val="1"/>
      <w:numFmt w:val="bullet"/>
      <w:lvlText w:val="●"/>
      <w:lvlJc w:val="left"/>
      <w:pPr>
        <w:ind w:left="1080" w:firstLine="1800"/>
      </w:pPr>
      <w:rPr>
        <w:rFonts w:ascii="Arial" w:eastAsia="Arial" w:hAnsi="Arial" w:cs="Arial"/>
      </w:rPr>
    </w:lvl>
    <w:lvl w:ilvl="1">
      <w:start w:val="1"/>
      <w:numFmt w:val="bullet"/>
      <w:lvlText w:val="o"/>
      <w:lvlJc w:val="left"/>
      <w:pPr>
        <w:ind w:left="1800" w:firstLine="3240"/>
      </w:pPr>
      <w:rPr>
        <w:rFonts w:ascii="Arial" w:eastAsia="Arial" w:hAnsi="Arial" w:cs="Arial"/>
      </w:rPr>
    </w:lvl>
    <w:lvl w:ilvl="2">
      <w:start w:val="1"/>
      <w:numFmt w:val="bullet"/>
      <w:lvlText w:val="▪"/>
      <w:lvlJc w:val="left"/>
      <w:pPr>
        <w:ind w:left="2520" w:firstLine="4680"/>
      </w:pPr>
      <w:rPr>
        <w:rFonts w:ascii="Arial" w:eastAsia="Arial" w:hAnsi="Arial" w:cs="Arial"/>
      </w:rPr>
    </w:lvl>
    <w:lvl w:ilvl="3">
      <w:start w:val="1"/>
      <w:numFmt w:val="bullet"/>
      <w:lvlText w:val="●"/>
      <w:lvlJc w:val="left"/>
      <w:pPr>
        <w:ind w:left="3240" w:firstLine="6120"/>
      </w:pPr>
      <w:rPr>
        <w:rFonts w:ascii="Arial" w:eastAsia="Arial" w:hAnsi="Arial" w:cs="Arial"/>
      </w:rPr>
    </w:lvl>
    <w:lvl w:ilvl="4">
      <w:start w:val="1"/>
      <w:numFmt w:val="bullet"/>
      <w:lvlText w:val="o"/>
      <w:lvlJc w:val="left"/>
      <w:pPr>
        <w:ind w:left="3960" w:firstLine="7560"/>
      </w:pPr>
      <w:rPr>
        <w:rFonts w:ascii="Arial" w:eastAsia="Arial" w:hAnsi="Arial" w:cs="Arial"/>
      </w:rPr>
    </w:lvl>
    <w:lvl w:ilvl="5">
      <w:start w:val="1"/>
      <w:numFmt w:val="bullet"/>
      <w:lvlText w:val="▪"/>
      <w:lvlJc w:val="left"/>
      <w:pPr>
        <w:ind w:left="4680" w:firstLine="9000"/>
      </w:pPr>
      <w:rPr>
        <w:rFonts w:ascii="Arial" w:eastAsia="Arial" w:hAnsi="Arial" w:cs="Arial"/>
      </w:rPr>
    </w:lvl>
    <w:lvl w:ilvl="6">
      <w:start w:val="1"/>
      <w:numFmt w:val="bullet"/>
      <w:lvlText w:val="●"/>
      <w:lvlJc w:val="left"/>
      <w:pPr>
        <w:ind w:left="5400" w:firstLine="10440"/>
      </w:pPr>
      <w:rPr>
        <w:rFonts w:ascii="Arial" w:eastAsia="Arial" w:hAnsi="Arial" w:cs="Arial"/>
      </w:rPr>
    </w:lvl>
    <w:lvl w:ilvl="7">
      <w:start w:val="1"/>
      <w:numFmt w:val="bullet"/>
      <w:lvlText w:val="o"/>
      <w:lvlJc w:val="left"/>
      <w:pPr>
        <w:ind w:left="6120" w:firstLine="11880"/>
      </w:pPr>
      <w:rPr>
        <w:rFonts w:ascii="Arial" w:eastAsia="Arial" w:hAnsi="Arial" w:cs="Arial"/>
      </w:rPr>
    </w:lvl>
    <w:lvl w:ilvl="8">
      <w:start w:val="1"/>
      <w:numFmt w:val="bullet"/>
      <w:lvlText w:val="▪"/>
      <w:lvlJc w:val="left"/>
      <w:pPr>
        <w:ind w:left="6840" w:firstLine="13320"/>
      </w:pPr>
      <w:rPr>
        <w:rFonts w:ascii="Arial" w:eastAsia="Arial" w:hAnsi="Arial" w:cs="Arial"/>
      </w:rPr>
    </w:lvl>
  </w:abstractNum>
  <w:abstractNum w:abstractNumId="6" w15:restartNumberingAfterBreak="0">
    <w:nsid w:val="65F64EBF"/>
    <w:multiLevelType w:val="multilevel"/>
    <w:tmpl w:val="8C3A2020"/>
    <w:lvl w:ilvl="0">
      <w:start w:val="1"/>
      <w:numFmt w:val="bullet"/>
      <w:lvlText w:val="●"/>
      <w:lvlJc w:val="left"/>
      <w:pPr>
        <w:ind w:left="1080" w:firstLine="1800"/>
      </w:pPr>
      <w:rPr>
        <w:rFonts w:ascii="Arial" w:eastAsia="Arial" w:hAnsi="Arial" w:cs="Arial"/>
      </w:rPr>
    </w:lvl>
    <w:lvl w:ilvl="1">
      <w:start w:val="1"/>
      <w:numFmt w:val="bullet"/>
      <w:lvlText w:val="o"/>
      <w:lvlJc w:val="left"/>
      <w:pPr>
        <w:ind w:left="1800" w:firstLine="3240"/>
      </w:pPr>
      <w:rPr>
        <w:rFonts w:ascii="Arial" w:eastAsia="Arial" w:hAnsi="Arial" w:cs="Arial"/>
      </w:rPr>
    </w:lvl>
    <w:lvl w:ilvl="2">
      <w:start w:val="1"/>
      <w:numFmt w:val="bullet"/>
      <w:lvlText w:val="▪"/>
      <w:lvlJc w:val="left"/>
      <w:pPr>
        <w:ind w:left="2520" w:firstLine="4680"/>
      </w:pPr>
      <w:rPr>
        <w:rFonts w:ascii="Arial" w:eastAsia="Arial" w:hAnsi="Arial" w:cs="Arial"/>
      </w:rPr>
    </w:lvl>
    <w:lvl w:ilvl="3">
      <w:start w:val="1"/>
      <w:numFmt w:val="bullet"/>
      <w:lvlText w:val="●"/>
      <w:lvlJc w:val="left"/>
      <w:pPr>
        <w:ind w:left="3240" w:firstLine="6120"/>
      </w:pPr>
      <w:rPr>
        <w:rFonts w:ascii="Arial" w:eastAsia="Arial" w:hAnsi="Arial" w:cs="Arial"/>
      </w:rPr>
    </w:lvl>
    <w:lvl w:ilvl="4">
      <w:start w:val="1"/>
      <w:numFmt w:val="bullet"/>
      <w:lvlText w:val="o"/>
      <w:lvlJc w:val="left"/>
      <w:pPr>
        <w:ind w:left="3960" w:firstLine="7560"/>
      </w:pPr>
      <w:rPr>
        <w:rFonts w:ascii="Arial" w:eastAsia="Arial" w:hAnsi="Arial" w:cs="Arial"/>
      </w:rPr>
    </w:lvl>
    <w:lvl w:ilvl="5">
      <w:start w:val="1"/>
      <w:numFmt w:val="bullet"/>
      <w:lvlText w:val="▪"/>
      <w:lvlJc w:val="left"/>
      <w:pPr>
        <w:ind w:left="4680" w:firstLine="9000"/>
      </w:pPr>
      <w:rPr>
        <w:rFonts w:ascii="Arial" w:eastAsia="Arial" w:hAnsi="Arial" w:cs="Arial"/>
      </w:rPr>
    </w:lvl>
    <w:lvl w:ilvl="6">
      <w:start w:val="1"/>
      <w:numFmt w:val="bullet"/>
      <w:lvlText w:val="●"/>
      <w:lvlJc w:val="left"/>
      <w:pPr>
        <w:ind w:left="5400" w:firstLine="10440"/>
      </w:pPr>
      <w:rPr>
        <w:rFonts w:ascii="Arial" w:eastAsia="Arial" w:hAnsi="Arial" w:cs="Arial"/>
      </w:rPr>
    </w:lvl>
    <w:lvl w:ilvl="7">
      <w:start w:val="1"/>
      <w:numFmt w:val="bullet"/>
      <w:lvlText w:val="o"/>
      <w:lvlJc w:val="left"/>
      <w:pPr>
        <w:ind w:left="6120" w:firstLine="11880"/>
      </w:pPr>
      <w:rPr>
        <w:rFonts w:ascii="Arial" w:eastAsia="Arial" w:hAnsi="Arial" w:cs="Arial"/>
      </w:rPr>
    </w:lvl>
    <w:lvl w:ilvl="8">
      <w:start w:val="1"/>
      <w:numFmt w:val="bullet"/>
      <w:lvlText w:val="▪"/>
      <w:lvlJc w:val="left"/>
      <w:pPr>
        <w:ind w:left="6840" w:firstLine="13320"/>
      </w:pPr>
      <w:rPr>
        <w:rFonts w:ascii="Arial" w:eastAsia="Arial" w:hAnsi="Arial" w:cs="Arial"/>
      </w:rPr>
    </w:lvl>
  </w:abstractNum>
  <w:num w:numId="1">
    <w:abstractNumId w:val="4"/>
  </w:num>
  <w:num w:numId="2">
    <w:abstractNumId w:val="0"/>
  </w:num>
  <w:num w:numId="3">
    <w:abstractNumId w:val="6"/>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2396B"/>
    <w:rsid w:val="001A703C"/>
    <w:rsid w:val="002601CC"/>
    <w:rsid w:val="003849B1"/>
    <w:rsid w:val="003F3C17"/>
    <w:rsid w:val="004E1257"/>
    <w:rsid w:val="004F3C79"/>
    <w:rsid w:val="00513D82"/>
    <w:rsid w:val="005313BD"/>
    <w:rsid w:val="0062071B"/>
    <w:rsid w:val="006821F1"/>
    <w:rsid w:val="00702746"/>
    <w:rsid w:val="00752547"/>
    <w:rsid w:val="008F5D5E"/>
    <w:rsid w:val="00926AA2"/>
    <w:rsid w:val="00A14DCE"/>
    <w:rsid w:val="00AC7773"/>
    <w:rsid w:val="00B21297"/>
    <w:rsid w:val="00BA69EE"/>
    <w:rsid w:val="00C8299D"/>
    <w:rsid w:val="00E90219"/>
    <w:rsid w:val="00EA52EC"/>
    <w:rsid w:val="00EB2A7F"/>
    <w:rsid w:val="00F2396B"/>
    <w:rsid w:val="00F266CB"/>
    <w:rsid w:val="00F47D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05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zh-CN"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spacing w:before="200" w:after="200"/>
      <w:jc w:val="center"/>
      <w:outlineLvl w:val="0"/>
    </w:pPr>
    <w:rPr>
      <w:b/>
      <w:smallCaps/>
      <w:sz w:val="20"/>
      <w:szCs w:val="20"/>
    </w:rPr>
  </w:style>
  <w:style w:type="paragraph" w:styleId="Heading2">
    <w:name w:val="heading 2"/>
    <w:basedOn w:val="Normal"/>
    <w:next w:val="Normal"/>
    <w:pPr>
      <w:keepNext/>
      <w:spacing w:before="200" w:after="200"/>
      <w:outlineLvl w:val="1"/>
    </w:pPr>
    <w:rPr>
      <w:b/>
      <w:sz w:val="20"/>
      <w:szCs w:val="20"/>
    </w:rPr>
  </w:style>
  <w:style w:type="paragraph" w:styleId="Heading3">
    <w:name w:val="heading 3"/>
    <w:basedOn w:val="Normal"/>
    <w:next w:val="Normal"/>
    <w:pPr>
      <w:keepNext/>
      <w:spacing w:before="240" w:after="60"/>
      <w:outlineLvl w:val="2"/>
    </w:pPr>
    <w:rPr>
      <w:i/>
    </w:rPr>
  </w:style>
  <w:style w:type="paragraph" w:styleId="Heading4">
    <w:name w:val="heading 4"/>
    <w:basedOn w:val="Normal"/>
    <w:next w:val="Normal"/>
    <w:pPr>
      <w:keepNext/>
      <w:spacing w:before="240" w:after="60"/>
      <w:outlineLvl w:val="3"/>
    </w:pPr>
    <w:rPr>
      <w:i/>
    </w:rPr>
  </w:style>
  <w:style w:type="paragraph" w:styleId="Heading5">
    <w:name w:val="heading 5"/>
    <w:basedOn w:val="Normal"/>
    <w:next w:val="Normal"/>
    <w:pPr>
      <w:keepNext/>
      <w:spacing w:before="120"/>
      <w:outlineLvl w:val="4"/>
    </w:pPr>
    <w:rPr>
      <w:i/>
    </w:rPr>
  </w:style>
  <w:style w:type="paragraph" w:styleId="Heading6">
    <w:name w:val="heading 6"/>
    <w:basedOn w:val="Normal"/>
    <w:next w:val="Normal"/>
    <w:pPr>
      <w:keepNext/>
      <w:keepLines/>
      <w:spacing w:before="20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3849B1"/>
    <w:pPr>
      <w:spacing w:after="200"/>
    </w:pPr>
    <w:rPr>
      <w:i/>
      <w:iCs/>
      <w:color w:val="44546A" w:themeColor="text2"/>
      <w:sz w:val="18"/>
      <w:szCs w:val="18"/>
    </w:rPr>
  </w:style>
  <w:style w:type="paragraph" w:styleId="ListParagraph">
    <w:name w:val="List Paragraph"/>
    <w:basedOn w:val="Normal"/>
    <w:uiPriority w:val="34"/>
    <w:qFormat/>
    <w:rsid w:val="001A703C"/>
    <w:pPr>
      <w:ind w:left="720"/>
      <w:contextualSpacing/>
    </w:pPr>
  </w:style>
  <w:style w:type="character" w:styleId="Hyperlink">
    <w:name w:val="Hyperlink"/>
    <w:basedOn w:val="DefaultParagraphFont"/>
    <w:uiPriority w:val="99"/>
    <w:unhideWhenUsed/>
    <w:rsid w:val="00E90219"/>
    <w:rPr>
      <w:color w:val="0563C1" w:themeColor="hyperlink"/>
      <w:u w:val="single"/>
    </w:rPr>
  </w:style>
  <w:style w:type="character" w:customStyle="1" w:styleId="apple-converted-space">
    <w:name w:val="apple-converted-space"/>
    <w:basedOn w:val="DefaultParagraphFont"/>
    <w:rsid w:val="00F266CB"/>
  </w:style>
  <w:style w:type="paragraph" w:styleId="Header">
    <w:name w:val="header"/>
    <w:basedOn w:val="Normal"/>
    <w:link w:val="HeaderChar"/>
    <w:uiPriority w:val="99"/>
    <w:unhideWhenUsed/>
    <w:rsid w:val="002601CC"/>
    <w:pPr>
      <w:tabs>
        <w:tab w:val="center" w:pos="4680"/>
        <w:tab w:val="right" w:pos="9360"/>
      </w:tabs>
    </w:pPr>
  </w:style>
  <w:style w:type="character" w:customStyle="1" w:styleId="HeaderChar">
    <w:name w:val="Header Char"/>
    <w:basedOn w:val="DefaultParagraphFont"/>
    <w:link w:val="Header"/>
    <w:uiPriority w:val="99"/>
    <w:rsid w:val="002601CC"/>
  </w:style>
  <w:style w:type="paragraph" w:styleId="Footer">
    <w:name w:val="footer"/>
    <w:basedOn w:val="Normal"/>
    <w:link w:val="FooterChar"/>
    <w:uiPriority w:val="99"/>
    <w:unhideWhenUsed/>
    <w:rsid w:val="002601CC"/>
    <w:pPr>
      <w:tabs>
        <w:tab w:val="center" w:pos="4680"/>
        <w:tab w:val="right" w:pos="9360"/>
      </w:tabs>
    </w:pPr>
  </w:style>
  <w:style w:type="character" w:customStyle="1" w:styleId="FooterChar">
    <w:name w:val="Footer Char"/>
    <w:basedOn w:val="DefaultParagraphFont"/>
    <w:link w:val="Footer"/>
    <w:uiPriority w:val="99"/>
    <w:rsid w:val="00260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920129">
      <w:bodyDiv w:val="1"/>
      <w:marLeft w:val="0"/>
      <w:marRight w:val="0"/>
      <w:marTop w:val="0"/>
      <w:marBottom w:val="0"/>
      <w:divBdr>
        <w:top w:val="none" w:sz="0" w:space="0" w:color="auto"/>
        <w:left w:val="none" w:sz="0" w:space="0" w:color="auto"/>
        <w:bottom w:val="none" w:sz="0" w:space="0" w:color="auto"/>
        <w:right w:val="none" w:sz="0" w:space="0" w:color="auto"/>
      </w:divBdr>
    </w:div>
    <w:div w:id="882836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www.marketwatch.com/investing/stock/rl/financials" TargetMode="External"/><Relationship Id="rId2" Type="http://schemas.openxmlformats.org/officeDocument/2006/relationships/styles" Target="styles.xml"/><Relationship Id="rId16" Type="http://schemas.openxmlformats.org/officeDocument/2006/relationships/hyperlink" Target="http://www.underarmou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My\Downloads\ISE%20200%20PROJECT_AO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Stock Price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AEO</c:v>
          </c:tx>
          <c:spPr>
            <a:solidFill>
              <a:schemeClr val="accent1"/>
            </a:solidFill>
            <a:ln>
              <a:noFill/>
            </a:ln>
            <a:effectLst/>
          </c:spPr>
          <c:invertIfNegative val="0"/>
          <c:cat>
            <c:numLit>
              <c:formatCode>General</c:formatCode>
              <c:ptCount val="4"/>
              <c:pt idx="0">
                <c:v>2013</c:v>
              </c:pt>
              <c:pt idx="1">
                <c:v>2014</c:v>
              </c:pt>
              <c:pt idx="2">
                <c:v>2015</c:v>
              </c:pt>
              <c:pt idx="3">
                <c:v>2016</c:v>
              </c:pt>
            </c:numLit>
          </c:cat>
          <c:val>
            <c:numRef>
              <c:f>Consolidated!$I$14:$L$14</c:f>
              <c:numCache>
                <c:formatCode>General</c:formatCode>
                <c:ptCount val="4"/>
                <c:pt idx="0">
                  <c:v>20.52</c:v>
                </c:pt>
                <c:pt idx="1">
                  <c:v>14.76</c:v>
                </c:pt>
                <c:pt idx="2">
                  <c:v>13.94</c:v>
                </c:pt>
                <c:pt idx="3">
                  <c:v>15.3</c:v>
                </c:pt>
              </c:numCache>
            </c:numRef>
          </c:val>
          <c:extLst>
            <c:ext xmlns:c16="http://schemas.microsoft.com/office/drawing/2014/chart" uri="{C3380CC4-5D6E-409C-BE32-E72D297353CC}">
              <c16:uniqueId val="{00000000-4150-4F67-A55B-1335D5911EC4}"/>
            </c:ext>
          </c:extLst>
        </c:ser>
        <c:ser>
          <c:idx val="1"/>
          <c:order val="1"/>
          <c:tx>
            <c:v>GAP</c:v>
          </c:tx>
          <c:spPr>
            <a:solidFill>
              <a:schemeClr val="accent2"/>
            </a:solidFill>
            <a:ln>
              <a:noFill/>
            </a:ln>
            <a:effectLst/>
          </c:spPr>
          <c:invertIfNegative val="0"/>
          <c:cat>
            <c:numLit>
              <c:formatCode>General</c:formatCode>
              <c:ptCount val="4"/>
              <c:pt idx="0">
                <c:v>2013</c:v>
              </c:pt>
              <c:pt idx="1">
                <c:v>2014</c:v>
              </c:pt>
              <c:pt idx="2">
                <c:v>2015</c:v>
              </c:pt>
              <c:pt idx="3">
                <c:v>2016</c:v>
              </c:pt>
            </c:numLit>
          </c:cat>
          <c:val>
            <c:numRef>
              <c:f>Consolidated!$I$15:$L$15</c:f>
              <c:numCache>
                <c:formatCode>General</c:formatCode>
                <c:ptCount val="4"/>
                <c:pt idx="0">
                  <c:v>31.57</c:v>
                </c:pt>
                <c:pt idx="1">
                  <c:v>39.090000000000003</c:v>
                </c:pt>
                <c:pt idx="2">
                  <c:v>42.37</c:v>
                </c:pt>
                <c:pt idx="3">
                  <c:v>24.12</c:v>
                </c:pt>
              </c:numCache>
            </c:numRef>
          </c:val>
          <c:extLst>
            <c:ext xmlns:c16="http://schemas.microsoft.com/office/drawing/2014/chart" uri="{C3380CC4-5D6E-409C-BE32-E72D297353CC}">
              <c16:uniqueId val="{00000001-4150-4F67-A55B-1335D5911EC4}"/>
            </c:ext>
          </c:extLst>
        </c:ser>
        <c:ser>
          <c:idx val="2"/>
          <c:order val="2"/>
          <c:tx>
            <c:v>Ralph Lauren</c:v>
          </c:tx>
          <c:spPr>
            <a:solidFill>
              <a:schemeClr val="accent3"/>
            </a:solidFill>
            <a:ln>
              <a:noFill/>
            </a:ln>
            <a:effectLst/>
          </c:spPr>
          <c:invertIfNegative val="0"/>
          <c:cat>
            <c:numLit>
              <c:formatCode>General</c:formatCode>
              <c:ptCount val="4"/>
              <c:pt idx="0">
                <c:v>2013</c:v>
              </c:pt>
              <c:pt idx="1">
                <c:v>2014</c:v>
              </c:pt>
              <c:pt idx="2">
                <c:v>2015</c:v>
              </c:pt>
              <c:pt idx="3">
                <c:v>2016</c:v>
              </c:pt>
            </c:numLit>
          </c:cat>
          <c:val>
            <c:numRef>
              <c:f>Consolidated!$I$16:$L$16</c:f>
              <c:numCache>
                <c:formatCode>General</c:formatCode>
                <c:ptCount val="4"/>
                <c:pt idx="0">
                  <c:v>152.75</c:v>
                </c:pt>
                <c:pt idx="1">
                  <c:v>174.44</c:v>
                </c:pt>
                <c:pt idx="2">
                  <c:v>185.98</c:v>
                </c:pt>
                <c:pt idx="3">
                  <c:v>91.27</c:v>
                </c:pt>
              </c:numCache>
            </c:numRef>
          </c:val>
          <c:extLst>
            <c:ext xmlns:c16="http://schemas.microsoft.com/office/drawing/2014/chart" uri="{C3380CC4-5D6E-409C-BE32-E72D297353CC}">
              <c16:uniqueId val="{00000002-4150-4F67-A55B-1335D5911EC4}"/>
            </c:ext>
          </c:extLst>
        </c:ser>
        <c:ser>
          <c:idx val="3"/>
          <c:order val="3"/>
          <c:tx>
            <c:v>Under Armour</c:v>
          </c:tx>
          <c:spPr>
            <a:solidFill>
              <a:schemeClr val="accent4"/>
            </a:solidFill>
            <a:ln>
              <a:noFill/>
            </a:ln>
            <a:effectLst/>
          </c:spPr>
          <c:invertIfNegative val="0"/>
          <c:cat>
            <c:numLit>
              <c:formatCode>General</c:formatCode>
              <c:ptCount val="4"/>
              <c:pt idx="0">
                <c:v>2013</c:v>
              </c:pt>
              <c:pt idx="1">
                <c:v>2014</c:v>
              </c:pt>
              <c:pt idx="2">
                <c:v>2015</c:v>
              </c:pt>
              <c:pt idx="3">
                <c:v>2016</c:v>
              </c:pt>
            </c:numLit>
          </c:cat>
          <c:val>
            <c:numRef>
              <c:f>Consolidated!$I$17:$L$17</c:f>
              <c:numCache>
                <c:formatCode>General</c:formatCode>
                <c:ptCount val="4"/>
                <c:pt idx="0">
                  <c:v>12.4</c:v>
                </c:pt>
                <c:pt idx="1">
                  <c:v>22.61</c:v>
                </c:pt>
                <c:pt idx="2">
                  <c:v>35.85</c:v>
                </c:pt>
                <c:pt idx="3">
                  <c:v>42.7</c:v>
                </c:pt>
              </c:numCache>
            </c:numRef>
          </c:val>
          <c:extLst>
            <c:ext xmlns:c16="http://schemas.microsoft.com/office/drawing/2014/chart" uri="{C3380CC4-5D6E-409C-BE32-E72D297353CC}">
              <c16:uniqueId val="{00000003-4150-4F67-A55B-1335D5911EC4}"/>
            </c:ext>
          </c:extLst>
        </c:ser>
        <c:ser>
          <c:idx val="4"/>
          <c:order val="4"/>
          <c:tx>
            <c:v>PVH</c:v>
          </c:tx>
          <c:spPr>
            <a:solidFill>
              <a:schemeClr val="accent5"/>
            </a:solidFill>
            <a:ln>
              <a:noFill/>
            </a:ln>
            <a:effectLst/>
          </c:spPr>
          <c:invertIfNegative val="0"/>
          <c:cat>
            <c:numLit>
              <c:formatCode>General</c:formatCode>
              <c:ptCount val="4"/>
              <c:pt idx="0">
                <c:v>2013</c:v>
              </c:pt>
              <c:pt idx="1">
                <c:v>2014</c:v>
              </c:pt>
              <c:pt idx="2">
                <c:v>2015</c:v>
              </c:pt>
              <c:pt idx="3">
                <c:v>2016</c:v>
              </c:pt>
            </c:numLit>
          </c:cat>
          <c:val>
            <c:numRef>
              <c:f>Consolidated!$I$18:$L$18</c:f>
              <c:numCache>
                <c:formatCode>General</c:formatCode>
                <c:ptCount val="4"/>
                <c:pt idx="0">
                  <c:v>113.3</c:v>
                </c:pt>
                <c:pt idx="1">
                  <c:v>135.76</c:v>
                </c:pt>
                <c:pt idx="2">
                  <c:v>128.88999999999999</c:v>
                </c:pt>
                <c:pt idx="3">
                  <c:v>72.72</c:v>
                </c:pt>
              </c:numCache>
            </c:numRef>
          </c:val>
          <c:extLst>
            <c:ext xmlns:c16="http://schemas.microsoft.com/office/drawing/2014/chart" uri="{C3380CC4-5D6E-409C-BE32-E72D297353CC}">
              <c16:uniqueId val="{00000004-4150-4F67-A55B-1335D5911EC4}"/>
            </c:ext>
          </c:extLst>
        </c:ser>
        <c:dLbls>
          <c:showLegendKey val="0"/>
          <c:showVal val="0"/>
          <c:showCatName val="0"/>
          <c:showSerName val="0"/>
          <c:showPercent val="0"/>
          <c:showBubbleSize val="0"/>
        </c:dLbls>
        <c:gapWidth val="150"/>
        <c:axId val="352759056"/>
        <c:axId val="352758072"/>
      </c:barChart>
      <c:catAx>
        <c:axId val="35275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758072"/>
        <c:crosses val="autoZero"/>
        <c:auto val="1"/>
        <c:lblAlgn val="ctr"/>
        <c:lblOffset val="100"/>
        <c:noMultiLvlLbl val="0"/>
      </c:catAx>
      <c:valAx>
        <c:axId val="352758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75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2974</Words>
  <Characters>16956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SaMMy</cp:lastModifiedBy>
  <cp:revision>8</cp:revision>
  <dcterms:created xsi:type="dcterms:W3CDTF">2017-05-16T21:41:00Z</dcterms:created>
  <dcterms:modified xsi:type="dcterms:W3CDTF">2017-05-17T01:31:00Z</dcterms:modified>
</cp:coreProperties>
</file>