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rFonts w:ascii="Microsoft YaHei" w:cs="Microsoft YaHei" w:eastAsia="Microsoft YaHei" w:hAnsi="Microsoft YaHei"/>
          <w:b/>
          <w:bCs/>
          <w:color w:val="1F3864"/>
          <w:sz w:val="72"/>
          <w:szCs w:val="72"/>
        </w:rPr>
        <w:t xml:space="preserve">体育代理后台</w:t>
      </w:r>
    </w:p>
    <w:p>
      <w:pPr>
        <w:spacing w:after="120"/>
        <w:jc w:val="center"/>
      </w:pPr>
      <w:r>
        <w:rPr>
          <w:rFonts w:ascii="Microsoft YaHei" w:cs="Microsoft YaHei" w:eastAsia="Microsoft YaHei" w:hAnsi="Microsoft YaHei"/>
          <w:b/>
          <w:bCs/>
          <w:color w:val="2E75B6"/>
          <w:sz w:val="56"/>
          <w:szCs w:val="56"/>
        </w:rPr>
        <w:t xml:space="preserve">账号管理模块</w:t>
      </w:r>
    </w:p>
    <w:p>
      <w:pPr>
        <w:spacing w:after="1600"/>
        <w:jc w:val="center"/>
      </w:pPr>
      <w:r>
        <w:rPr>
          <w:rFonts w:ascii="Microsoft YaHei" w:cs="Microsoft YaHei" w:eastAsia="Microsoft YaHei" w:hAnsi="Microsoft YaHei"/>
          <w:b/>
          <w:bCs/>
          <w:color w:val="2E75B6"/>
          <w:sz w:val="44"/>
          <w:szCs w:val="44"/>
        </w:rPr>
        <w:t xml:space="preserve">产品需求文档(PRD)</w:t>
      </w:r>
    </w:p>
    <w:p>
      <w:pPr>
        <w:spacing w:after="80"/>
        <w:jc w:val="center"/>
      </w:pPr>
      <w:r>
        <w:rPr>
          <w:rFonts w:ascii="Microsoft YaHei" w:cs="Microsoft YaHei" w:eastAsia="Microsoft YaHei" w:hAnsi="Microsoft YaHei"/>
          <w:color w:val="595959"/>
          <w:sz w:val="28"/>
          <w:szCs w:val="28"/>
        </w:rPr>
        <w:t xml:space="preserve">版本 V1.11</w:t>
      </w:r>
    </w:p>
    <w:p>
      <w:pPr>
        <w:spacing w:after="80"/>
        <w:jc w:val="center"/>
      </w:pPr>
      <w:r>
        <w:rPr>
          <w:rFonts w:ascii="Microsoft YaHei" w:cs="Microsoft YaHei" w:eastAsia="Microsoft YaHei" w:hAnsi="Microsoft YaHei"/>
          <w:color w:val="595959"/>
          <w:sz w:val="24"/>
          <w:szCs w:val="24"/>
        </w:rPr>
        <w:t xml:space="preserve">编写人:Sammy</w:t>
      </w:r>
    </w:p>
    <w:p>
      <w:pPr>
        <w:spacing w:after="80"/>
        <w:jc w:val="center"/>
      </w:pPr>
      <w:r>
        <w:rPr>
          <w:rFonts w:ascii="Microsoft YaHei" w:cs="Microsoft YaHei" w:eastAsia="Microsoft YaHei" w:hAnsi="Microsoft YaHei"/>
          <w:color w:val="595959"/>
          <w:sz w:val="24"/>
          <w:szCs w:val="24"/>
        </w:rPr>
        <w:t xml:space="preserve">目标读者:研发团队(开发 + 测试)</w:t>
      </w:r>
    </w:p>
    <w:p>
      <w:pPr>
        <w:spacing w:after="80"/>
        <w:jc w:val="center"/>
      </w:pPr>
      <w:r>
        <w:rPr>
          <w:rFonts w:ascii="Microsoft YaHei" w:cs="Microsoft YaHei" w:eastAsia="Microsoft YaHei" w:hAnsi="Microsoft YaHei"/>
          <w:color w:val="595959"/>
          <w:sz w:val="24"/>
          <w:szCs w:val="24"/>
        </w:rPr>
        <w:t xml:space="preserve">文档日期:2026-04-18</w:t>
      </w:r>
    </w:p>
    <w:p>
      <w:r>
        <w:br w:type="page"/>
      </w:r>
    </w:p>
    <w:p>
      <w:pPr>
        <w:pStyle w:val="Heading1"/>
        <w:spacing w:after="180" w:before="360"/>
      </w:pPr>
      <w:r>
        <w:rPr>
          <w:rFonts w:ascii="Microsoft YaHei" w:cs="Microsoft YaHei" w:eastAsia="Microsoft YaHei" w:hAnsi="Microsoft YaHei"/>
          <w:b/>
          <w:bCs/>
          <w:color w:val="1F3864"/>
          <w:sz w:val="36"/>
          <w:szCs w:val="36"/>
        </w:rPr>
        <w:t xml:space="preserve">目录</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Microsoft YaHei" w:cs="Microsoft YaHei" w:eastAsia="Microsoft YaHei" w:hAnsi="Microsoft YaHei"/>
          <w:b/>
          <w:bCs/>
          <w:color w:val="1F3864"/>
          <w:sz w:val="36"/>
          <w:szCs w:val="36"/>
        </w:rPr>
        <w:t xml:space="preserve">1. 文档说明</w:t>
      </w:r>
    </w:p>
    <w:p>
      <w:pPr>
        <w:pStyle w:val="Heading2"/>
        <w:spacing w:after="140" w:before="280"/>
      </w:pPr>
      <w:r>
        <w:rPr>
          <w:rFonts w:ascii="Microsoft YaHei" w:cs="Microsoft YaHei" w:eastAsia="Microsoft YaHei" w:hAnsi="Microsoft YaHei"/>
          <w:b/>
          <w:bCs/>
          <w:color w:val="2E75B6"/>
          <w:sz w:val="30"/>
          <w:szCs w:val="30"/>
        </w:rPr>
        <w:t xml:space="preserve">1.1 版本修订记录</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560"/>
        <w:gridCol w:w="4840"/>
      </w:tblGrid>
      <w:tr>
        <w:trPr>
          <w:tblHeader/>
        </w:trPr>
        <w:tc>
          <w:tcPr>
            <w:tcW w:type="dxa" w:w="1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版本</w:t>
            </w:r>
          </w:p>
        </w:tc>
        <w:tc>
          <w:tcPr>
            <w:tcW w:type="dxa" w:w="17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日期</w:t>
            </w:r>
          </w:p>
        </w:tc>
        <w:tc>
          <w:tcPr>
            <w:tcW w:type="dxa" w:w="1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修订人</w:t>
            </w:r>
          </w:p>
        </w:tc>
        <w:tc>
          <w:tcPr>
            <w:tcW w:type="dxa" w:w="484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修订说明</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2026-04-18</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初版,覆盖账号管理模块全部功能(账号管理主页、时间筛选、币种汇总表、下线列表、新增下线、修改资料、上分/下分、启用/禁用、展开子级等)</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V1.1</w:t>
            </w:r>
          </w:p>
        </w:tc>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2026-04-18</w:t>
            </w:r>
          </w:p>
        </w:tc>
        <w:tc>
          <w:tcPr>
            <w:tcW w:type="dxa" w:w="1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根据“新增下线”弹窗真实截图重写 4.4 章节:补充交收方案、顶代 vs 非顶代的多币种/单币种差异、系统户口号生成规则、显示佣金率的级联约束、操作密码二次校验;术语表扩充 6 条;5.5 界面描述重写为六区块布局;Open Questions 更新为 4 条新议题</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2026-04-18</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根据“为下线上分” / “从下线下分”弹窗真实截图重写 4.6 章节:区分两个弹窗标题与金额字段名、四卡片式弹窗结构(上级信息 / 下级信息 / 金额 / 操作密码)、上级身份切换扩展能力、字段规则与错误场景矩阵;5.7 界面描述同步重写</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V1.3</w:t>
            </w:r>
          </w:p>
        </w:tc>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2026-04-18</w:t>
            </w:r>
          </w:p>
        </w:tc>
        <w:tc>
          <w:tcPr>
            <w:tcW w:type="dxa" w:w="1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 4.9 FN-ACC-10“修改密码”章节:覆盖入口(下拉菜单 + 新账户首次登录强制弹窗)、三密码字段与可见性切换、关闭弹窗的一致登出行为;新增 4.10 FN-ACC-11“退出系统”章节:覆盖确认弹窗与登出流程;3.1 功能结构表同步补充 FN-ACC-10 / FN-ACC-11;术语表补充“账房系统”条目;明确顶级代理账号来源于“账房”系统的户口</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2026-04-18</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基于“单顶代下线总规模 ≤ 1000 人”容量假设,将原 Open Questions 中“输赢 / 有效投注是否走统计中间层”议题固化为正式需求:4.2.4 实时性要求、8.1 性能指标、新增 8.5 数据时效性与缓存策略(查询路径 / 缓存 key 矩阵 / 写后可见性 / 扩展阈值);验收标准新增 AC-11~AC-13 覆盖写后立即可见、汇总接口压测、缓存命中</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V1.5</w:t>
            </w:r>
          </w:p>
        </w:tc>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2026-04-19</w:t>
            </w:r>
          </w:p>
        </w:tc>
        <w:tc>
          <w:tcPr>
            <w:tcW w:type="dxa" w:w="1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一次性收敛全部 8 条 Open Questions(Q30~Q37):① Q30 确立账房↔体育代理两系统边界模型与余额同步规则,新增 8.6 章账房边界与对账机制;② Q31 确认不设单笔划转限额(钱流封闭 + 账房侧线下关卡);③ Q32 代理自助改佣金率无需审批,但修改佣金率字段需操作密码、级联双向校验、立即生效不追溯,4.5 章扩写字段分级;④ Q33 不设展开层级上限,4.3 补层级与展开策略,搜索结果支持独立展开;⑤ Q34 新增下线创建即 0,4.4.9 新增创建后账户状态说明;⑥ Q35 作废(下线永远单币种单方案),4.4.6/4.4.7 重写为单选模型;⑦ 新增 4.11 FN-ACC-12 修改交收方案章节(顶代专属高危换币种操作、D3 子树继承、操作密码、软引导硬校验双层、不可撤销、历史数据归档);⑧ Q36 操作密码 = 登录密码不升级;⑨ Q37 系统户口号永不回收,4.4.3 与 8.2 明确表述;术语表重写“交收方案”“显示佣金率”,新增“账房边界”“游戏条件”概念;佣金率字段范围扩展至玩家账号;所有相关界面描述、错误场景矩阵、验收标准同步更新</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2026-04-19</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明确“系统户口号”与“用户账号”为彼此独立的两个字段:① 术语表重写两条定义,剔除 V1.x 遗留的“列表中所有行相同”误述;② 4.3.2 列字段纠偏(每行展示的是该账号自身的户口号 / 账号,不是上级或固定值),并在列表描述前加独立字段声明;③ 4.3.5 搜索章节强化为“单一输入框同时搜索两字段”的 OR 语义,新增字段 / 匹配方式 / 输入示例 / 命中条件四列矩阵,补充后端索引建议;④ 原型 HTML 同步拆成两列、搜索 placeholder 显式提示两字段同时搜索、搜索逻辑对 username 做 case-insensitive contains</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V1.7</w:t>
            </w:r>
          </w:p>
        </w:tc>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2026-04-19</w:t>
            </w:r>
          </w:p>
        </w:tc>
        <w:tc>
          <w:tcPr>
            <w:tcW w:type="dxa" w:w="1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国际化与本地化落地:① 8.4 兼容性的语言条目从“中英双语”升级为“中英韩(zh-CN / en / ko)三语”;② 新增 8.7 章节,系统描述三语覆盖范围、资源文件组织、未翻译键兜底、金额显示约定、日期 / 时间格式、字体与 IME 等本地化细节;③ 明确中文下金额 ≥ 10,000 以“万”为单位展示,英文 / 韩文使用国际千分位不换算;统一走 formatAmount(value, lang),后端仍按本位币原值传输;④ 新增 AC-29 ~ AC-31 三语切换、中文万单位、金额输入侧不受单位影响的验收标准;⑤ 原型 HTML 同步:顶部 Bar 改为中 / EN / 한 三语下拉,fmt 函数按语言分支,主页文案、汇总表、下线列表、搜索 placeholder、测试 Tips 走 i18n 字典</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V1.10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2026-04-20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追加“附录 A ~ I”作为还原度基线(设计令牌 · 组件规范 · 交互约定 · 核心算法 · 数据契约 · I18N 键清单 · 技术栈 · 已知陷阱 · PRD/原型权威性),目标:任意 AI 或开发者拿 PRD + 附录可以独立复现出本期交付的原型,且结构与视觉保持 90% 以上一致。附录强调“能直接被代码生成器照抄”的密度(表格 + 伪代码 + 完整 Mock 数据 + 三语键值对)。此前 V1.1 ~ V1.9 的对话式判断(顶代户口号 = 用户账号、总线余额递归定义、中文万单位全量、修改密码双模式、下拉点外部关闭、更多▾ 折叠约定、每币种独立聚合等)在附录 C / D / E 中被集中回灌,作为交接基线的单一信源。</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V1.9</w:t>
            </w:r>
          </w:p>
        </w:tc>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2026-04-20</w:t>
            </w:r>
          </w:p>
        </w:tc>
        <w:tc>
          <w:tcPr>
            <w:tcW w:type="dxa" w:w="1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修正“顶代昵称 ≠ 系统户口号”的示例错误:顶代的“用户账号”与“系统户口号”是同一个值(规则上顶代账号就是其户口号本体),此前 mock / 原型 / PRD 示例把顶代展示为 Sammy(qweqwe) 实为两字段被误拆,统一改为 qweqwe(qweqwe)。影响范围:① 4.4.5 上级信息示例、4.7.4 修改资料示例、FN-ACC-04 新增下线弹窗“上级信息”卡片示例,Sammy(qweqwe) → qweqwe(qweqwe);② 原型 TOP_AGENT.nick、三语 top_logged、TopBar 头像字母与昵称、LoginPage 默认账号同步改为 qweqwe。② 修复账号管理表格“更多 ▾”点击后 修改交收方案 不可见的回归 bug:原因为外层 card 容器 className 挂了 overflow-hidden,details 内部 absolute 定位的下拉被裁。修复为 overflow:visible,同时保留 rounded-lg 视觉。Tips 文案与 AC-20 无需调整,但 AC 新增“FN-ACC-12 入口从顶代视角的首屏可见”的肉眼可达性校验。③ 开发注意事项:PRD 的“编写人 / creator”列仍保留 Sammy(本 PRD 的执笔者),不要与顶代账号展示示例混淆。</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V1.8</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2026-04-19</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移除“交收周期”字段:交收方案的对外可见属性收敛为“币种 / 佣金率上限 / 可用余额”三项,删除 PRD 全文的“交收周期”“settle_period”表述(术语表、4.3、4.4.7、4.11 FN-ACC-12 三个步骤、字段级联表、8.7 枚举翻译清单、AC-20 验收标准);原型同步删除 TOP_SCHEMES.settlePeriod、币种汇总 / 方案选择 / FN-ACC-12 第二步三处表格的“交收周期”列、修改资料只读信息的“交收方案”行。② 列头统一去掉“顶代”与“上限”两个修饰:币种汇总表“顶代佣金率 / 可用余额(顶代)” → “佣金率 / 可用余额”;FN-ACC-04 与 FN-ACC-12 第二步两处方案选择表“顶代佣金率上限 / 顶代可用余额” → “佣金率 / 可用余额”;FN-ACC-12 三步文案“顶代上限 N%” → “佣金率 N%”;AC-30 验收描述同步。理由:UI 上“佣金率”值即为该方案顶代侧的实际挡位,也是下线显示佣金率的天然上限,不需要在列头再写“顶代 / 上限”。账房边界(8.6)与账房对账相关段落中“顶代可用余额”保留,因其指代的是“账房↔顶代”映射关系的权威源,非 UI 列标签。③ 下线列表首屏默认视图收紧:仅展示当前登录代理的直属下级(parent_id = 登录账号),孙级及以下默认全部收起,点击 ▶ 才按需加载一层;4.3.4 章节相应补充首屏策略;原型移除默认展开 qweqwe-1-1 的行为。④ 下线列表“系统户口号”单元格去掉昵称副行,仅保留户口号本身;搜索命中 ★ 标记紧随户口号右侧。⑤ 修正“总线余额”语义与聚合算法:明确其为递归定义(= 自身可用余额 + Σ 直属下线 total_balance),术语表 / 4.2.5 字段说明 / 4.3.2 列字段三处同步强调“聚合时只加直属下线一层,禁止全树平铺累加”;修复原型 CurrencySummary 此前把整棵子树所有 total_balance 平铺求和的错误(旧值 PHP 94.1 万会重复计祖孙链),修正为“顶代方案余额 + 直属下线 total_balance 之和”(PHP 新值 ≈ 671.6 万);同步更正 mock 数据:Carry 的 total_balance 由 72 万修为 70.8 万(= 自身 50 万 + Alice 含子孙 20.5 万 + Dave 0.3 万 + Zoe 0)。⑥ 改写 4.9 FN-ACC-10 修改密码的关闭语义,按入口场景二分:① 首次登录强制弹出场景下“× / 取消”= 直接清除会话跳登录页(不改密码无法继续使用);② 页内主动触发场景下“× / 取消”= 普通关闭弹窗,会话保持,不影响后台使用。两种场景“修改成功”均强制清除会话重登(防止旧密码会话残留)。错误场景同步修正:旧密码错误 / 接口异常改为“弹窗保持打开允许重试,不登出”,避免首次登录用户被踢回登录页陷入死循环。⑦ 修正 mock 顶代命名不一致问题:此前顶代 id 写作 qweqwe-1 却又标注为“顶级代理”,与“child_id = parent_id-N”规则冲突(顶代若叫 qweqwe-1,直属下线应为 qweqwe-1-N,而非 qweqwe-N)。本次把顶代 id 改为 qweqwe,其四个直属下线更名为 qweqwe-1 / -2 / -3 / -4,孙级相应从 qweqwe-1-1-X 上提为 qweqwe-1-X;PRD 中 4.4.5 上级信息、4.7.4 修改资料、AC-15 永不回收验收的 ID 示例同步刷新。⑧ 中文“万”单位策略去阈值:之前规则是“金额 ≥ 10,000 才换算成万”,小额(如 8,000)仍按原值 8,000 显示;现改为**全量**按万展示(含小于 1 万),小数最多 4 位,例如 8,000 → 0.8 万、300 → 0.03 万、0 → 0 万;英文 / 韩文不使用万单位。PRD 4.2.1 汇总表描述、4.2.6 列描述、8.7.2 金额显示约定表格、AC-30 验收同步刷新;原型 fmtAmount 函数移除 Math.abs(n) ≥ 10000 的判断,一律除以 10,000 并保留 4 位小数。</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V1.11</w:t>
            </w:r>
          </w:p>
        </w:tc>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2026-04-20</w:t>
            </w:r>
          </w:p>
        </w:tc>
        <w:tc>
          <w:tcPr>
            <w:tcW w:type="dxa" w:w="1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 / 下分弹窗字段对称化:① 4.6.2 弹窗结构表“② 下级信息”字段补入“额度”,与“① 上级信息”字段对齐(昵称(户口号) + 代理线:币种 / 佣金率 / 额度);展示为实时可用余额,作为操作前的显性上下文。② 4.6.2 新增“③ 金额输入”区块的『调整后预览』子段:金额输入框下方实时渲染一行“上级 X → X' · 下级 Y → Y'”,amount 为正数时即时计算;上分时上级 -amount / 下级 +amount,下分时反向;任一侧调整后为负数时该行变红提示(submit 侧保留原有兜底校验)。③ 4.6.5 前置校验“下分”条款由“前端不显示下级余额,由后端兜底校验”修订为“前端已显示下级可用余额并在输入时实时校验”;④ 5.7 界面描述同步更新“② 下级信息卡片”展示项(加入余额)、“③ 金额输入卡片”新增“调整后预览行”视觉说明。⑤ 修订动机:以往操作者需心算或外部查账才能确认『调整是否会让下级超支 / 上级清空』,此次把上下两侧的当前余额与调整后余额一并暴露到同一弹窗,降低误操作风险。⑥ 新增 AC-39 ~ AC-40 覆盖“下级信息显示额度字段”与“调整后预览随输入实时刷新,负值变红”。</w:t>
            </w:r>
          </w:p>
        </w:tc>
      </w:tr>
    </w:tbl>
    <w:p>
      <w:pPr>
        <w:pStyle w:val="Heading2"/>
        <w:spacing w:after="140" w:before="280"/>
      </w:pPr>
      <w:r>
        <w:rPr>
          <w:rFonts w:ascii="Microsoft YaHei" w:cs="Microsoft YaHei" w:eastAsia="Microsoft YaHei" w:hAnsi="Microsoft YaHei"/>
          <w:b/>
          <w:bCs/>
          <w:color w:val="2E75B6"/>
          <w:sz w:val="30"/>
          <w:szCs w:val="30"/>
        </w:rPr>
        <w:t xml:space="preserve">1.2 术语表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60"/>
        <w:gridCol w:w="570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术语</w:t>
            </w:r>
          </w:p>
        </w:tc>
        <w:tc>
          <w:tcPr>
            <w:tcW w:type="dxa" w:w="18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英文/缩写</w:t>
            </w:r>
          </w:p>
        </w:tc>
        <w:tc>
          <w:tcPr>
            <w:tcW w:type="dxa" w:w="57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代理账号</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Agent</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具备发展下线能力的账号,可创建下级代理与玩家账号</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玩家账号</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体系末端的真实玩家账号,仅可登录平台进行投注,不可创建下线</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System Account No.</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每一个账号的全局唯一标识,由后端自动生成,格式 {父级户口号}-{父下递增序号};与“用户账号”是两个彼此独立的字段;永不回收、永不复用、永不变更</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Username</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每一个账号的登录名(username),由账号创建者在新增弹窗中人工输入;与“系统户口号”是两个彼此独立的字段;全局唯一,创建后不可修改</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Sub-line</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由当前代理直接或间接创建的账号集合,支持无限层级嵌套</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直属下线</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Direct Sub-line</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与当前代理为上下级直接关系的下一层账号</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输赢金额</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Win/Loss Amount</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所有下线在筛选时间内的实际输赢合计(正为赢,负为输)</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有效投注</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Effective Bet / Turnover</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所有下线在筛选时间内结算且符合有效投注规则的注单合计</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可用余额</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Available Balance</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账号当前可用于投注/划转的余额</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总线余额</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Total Balance</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账号本身的可用余额 + 其所有层级下线(递归)可用余额之和;递归定义,即 total_balance = avail_balance + Σ 直属下线.total_balance,因此在各层聚合时只取“直属下线”的 total_balance 相加,严禁把整棵子树所有账号的 total_balance 平铺求和(会重复计算祖孙链)</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上分/下分</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Credit Up / Credit Down</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代理与下线之间的额度划转操作,不涉及真实资金出入</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佣金率</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Commission Rate</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代理按币种获得下线有效投注返佣的比例,代理+币种维度独立配置</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交收方案</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Settlement Scheme</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代理在某一币种上的整套结算配置(佣金率 + 可用余额);顶级代理可同时持有多条交收方案(多币种),但在新增下线时**每次只能单选一条**绑定给该下线;下线(含其整棵子树)永远继承这一条交收方案,不可跨币种;如需切换币种,须走 FN-ACC-12 修改交收方案高危流程</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顶级代理</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Top Agent</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体系最上层的代理账号(代理树的根节点),账号与初始交收方案均由上游账房系统开户下发,不可在体育代理后台创建;可持多条交收方案(多币种)</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非顶级代理</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Non-Top Agent</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由其他代理在体育代理后台发展的代理账号;仅继承上级所选中的那一条交收方案(一个币种),不可跨币种</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Visible Commission</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在佣金链上的挡位佣金率;对代理账号,亦作为其继续发展下级时的佣金率上限(级联约束);对玩家账号,作为该玩家投注流水在佣金分账中的挡位;账房只按顶代的佣金率结算总佣金给顶代,顶代以下各层的显示佣金率仅用于代理之间线下分账的参考基准,不直接影响账房真实付款</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游戏条件</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Gaming Conditions</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 / 修改账号时的一个分区块标题,当前仅含显示佣金率一个字段,对代理账号与玩家账号同样适用;将来可扩展投注限额、可玩游戏类别等字段</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账房系统</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Cashier / Ledger System</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上游财务开户与资金结算系统(不在本文档范围);承担顶代开户、顶代真实上下分、佣金结算并付款给顶代等所有真金白银相关动作;与体育代理后台的边界详见 8.6 章</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Operation Password</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敏感写操作(上下分、修改佣金率、启用/禁用、修改交收方案等)提交前的二次校验凭证;与登录密码同一套,不引入独立资金密码或双因素验证(决策详见 8.2 章)</w:t>
            </w:r>
          </w:p>
        </w:tc>
      </w:tr>
    </w:tbl>
    <w:p>
      <w:pPr>
        <w:pStyle w:val="Heading2"/>
        <w:spacing w:after="140" w:before="280"/>
      </w:pPr>
      <w:r>
        <w:rPr>
          <w:rFonts w:ascii="Microsoft YaHei" w:cs="Microsoft YaHei" w:eastAsia="Microsoft YaHei" w:hAnsi="Microsoft YaHei"/>
          <w:b/>
          <w:bCs/>
          <w:color w:val="2E75B6"/>
          <w:sz w:val="30"/>
          <w:szCs w:val="30"/>
        </w:rPr>
        <w:t xml:space="preserve">1.3 阅读对象</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开发工程师:按本文档字段、交互、接口要求实现前后端功能</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测试工程师:依据验收标准与异常处理章节设计测试用例</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产品/运营:可作为功能使用说明与培训材料</w:t>
      </w:r>
    </w:p>
    <w:p>
      <w:r>
        <w:br w:type="page"/>
      </w:r>
    </w:p>
    <w:p>
      <w:pPr>
        <w:pStyle w:val="Heading1"/>
        <w:spacing w:after="180" w:before="360"/>
      </w:pPr>
      <w:r>
        <w:rPr>
          <w:rFonts w:ascii="Microsoft YaHei" w:cs="Microsoft YaHei" w:eastAsia="Microsoft YaHei" w:hAnsi="Microsoft YaHei"/>
          <w:b/>
          <w:bCs/>
          <w:color w:val="1F3864"/>
          <w:sz w:val="36"/>
          <w:szCs w:val="36"/>
        </w:rPr>
        <w:t xml:space="preserve">2. 产品概述</w:t>
      </w:r>
    </w:p>
    <w:p>
      <w:pPr>
        <w:pStyle w:val="Heading2"/>
        <w:spacing w:after="140" w:before="280"/>
      </w:pPr>
      <w:r>
        <w:rPr>
          <w:rFonts w:ascii="Microsoft YaHei" w:cs="Microsoft YaHei" w:eastAsia="Microsoft YaHei" w:hAnsi="Microsoft YaHei"/>
          <w:b/>
          <w:bCs/>
          <w:color w:val="2E75B6"/>
          <w:sz w:val="30"/>
          <w:szCs w:val="30"/>
        </w:rPr>
        <w:t xml:space="preserve">2.1 产品定位</w:t>
      </w:r>
    </w:p>
    <w:p>
      <w:pPr>
        <w:spacing w:after="40" w:before="40"/>
      </w:pPr>
      <w:r>
        <w:rPr>
          <w:rFonts w:ascii="Microsoft YaHei" w:cs="Microsoft YaHei" w:eastAsia="Microsoft YaHei" w:hAnsi="Microsoft YaHei"/>
          <w:b w:val="false"/>
          <w:bCs w:val="false"/>
          <w:i w:val="false"/>
          <w:iCs w:val="false"/>
          <w:color w:val="262626"/>
          <w:sz w:val="22"/>
          <w:szCs w:val="22"/>
        </w:rPr>
        <w:t xml:space="preserve">体育代理后台是面向体育博彩代理体系的自助管理平台。账号管理模块是代理日常运营的入口,为登录代理提供下线账号的全生命周期管理能力,包括:新增、查询、修改、额度划转、启用/禁用,以及按币种维度查看整体经营业绩。</w:t>
      </w:r>
    </w:p>
    <w:p>
      <w:pPr>
        <w:pStyle w:val="Heading2"/>
        <w:spacing w:after="140" w:before="280"/>
      </w:pPr>
      <w:r>
        <w:rPr>
          <w:rFonts w:ascii="Microsoft YaHei" w:cs="Microsoft YaHei" w:eastAsia="Microsoft YaHei" w:hAnsi="Microsoft YaHei"/>
          <w:b/>
          <w:bCs/>
          <w:color w:val="2E75B6"/>
          <w:sz w:val="30"/>
          <w:szCs w:val="30"/>
        </w:rPr>
        <w:t xml:space="preserve">2.2 业务目标</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为代理提供一个直观、可追溯的下线账号管理入口,降低维护成本</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支撑无限层级代理体系,满足团队裂变与分润需求</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按币种维度呈现核心经营指标(佣金率、输赢、有效投注、余额),辅助代理决策</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通过额度划转机制实现代理与下线之间的快速资金调度</w:t>
      </w:r>
    </w:p>
    <w:p>
      <w:pPr>
        <w:pStyle w:val="Heading2"/>
        <w:spacing w:after="140" w:before="280"/>
      </w:pPr>
      <w:r>
        <w:rPr>
          <w:rFonts w:ascii="Microsoft YaHei" w:cs="Microsoft YaHei" w:eastAsia="Microsoft YaHei" w:hAnsi="Microsoft YaHei"/>
          <w:b/>
          <w:bCs/>
          <w:color w:val="2E75B6"/>
          <w:sz w:val="30"/>
          <w:szCs w:val="30"/>
        </w:rPr>
        <w:t xml:space="preserve">2.3 使用场景示例</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代理 A 每天早上登录后台,按“本周/本月”查看各币种的输赢与有效投注汇总</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代理 A 为新发展的下线创建玩家账号,并通过“上分”给其划转启动额度</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代理 A 发现下线 X 异常,先将其“禁用”,再联系运营进行核查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代理 A 展开某下级代理查看其名下的二级下线经营状况,辅助团队管理</w:t>
      </w:r>
    </w:p>
    <w:p>
      <w:pPr>
        <w:pStyle w:val="Heading2"/>
        <w:spacing w:after="140" w:before="280"/>
      </w:pPr>
      <w:r>
        <w:rPr>
          <w:rFonts w:ascii="Microsoft YaHei" w:cs="Microsoft YaHei" w:eastAsia="Microsoft YaHei" w:hAnsi="Microsoft YaHei"/>
          <w:b/>
          <w:bCs/>
          <w:color w:val="2E75B6"/>
          <w:sz w:val="30"/>
          <w:szCs w:val="30"/>
        </w:rPr>
        <w:t xml:space="preserve">2.4 角色与权限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角色</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登录入口</w:t>
            </w:r>
          </w:p>
        </w:tc>
        <w:tc>
          <w:tcPr>
            <w:tcW w:type="dxa" w:w="4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主要权限</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顶级管理员</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运营平台(不在本文档范围)</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配置币种、佣金规则、风控等全局参数</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账房系统操作员</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账房系统(不在本文档范围)</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为顶级代理(顶代)开户,下发初始交收方案与系统户口号初始段</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顶级代理(顶代)</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本后台(体育代理后台)</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账号本身由账房系统开户下发,登录本后台后可发展任意币种的下线并进行管理</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非顶级代理</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本后台(体育代理后台)</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由上级代理在本后台发展;仅能在上级所属单一币种下继续发展下线</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玩家账号</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前端客户端</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仅能登录前端进行投注,不能登录本后台</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本文档仅描述代理账号登录后台后的账号管理模块;运营后台、账房系统、财务后台、前端客户端不在本文档范围内。特别提示:顶级代理(顶代)的账号由上游“账房系统”开户并下发至本后台,代理无法在本后台自行创建顶代账号;本后台的“新增下线”功能只能在已存在代理之下创建“非顶级代理”或“玩家”账号。</w:t>
      </w:r>
    </w:p>
    <w:p>
      <w:r>
        <w:br w:type="page"/>
      </w:r>
    </w:p>
    <w:p>
      <w:pPr>
        <w:pStyle w:val="Heading1"/>
        <w:spacing w:after="180" w:before="360"/>
      </w:pPr>
      <w:r>
        <w:rPr>
          <w:rFonts w:ascii="Microsoft YaHei" w:cs="Microsoft YaHei" w:eastAsia="Microsoft YaHei" w:hAnsi="Microsoft YaHei"/>
          <w:b/>
          <w:bCs/>
          <w:color w:val="1F3864"/>
          <w:sz w:val="36"/>
          <w:szCs w:val="36"/>
        </w:rPr>
        <w:t xml:space="preserve">3. 功能总览</w:t>
      </w:r>
    </w:p>
    <w:p>
      <w:pPr>
        <w:pStyle w:val="Heading2"/>
        <w:spacing w:after="140" w:before="280"/>
      </w:pPr>
      <w:r>
        <w:rPr>
          <w:rFonts w:ascii="Microsoft YaHei" w:cs="Microsoft YaHei" w:eastAsia="Microsoft YaHei" w:hAnsi="Microsoft YaHei"/>
          <w:b/>
          <w:bCs/>
          <w:color w:val="2E75B6"/>
          <w:sz w:val="30"/>
          <w:szCs w:val="30"/>
        </w:rPr>
        <w:t xml:space="preserve">3.1 功能结构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300"/>
        <w:gridCol w:w="46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一级菜单</w:t>
            </w:r>
          </w:p>
        </w:tc>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二级功能</w:t>
            </w:r>
          </w:p>
        </w:tc>
        <w:tc>
          <w:tcPr>
            <w:tcW w:type="dxa" w:w="13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功能编号</w:t>
            </w:r>
          </w:p>
        </w:tc>
        <w:tc>
          <w:tcPr>
            <w:tcW w:type="dxa" w:w="46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描述</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时间筛选</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FN-ACC-01</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支持本周/上周/本月/上月 + 自定义起止时间的快捷切换,作为汇总区统计的时间维度</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币种汇总表</w:t>
            </w:r>
          </w:p>
        </w:tc>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FN-ACC-02</w:t>
            </w:r>
          </w:p>
        </w:tc>
        <w:tc>
          <w:tcPr>
            <w:tcW w:type="dxa" w:w="46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按币种展示当前代理及其所有下线的佣金率、输赢金额、有效投注、可用余额、总线余额</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下线列表查询</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FN-ACC-03</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按系统户口号/用户账号进行模糊/精确查询,支持展开查看多层级下线</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新增下线</w:t>
            </w:r>
          </w:p>
        </w:tc>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FN-ACC-04</w:t>
            </w:r>
          </w:p>
        </w:tc>
        <w:tc>
          <w:tcPr>
            <w:tcW w:type="dxa" w:w="46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创建直属下线账号(代理或玩家);顶代支持多币种一次性开户,非顶代继承单币种;需操作密码二次校验</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修改资料</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修改下线账号的可编辑资料(昵称、联系方式、备注、佣金率等)</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上分/下分</w:t>
            </w:r>
          </w:p>
        </w:tc>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FN-ACC-06</w:t>
            </w:r>
          </w:p>
        </w:tc>
        <w:tc>
          <w:tcPr>
            <w:tcW w:type="dxa" w:w="46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代理与下线之间的额度划转,不涉及真实资金出入</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启用/禁用</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FN-ACC-07</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切换下线账号状态,禁用后同时禁止登录与交易</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展开子级</w:t>
            </w:r>
          </w:p>
        </w:tc>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FN-ACC-08</w:t>
            </w:r>
          </w:p>
        </w:tc>
        <w:tc>
          <w:tcPr>
            <w:tcW w:type="dxa" w:w="46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在列表中点击展开某账号,查看其直属下级代理/玩家</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重置筛选</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FN-ACC-09</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清空搜索关键字与时间条件,恢复默认视图</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账号管理(全局)</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修改密码</w:t>
            </w:r>
          </w:p>
        </w:tc>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FN-ACC-10</w:t>
            </w:r>
          </w:p>
        </w:tc>
        <w:tc>
          <w:tcPr>
            <w:tcW w:type="dxa" w:w="46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修改当前登录代理的登录密码;入口包括右上角下拉菜单以及新账户首次登录强制弹窗;无论成功/失败/取消,关闭弹窗后都强制登出到登录页</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账号管理(全局)</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退出系统</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FN-ACC-11</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右上角下拉菜单入口;弹出二次确认后清除会话、返回登录页</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修改交收方案</w:t>
            </w:r>
          </w:p>
        </w:tc>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FN-ACC-12</w:t>
            </w:r>
          </w:p>
        </w:tc>
        <w:tc>
          <w:tcPr>
            <w:tcW w:type="dxa" w:w="46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顶代专属高危操作,仅对直属下线可用;将该下线及其整棵子树从当前交收方案(币种)切换到另一条方案;前置要求子树全部可用余额清零,需操作密码,不可撤销</w:t>
            </w:r>
          </w:p>
        </w:tc>
      </w:tr>
    </w:tbl>
    <w:p>
      <w:pPr>
        <w:pStyle w:val="Heading2"/>
        <w:spacing w:after="140" w:before="280"/>
      </w:pPr>
      <w:r>
        <w:rPr>
          <w:rFonts w:ascii="Microsoft YaHei" w:cs="Microsoft YaHei" w:eastAsia="Microsoft YaHei" w:hAnsi="Microsoft YaHei"/>
          <w:b/>
          <w:bCs/>
          <w:color w:val="2E75B6"/>
          <w:sz w:val="30"/>
          <w:szCs w:val="30"/>
        </w:rPr>
        <w:t xml:space="preserve">3.2 核心业务流程</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建议研发对照本流程实现接口与状态机;可使用 PlantUML/Mermaid 绘制最终交付线框图。</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代理登录 → 进入账号管理页面</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页面加载默认“本月”汇总 + 当前代理的直属下线列表</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代理可进行:① 切换时间 → 刷新汇总;② 搜索下线;③ 展开多级下线;④ 新增下线;⑤ 修改资料;⑥ 上/下分;⑦ 启用/禁用</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所有写操作调用后端接口并在前端提示成功/失败,失败场景回滚 UI 状态</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写操作全部进入操作日志,供运营后台审计</w:t>
      </w:r>
    </w:p>
    <w:p>
      <w:r>
        <w:br w:type="page"/>
      </w:r>
    </w:p>
    <w:p>
      <w:pPr>
        <w:pStyle w:val="Heading1"/>
        <w:spacing w:after="180" w:before="360"/>
      </w:pPr>
      <w:r>
        <w:rPr>
          <w:rFonts w:ascii="Microsoft YaHei" w:cs="Microsoft YaHei" w:eastAsia="Microsoft YaHei" w:hAnsi="Microsoft YaHei"/>
          <w:b/>
          <w:bCs/>
          <w:color w:val="1F3864"/>
          <w:sz w:val="36"/>
          <w:szCs w:val="36"/>
        </w:rPr>
        <w:t xml:space="preserve">4. 详细功能需求</w:t>
      </w:r>
    </w:p>
    <w:p>
      <w:pPr>
        <w:pStyle w:val="Heading2"/>
        <w:spacing w:after="140" w:before="280"/>
      </w:pPr>
      <w:r>
        <w:rPr>
          <w:rFonts w:ascii="Microsoft YaHei" w:cs="Microsoft YaHei" w:eastAsia="Microsoft YaHei" w:hAnsi="Microsoft YaHei"/>
          <w:b/>
          <w:bCs/>
          <w:color w:val="2E75B6"/>
          <w:sz w:val="30"/>
          <w:szCs w:val="30"/>
        </w:rPr>
        <w:t xml:space="preserve">4.1 FN-ACC-01 时间筛选</w:t>
      </w:r>
    </w:p>
    <w:p>
      <w:pPr>
        <w:pStyle w:val="Heading3"/>
        <w:spacing w:after="100" w:before="220"/>
      </w:pPr>
      <w:r>
        <w:rPr>
          <w:rFonts w:ascii="Microsoft YaHei" w:cs="Microsoft YaHei" w:eastAsia="Microsoft YaHei" w:hAnsi="Microsoft YaHei"/>
          <w:b/>
          <w:bCs/>
          <w:color w:val="333F50"/>
          <w:sz w:val="26"/>
          <w:szCs w:val="26"/>
        </w:rPr>
        <w:t xml:space="preserve">4.1.1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提供快捷时间按钮 + 自定义起止时间两种方式,用于过滤汇总区的统计时间范围。不影响下线列表本身的呈现范围,仅影响“币种汇总表”中的“输赢金额”与“有效投注”两个指标。</w:t>
      </w:r>
    </w:p>
    <w:p>
      <w:pPr>
        <w:pStyle w:val="Heading3"/>
        <w:spacing w:after="100" w:before="220"/>
      </w:pPr>
      <w:r>
        <w:rPr>
          <w:rFonts w:ascii="Microsoft YaHei" w:cs="Microsoft YaHei" w:eastAsia="Microsoft YaHei" w:hAnsi="Microsoft YaHei"/>
          <w:b/>
          <w:bCs/>
          <w:color w:val="333F50"/>
          <w:sz w:val="26"/>
          <w:szCs w:val="26"/>
        </w:rPr>
        <w:t xml:space="preserve">4.1.2 交互细节</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快捷按钮:本周、上周、本月(默认选中)、上月;四个按钮互斥,任何一个点击后其它按钮取消高亮</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自定义时间:两个 DatePicker,格式 YYYY-MM-DD;开始日期必须 ≤ 结束日期,否则按钮置灰并提示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时间维度以服务器时区为准(建议 UTC+8),所有日期为自然日 00:00:00 ~ 23:59:59</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自定义时间最大跨度:92 天;超过范围时给出提示并阻止查询</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时间切换后,汇总表需要通过接口重新拉取,展示 loading 状态不超过 3 秒</w:t>
      </w:r>
    </w:p>
    <w:p>
      <w:pPr>
        <w:pStyle w:val="Heading3"/>
        <w:spacing w:after="100" w:before="220"/>
      </w:pPr>
      <w:r>
        <w:rPr>
          <w:rFonts w:ascii="Microsoft YaHei" w:cs="Microsoft YaHei" w:eastAsia="Microsoft YaHei" w:hAnsi="Microsoft YaHei"/>
          <w:b/>
          <w:bCs/>
          <w:color w:val="333F50"/>
          <w:sz w:val="26"/>
          <w:szCs w:val="26"/>
        </w:rPr>
        <w:t xml:space="preserve">4.1.3 字段规则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760"/>
        <w:gridCol w:w="2800"/>
      </w:tblGrid>
      <w:tr>
        <w:trPr>
          <w:tblHeader/>
        </w:trPr>
        <w:tc>
          <w:tcPr>
            <w:tcW w:type="dxa" w:w="2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1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类型</w:t>
            </w:r>
          </w:p>
        </w:tc>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1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默认值</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校验规则</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timeRangeType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enum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thisMonth</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thisWeek | lastWeek | thisMonth | lastMonth | custom</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startDate</w:t>
            </w:r>
          </w:p>
        </w:tc>
        <w:tc>
          <w:tcPr>
            <w:tcW w:type="dxa" w:w="1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date</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custom 时必填</w:t>
            </w:r>
          </w:p>
        </w:tc>
        <w:tc>
          <w:tcPr>
            <w:tcW w:type="dxa" w:w="1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本月第一天</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YYYY-MM-DD,≤ endDate,不早于系统上线日期</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endDate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date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custom 时必填</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今天</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YYYY-MM-DD,≥ startDate,不晚于今天</w:t>
            </w:r>
          </w:p>
        </w:tc>
      </w:tr>
    </w:tbl>
    <w:p>
      <w:pPr>
        <w:pStyle w:val="Heading2"/>
        <w:spacing w:after="140" w:before="280"/>
      </w:pPr>
      <w:r>
        <w:rPr>
          <w:rFonts w:ascii="Microsoft YaHei" w:cs="Microsoft YaHei" w:eastAsia="Microsoft YaHei" w:hAnsi="Microsoft YaHei"/>
          <w:b/>
          <w:bCs/>
          <w:color w:val="2E75B6"/>
          <w:sz w:val="30"/>
          <w:szCs w:val="30"/>
        </w:rPr>
        <w:t xml:space="preserve">4.2 FN-ACC-02 币种汇总表</w:t>
      </w:r>
    </w:p>
    <w:p>
      <w:pPr>
        <w:pStyle w:val="Heading3"/>
        <w:spacing w:after="100" w:before="220"/>
      </w:pPr>
      <w:r>
        <w:rPr>
          <w:rFonts w:ascii="Microsoft YaHei" w:cs="Microsoft YaHei" w:eastAsia="Microsoft YaHei" w:hAnsi="Microsoft YaHei"/>
          <w:b/>
          <w:bCs/>
          <w:color w:val="333F50"/>
          <w:sz w:val="26"/>
          <w:szCs w:val="26"/>
        </w:rPr>
        <w:t xml:space="preserve">4.2.1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按币种为维度,展示“当前登录代理 + 其所有层级下线”在选定时间范围内的经营汇总。每一行对应一种币种;中文界面下金额**全量**以“万”为单位(含小于 1 万的值,不保留阈值),最多 4 位小数;英文 / 韩文按本位币原值千分位展示。</w:t>
      </w:r>
    </w:p>
    <w:p>
      <w:pPr>
        <w:pStyle w:val="Heading3"/>
        <w:spacing w:after="100" w:before="220"/>
      </w:pPr>
      <w:r>
        <w:rPr>
          <w:rFonts w:ascii="Microsoft YaHei" w:cs="Microsoft YaHei" w:eastAsia="Microsoft YaHei" w:hAnsi="Microsoft YaHei"/>
          <w:b/>
          <w:bCs/>
          <w:color w:val="333F50"/>
          <w:sz w:val="26"/>
          <w:szCs w:val="26"/>
        </w:rPr>
        <w:t xml:space="preserve">4.2.2 列字段说明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760"/>
        <w:gridCol w:w="2400"/>
      </w:tblGrid>
      <w:tr>
        <w:trPr>
          <w:tblHeader/>
        </w:trPr>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列名</w:t>
            </w:r>
          </w:p>
        </w:tc>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取值</w:t>
            </w:r>
          </w:p>
        </w:tc>
        <w:tc>
          <w:tcPr>
            <w:tcW w:type="dxa" w:w="3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c>
          <w:tcPr>
            <w:tcW w:type="dxa" w:w="2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数据来源</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PHP / CNY / USDT / HKD / …</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代理可能同时持有多个币种账号,不同币种独立结算</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系统配置(可扩展)</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佣金率</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百分比</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该登录代理在对应币种下的返佣比例,代理+币种维度独立配置</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代理账户配置表</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输赢金额</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有符号金额</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汇总所有下线注单的 (结算金额 - 投注金额),正值为赢,负值为输并标红</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注单结算服务</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有效投注</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非负金额</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汇总所有下线在时间范围内的有效投注额</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注单结算服务</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可用余额</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非负金额</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顶代本人在该币种方案下当前尚未分发给下线的额度池(= TOP_SCHEME.balance,不包含任何下线余额)</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账户余额服务(顶代方案层)</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总线余额</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非负金额</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该币种上整棵线路在途总额,递归定义:= 顶代可用余额 + Σ 顶代直属下线的 total_balance。由于下线的 total_balance 已递归包含其子孙,聚合时只加“直属下线”一层,不可对全树平铺求和</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账户余额服务(递归汇总,单层累加)</w:t>
            </w:r>
          </w:p>
        </w:tc>
      </w:tr>
    </w:tbl>
    <w:p>
      <w:pPr>
        <w:pStyle w:val="Heading3"/>
        <w:spacing w:after="100" w:before="220"/>
      </w:pPr>
      <w:r>
        <w:rPr>
          <w:rFonts w:ascii="Microsoft YaHei" w:cs="Microsoft YaHei" w:eastAsia="Microsoft YaHei" w:hAnsi="Microsoft YaHei"/>
          <w:b/>
          <w:bCs/>
          <w:color w:val="333F50"/>
          <w:sz w:val="26"/>
          <w:szCs w:val="26"/>
        </w:rPr>
        <w:t xml:space="preserve">4.2.3 展示与格式化</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中文下金额全量以“万”为单位展示:无下限阈值,原值除以 10,000 后最多保留 4 位小数(例:8,000 → 0.8 万;300 → 0.03 万;0 → 0 万)。英文 / 韩文不使用“万”,按本位币原值千分位展示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负值使用红色 (#FF4D4F),零值与正值使用默认颜色</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若某币种该代理从未开设账户,则不在汇总表中出现</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汇总表行数随代理持有币种动态变化,前端无需写死</w:t>
      </w:r>
    </w:p>
    <w:p>
      <w:pPr>
        <w:pStyle w:val="Heading3"/>
        <w:spacing w:after="100" w:before="220"/>
      </w:pPr>
      <w:r>
        <w:rPr>
          <w:rFonts w:ascii="Microsoft YaHei" w:cs="Microsoft YaHei" w:eastAsia="Microsoft YaHei" w:hAnsi="Microsoft YaHei"/>
          <w:b/>
          <w:bCs/>
          <w:color w:val="333F50"/>
          <w:sz w:val="26"/>
          <w:szCs w:val="26"/>
        </w:rPr>
        <w:t xml:space="preserve">4.2.4 实时性要求</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“可用余额”“总线余额”两列为实时数据,随账户变化秒级刷新</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“输赢金额”“有效投注”采用“实时查询注单库 + 短时缓存”模式:正常情况下缓存 TTL ≤ 60 秒,当前代理在本页面的写操作(新增下线、上分 / 下分、启用 / 禁用)须同步失效该代理的汇总缓存,保证“写后立即可见”</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本系统按单顶代下线总规模 ≤ 1000 人设计,不引入独立统计中间层(ClickHouse / Flink 等);详细性能与可扩展性指标见 8.1、8.5 章</w:t>
      </w:r>
    </w:p>
    <w:p>
      <w:pPr>
        <w:pStyle w:val="Heading2"/>
        <w:spacing w:after="140" w:before="280"/>
      </w:pPr>
      <w:r>
        <w:rPr>
          <w:rFonts w:ascii="Microsoft YaHei" w:cs="Microsoft YaHei" w:eastAsia="Microsoft YaHei" w:hAnsi="Microsoft YaHei"/>
          <w:b/>
          <w:bCs/>
          <w:color w:val="2E75B6"/>
          <w:sz w:val="30"/>
          <w:szCs w:val="30"/>
        </w:rPr>
        <w:t xml:space="preserve">4.3 FN-ACC-03 下线列表查询</w:t>
      </w:r>
    </w:p>
    <w:p>
      <w:pPr>
        <w:pStyle w:val="Heading3"/>
        <w:spacing w:after="100" w:before="220"/>
      </w:pPr>
      <w:r>
        <w:rPr>
          <w:rFonts w:ascii="Microsoft YaHei" w:cs="Microsoft YaHei" w:eastAsia="Microsoft YaHei" w:hAnsi="Microsoft YaHei"/>
          <w:b/>
          <w:bCs/>
          <w:color w:val="333F50"/>
          <w:sz w:val="26"/>
          <w:szCs w:val="26"/>
        </w:rPr>
        <w:t xml:space="preserve">4.3.1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展示当前登录代理的直属下线账号。支持关键字搜索、展开查看多层级子账号、操作按钮进入各子功能。</w:t>
      </w:r>
    </w:p>
    <w:p>
      <w:pPr>
        <w:pStyle w:val="Heading3"/>
        <w:spacing w:after="100" w:before="220"/>
      </w:pPr>
      <w:r>
        <w:rPr>
          <w:rFonts w:ascii="Microsoft YaHei" w:cs="Microsoft YaHei" w:eastAsia="Microsoft YaHei" w:hAnsi="Microsoft YaHei"/>
          <w:b/>
          <w:bCs/>
          <w:color w:val="333F50"/>
          <w:sz w:val="26"/>
          <w:szCs w:val="26"/>
        </w:rPr>
        <w:t xml:space="preserve">4.3.2 列字段</w:t>
      </w:r>
    </w:p>
    <w:p>
      <w:pPr>
        <w:spacing w:after="40" w:before="40"/>
      </w:pPr>
      <w:r>
        <w:rPr>
          <w:rFonts w:ascii="Microsoft YaHei" w:cs="Microsoft YaHei" w:eastAsia="Microsoft YaHei" w:hAnsi="Microsoft YaHei"/>
          <w:b w:val="false"/>
          <w:bCs w:val="false"/>
          <w:i w:val="false"/>
          <w:iCs w:val="false"/>
          <w:color w:val="262626"/>
          <w:sz w:val="22"/>
          <w:szCs w:val="22"/>
        </w:rPr>
        <w:t xml:space="preserve">“系统户口号”与“用户账号”是两个彼此独立的字段,分别占用一列;每一行展示的是该行下线自身的两个字段值,不是展示上级或固定值。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5240"/>
        <w:gridCol w:w="112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列名</w:t>
            </w:r>
          </w:p>
        </w:tc>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类型</w:t>
            </w:r>
          </w:p>
        </w:tc>
        <w:tc>
          <w:tcPr>
            <w:tcW w:type="dxa" w:w="524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c>
          <w:tcPr>
            <w:tcW w:type="dxa" w:w="112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是否可排序</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5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该行账号自身的全局唯一标识,由后端自动生成(如 qweqwe-1-1),格式 {父级户口号}-{父下递增序号};每行互不相同;永不回收/复用/变更</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52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该行账号自身的登录名(username),由创建者手动输入,每行互不相同;全局唯一;创建后不可修改</w:t>
            </w:r>
          </w:p>
        </w:tc>
        <w:tc>
          <w:tcPr>
            <w:tcW w:type="dxa" w:w="112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enum</w:t>
            </w:r>
          </w:p>
        </w:tc>
        <w:tc>
          <w:tcPr>
            <w:tcW w:type="dxa" w:w="5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PHP / CNY / USDT / HKD / …</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余额</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number(万)</w:t>
            </w:r>
          </w:p>
        </w:tc>
        <w:tc>
          <w:tcPr>
            <w:tcW w:type="dxa" w:w="52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该账号当前可用余额</w:t>
            </w:r>
          </w:p>
        </w:tc>
        <w:tc>
          <w:tcPr>
            <w:tcW w:type="dxa" w:w="112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总线余额</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number(万)</w:t>
            </w:r>
          </w:p>
        </w:tc>
        <w:tc>
          <w:tcPr>
            <w:tcW w:type="dxa" w:w="5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递归定义:该账号自身可用余额 + 其所有下线(任意深度)可用余额之和;后端存储时每层只聚合直属下线的 total_balance,不可平铺全树(见术语表)</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下线数</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int</w:t>
            </w:r>
          </w:p>
        </w:tc>
        <w:tc>
          <w:tcPr>
            <w:tcW w:type="dxa" w:w="52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该账号的直属下线数量(不递归),0 表示叶子节点或未发展下线</w:t>
            </w:r>
          </w:p>
        </w:tc>
        <w:tc>
          <w:tcPr>
            <w:tcW w:type="dxa" w:w="112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账号状态</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enum</w:t>
            </w:r>
          </w:p>
        </w:tc>
        <w:tc>
          <w:tcPr>
            <w:tcW w:type="dxa" w:w="5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 / 禁用。禁用显示为灰底,启用显示为绿色标签</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账号类型</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enum</w:t>
            </w:r>
          </w:p>
        </w:tc>
        <w:tc>
          <w:tcPr>
            <w:tcW w:type="dxa" w:w="52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 / 游戏(玩家)。代理可展开,游戏不可展开</w:t>
            </w:r>
          </w:p>
        </w:tc>
        <w:tc>
          <w:tcPr>
            <w:tcW w:type="dxa" w:w="112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button 组</w:t>
            </w:r>
          </w:p>
        </w:tc>
        <w:tc>
          <w:tcPr>
            <w:tcW w:type="dxa" w:w="5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修改资料、新增下线、上分、下分</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w:t>
            </w:r>
          </w:p>
        </w:tc>
      </w:tr>
    </w:tbl>
    <w:p>
      <w:pPr>
        <w:pStyle w:val="Heading3"/>
        <w:spacing w:after="100" w:before="220"/>
      </w:pPr>
      <w:r>
        <w:rPr>
          <w:rFonts w:ascii="Microsoft YaHei" w:cs="Microsoft YaHei" w:eastAsia="Microsoft YaHei" w:hAnsi="Microsoft YaHei"/>
          <w:b/>
          <w:bCs/>
          <w:color w:val="333F50"/>
          <w:sz w:val="26"/>
          <w:szCs w:val="26"/>
        </w:rPr>
        <w:t xml:space="preserve">4.3.3 分页与排序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默认每页 20 条,可选 10 / 20 / 50 / 100;分页控件位于列表底部</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默认按“创建时间倒序”排列;点击列标题可切换升序/降序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展开的子级不计入当前页的 20 条限制,子级采用独立分页或懒加载</w:t>
      </w:r>
    </w:p>
    <w:p>
      <w:pPr>
        <w:pStyle w:val="Heading3"/>
        <w:spacing w:after="100" w:before="220"/>
      </w:pPr>
      <w:r>
        <w:rPr>
          <w:rFonts w:ascii="Microsoft YaHei" w:cs="Microsoft YaHei" w:eastAsia="Microsoft YaHei" w:hAnsi="Microsoft YaHei"/>
          <w:b/>
          <w:bCs/>
          <w:color w:val="333F50"/>
          <w:sz w:val="26"/>
          <w:szCs w:val="26"/>
        </w:rPr>
        <w:t xml:space="preserve">4.3.4 展开 / 收起 与 层级策略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首屏仅展示当前登录代理的直属下级(parent_id = 登录账号的 account_id);非直属下级(孙级及以下)默认全部收起,不在首屏请求</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仅“账号类型 = 代理”的行左侧出现展开图标 (▶ / ▼);玩家行不渲染展开控件,等宽占位以保证缩进对齐</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展开后异步请求其直属下级(单次仅一层),返回后以缩进形式插入到父行下方;不递归预加载孙级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已展开行再次点击则收起;切换搜索 / 时间条件时所有展开状态复位回到“仅直属下级”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不设强制展开层级上限:支持任意深度展开;每一次单层展开 P95 ≤ 1 秒(详见 8.1)</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前端必须做循环引用保护(以 parent_path 为可达性依据,检测到环立即中断并上报告警);超过 10 层时仅做轻量提示,不阻断</w:t>
      </w:r>
    </w:p>
    <w:p>
      <w:pPr>
        <w:pStyle w:val="Heading3"/>
        <w:spacing w:after="100" w:before="220"/>
      </w:pPr>
      <w:r>
        <w:rPr>
          <w:rFonts w:ascii="Microsoft YaHei" w:cs="Microsoft YaHei" w:eastAsia="Microsoft YaHei" w:hAnsi="Microsoft YaHei"/>
          <w:b/>
          <w:bCs/>
          <w:color w:val="333F50"/>
          <w:sz w:val="26"/>
          <w:szCs w:val="26"/>
        </w:rPr>
        <w:t xml:space="preserve">4.3.5 搜索 与 搜索结果展开</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搜索框:单一输入框,最大 32 字符,中英文数字混合;placeholder 明确提示“系统户口号(精确) / 用户账号(模糊),两字段同时搜索”</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同一输入值,在后端对两个独立字段同时检索,OR 逻辑返回命中集合:① 系统户口号(account_id)精确匹配;② 用户账号(username)做大小写不敏感的模糊匹配(contains)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匹配字段</w:t>
            </w:r>
          </w:p>
        </w:tc>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匹配方式</w:t>
            </w:r>
          </w:p>
        </w:tc>
        <w:tc>
          <w:tcPr>
            <w:tcW w:type="dxa" w:w="2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示例输入</w:t>
            </w:r>
          </w:p>
        </w:tc>
        <w:tc>
          <w:tcPr>
            <w:tcW w:type="dxa" w:w="31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命中条件</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精确(=)</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qweqwe-1-1</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account_id = 'qweqwe-1-1'</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模糊(contains,ILIKE)</w:t>
            </w:r>
          </w:p>
        </w:tc>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alice</w:t>
            </w:r>
          </w:p>
        </w:tc>
        <w:tc>
          <w:tcPr>
            <w:tcW w:type="dxa" w:w="3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LOWER(username) LIKE '%alice%'</w:t>
            </w:r>
          </w:p>
        </w:tc>
      </w:tr>
    </w:tbl>
    <w:p>
      <w:pPr>
        <w:pStyle w:val="ListParagraph"/>
        <w:numPr>
          <w:ilvl w:val="0"/>
          <w:numId w:val="2"/>
        </w:numPr>
        <w:spacing w:after="30" w:before="30"/>
      </w:pPr>
      <w:r>
        <w:rPr>
          <w:rFonts w:ascii="Microsoft YaHei" w:cs="Microsoft YaHei" w:eastAsia="Microsoft YaHei" w:hAnsi="Microsoft YaHei"/>
          <w:color w:val="262626"/>
          <w:sz w:val="22"/>
          <w:szCs w:val="22"/>
        </w:rPr>
        <w:t xml:space="preserve">后端 SQL 建议:对两个字段建立独立索引(account_id PK;username 唯一索引 + lower(username) 函数索引),避免单次搜索引起全表扫描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点击“查询”按钮或回车触发搜索,搜索范围为当前代理的所有层级下线</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搜索结果以扁平列表呈现,每条命中记录显示其完整代理线(从顶代到本节点的路径)以辅助定位</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搜索命中节点支持独立展开:点击命中行的 ▶ 图标即可加载其直属下级,无需先展开祖先链;展开行为与 4.3.4 一致</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点击“重置”按钮:清空搜索词,时间回到“本月”,展开状态全部收起</w:t>
      </w:r>
    </w:p>
    <w:p>
      <w:pPr>
        <w:pStyle w:val="Heading2"/>
        <w:spacing w:after="140" w:before="280"/>
      </w:pPr>
      <w:r>
        <w:rPr>
          <w:rFonts w:ascii="Microsoft YaHei" w:cs="Microsoft YaHei" w:eastAsia="Microsoft YaHei" w:hAnsi="Microsoft YaHei"/>
          <w:b/>
          <w:bCs/>
          <w:color w:val="2E75B6"/>
          <w:sz w:val="30"/>
          <w:szCs w:val="30"/>
        </w:rPr>
        <w:t xml:space="preserve">4.4 FN-ACC-04 新增下线</w:t>
      </w:r>
    </w:p>
    <w:p>
      <w:pPr>
        <w:pStyle w:val="Heading3"/>
        <w:spacing w:after="100" w:before="220"/>
      </w:pPr>
      <w:r>
        <w:rPr>
          <w:rFonts w:ascii="Microsoft YaHei" w:cs="Microsoft YaHei" w:eastAsia="Microsoft YaHei" w:hAnsi="Microsoft YaHei"/>
          <w:b/>
          <w:bCs/>
          <w:color w:val="333F50"/>
          <w:sz w:val="26"/>
          <w:szCs w:val="26"/>
        </w:rPr>
        <w:t xml:space="preserve">4.4.1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登录代理在自身下直接创建一个下线账号,可选择创建代理账号或玩家账号。入口有两处:① 列表上方的“+ 新增下线”按钮(为自己创建直属下线);② 列表行内的“新增下线”操作(为该行账号创建直属下线,要求该行为代理类型且状态为启用)。</w:t>
      </w:r>
    </w:p>
    <w:p>
      <w:pPr>
        <w:pStyle w:val="Heading3"/>
        <w:spacing w:after="100" w:before="220"/>
      </w:pPr>
      <w:r>
        <w:rPr>
          <w:rFonts w:ascii="Microsoft YaHei" w:cs="Microsoft YaHei" w:eastAsia="Microsoft YaHei" w:hAnsi="Microsoft YaHei"/>
          <w:b/>
          <w:bCs/>
          <w:color w:val="333F50"/>
          <w:sz w:val="26"/>
          <w:szCs w:val="26"/>
        </w:rPr>
        <w:t xml:space="preserve">4.4.2 弹窗结构</w:t>
      </w:r>
    </w:p>
    <w:p>
      <w:pPr>
        <w:spacing w:after="40" w:before="40"/>
      </w:pPr>
      <w:r>
        <w:rPr>
          <w:rFonts w:ascii="Microsoft YaHei" w:cs="Microsoft YaHei" w:eastAsia="Microsoft YaHei" w:hAnsi="Microsoft YaHei"/>
          <w:b w:val="false"/>
          <w:bCs w:val="false"/>
          <w:i w:val="false"/>
          <w:iCs w:val="false"/>
          <w:color w:val="262626"/>
          <w:sz w:val="22"/>
          <w:szCs w:val="22"/>
        </w:rPr>
        <w:t xml:space="preserve">弹窗按信息分区从上到下依次为:① 关联信息区(上级信息、系统户口号)→ ② 基本信息区(账号、密码、昵称、联系电话)→ ③ 账号属性区(账号类型、账号状态)→ ④ 交收方案区(**单选**一条方案 + 佣金率/余额展示)→ ⑤ 游戏条件区(显示佣金率,代理与玩家均必填)→ ⑥ 安全校验区(操作密码)。</w:t>
      </w:r>
    </w:p>
    <w:p>
      <w:pPr>
        <w:pStyle w:val="Heading3"/>
        <w:spacing w:after="100" w:before="220"/>
      </w:pPr>
      <w:r>
        <w:rPr>
          <w:rFonts w:ascii="Microsoft YaHei" w:cs="Microsoft YaHei" w:eastAsia="Microsoft YaHei" w:hAnsi="Microsoft YaHei"/>
          <w:b/>
          <w:bCs/>
          <w:color w:val="333F50"/>
          <w:sz w:val="26"/>
          <w:szCs w:val="26"/>
        </w:rPr>
        <w:t xml:space="preserve">4.4.3 只读信息字段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取值</w:t>
            </w:r>
          </w:p>
        </w:tc>
        <w:tc>
          <w:tcPr>
            <w:tcW w:type="dxa" w:w="4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上级信息</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上级昵称(上级系统户口号),例如 qweqwe(qweqwe)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根据当前登录代理 / 所选“父节点”自动带出;两处入口场景值不同:① 页面按钮 → 当前登录代理;② 行内按钮 → 该行代理</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parentId-N,例如 qweqwe-1(qweqwe 的第 1 个直属下线) / qweqwe-1-1(再下一层)</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后端自动生成,格式为 {父级系统户口号}-{在父级下的自增序号 N},N 从 1 开始单调递增,**永不回收、永不复用、永不变更**(即使该账号被禁用或未来支持删除,原序号依然占用);全局唯一;前端仅展示,不可编辑</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系统户口号生成规则需要研发在后端加分布式锁/数据库唯一索引,保证并发新增时序号不重复。顶级代理(顶代)的账号及其系统户口号初始段(如 qweqwe)由上游“账房系统”开户并同步下发至本后台,本后台不提供顶代账号的创建入口;本功能 4.4 章节仅用于顶代及其各级下线发展“非顶级代理”或“玩家”账号。</w:t>
      </w:r>
    </w:p>
    <w:p>
      <w:pPr>
        <w:pStyle w:val="Heading3"/>
        <w:spacing w:after="100" w:before="220"/>
      </w:pPr>
      <w:r>
        <w:rPr>
          <w:rFonts w:ascii="Microsoft YaHei" w:cs="Microsoft YaHei" w:eastAsia="Microsoft YaHei" w:hAnsi="Microsoft YaHei"/>
          <w:b/>
          <w:bCs/>
          <w:color w:val="333F50"/>
          <w:sz w:val="26"/>
          <w:szCs w:val="26"/>
        </w:rPr>
        <w:t xml:space="preserve">4.4.4 基本信息字段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3760"/>
        <w:gridCol w:w="3300"/>
      </w:tblGrid>
      <w:tr>
        <w:trPr>
          <w:tblHeader/>
        </w:trPr>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3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校验规则</w:t>
            </w:r>
          </w:p>
        </w:tc>
        <w:tc>
          <w:tcPr>
            <w:tcW w:type="dxa" w:w="33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备注</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仅支持英文及数字,6~20 位,不支持空格和特殊符号</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账号需全局唯一;创建后不可修改;作为下线登录用户名</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账户昵称</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6~20 位,不支持空格</w:t>
            </w:r>
          </w:p>
        </w:tc>
        <w:tc>
          <w:tcPr>
            <w:tcW w:type="dxa" w:w="3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用于前端业务展示;不强制唯一</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密码</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英文、数字、字符,6~20 位,不支持空格</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为新下线账号设置的登录密码;后端 bcrypt 哈希存储;前端不可回显</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确认密码</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与“密码”完全一致</w:t>
            </w:r>
          </w:p>
        </w:tc>
        <w:tc>
          <w:tcPr>
            <w:tcW w:type="dxa" w:w="3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两次输入不一致时红字提示,提交按钮置灰</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电话号码</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国际区号 + 号码;E.164 格式校验</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用于后续联系、风控短信验证</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备用电话</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同上</w:t>
            </w:r>
          </w:p>
        </w:tc>
        <w:tc>
          <w:tcPr>
            <w:tcW w:type="dxa" w:w="3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与“电话号码”不可相同</w:t>
            </w:r>
          </w:p>
        </w:tc>
      </w:tr>
    </w:tbl>
    <w:p>
      <w:pPr>
        <w:pStyle w:val="Heading3"/>
        <w:spacing w:after="100" w:before="220"/>
      </w:pPr>
      <w:r>
        <w:rPr>
          <w:rFonts w:ascii="Microsoft YaHei" w:cs="Microsoft YaHei" w:eastAsia="Microsoft YaHei" w:hAnsi="Microsoft YaHei"/>
          <w:b/>
          <w:bCs/>
          <w:color w:val="333F50"/>
          <w:sz w:val="26"/>
          <w:szCs w:val="26"/>
        </w:rPr>
        <w:t xml:space="preserve">4.4.5 账号属性字段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800"/>
        <w:gridCol w:w="1100"/>
        <w:gridCol w:w="3260"/>
      </w:tblGrid>
      <w:tr>
        <w:trPr>
          <w:tblHeader/>
        </w:trPr>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可选值</w:t>
            </w:r>
          </w:p>
        </w:tc>
        <w:tc>
          <w:tcPr>
            <w:tcW w:type="dxa" w:w="1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默认值</w:t>
            </w:r>
          </w:p>
        </w:tc>
        <w:tc>
          <w:tcPr>
            <w:tcW w:type="dxa" w:w="32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账号类型</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 / 游戏(单选)</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“代理”可继续发展下线;“游戏”为终端玩家账号,不可再发展下线,但同样持有自己的显示佣金率(详见 4.4.7 游戏条件)</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账号状态</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开启 / 禁用该账号及所有下线(单选)</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开启</w:t>
            </w:r>
          </w:p>
        </w:tc>
        <w:tc>
          <w:tcPr>
            <w:tcW w:type="dxa" w:w="3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创建后进入指定状态;选择“禁用该账号及所有下线”时,若后续用该下线发展子级,则子级默认继承禁用状态</w:t>
            </w:r>
          </w:p>
        </w:tc>
      </w:tr>
    </w:tbl>
    <w:p>
      <w:pPr>
        <w:pStyle w:val="Heading3"/>
        <w:spacing w:after="100" w:before="220"/>
      </w:pPr>
      <w:r>
        <w:rPr>
          <w:rFonts w:ascii="Microsoft YaHei" w:cs="Microsoft YaHei" w:eastAsia="Microsoft YaHei" w:hAnsi="Microsoft YaHei"/>
          <w:b/>
          <w:bCs/>
          <w:color w:val="333F50"/>
          <w:sz w:val="26"/>
          <w:szCs w:val="26"/>
        </w:rPr>
        <w:t xml:space="preserve">4.4.6 选择交收方案(核心)</w:t>
      </w:r>
    </w:p>
    <w:p>
      <w:pPr>
        <w:spacing w:after="40" w:before="40"/>
      </w:pPr>
      <w:r>
        <w:rPr>
          <w:rFonts w:ascii="Microsoft YaHei" w:cs="Microsoft YaHei" w:eastAsia="Microsoft YaHei" w:hAnsi="Microsoft YaHei"/>
          <w:b w:val="false"/>
          <w:bCs w:val="false"/>
          <w:i w:val="false"/>
          <w:iCs w:val="false"/>
          <w:color w:val="262626"/>
          <w:sz w:val="22"/>
          <w:szCs w:val="22"/>
        </w:rPr>
        <w:t xml:space="preserve">交收方案以币种为维度,决定新下线在该币种上的佣金率上限与初始余额来源。顶级代理(顶代)持有的多条交收方案来源于上游“账房系统”—— 账房在为顶代开户时下发其可用币种清单、各币种佣金率上限与初始余额,本后台仅做展示与下发不做增减。**无论上级是顶代还是非顶代,新增下线时永远只能单选一条交收方案**,新下线及其整棵子树永久继承这一条方案(一个币种),不可跨币种;如需切换币种见 4.11 FN-ACC-12 修改交收方案。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700"/>
        <w:gridCol w:w="20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上级角色</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可见方案</w:t>
            </w:r>
          </w:p>
        </w:tc>
        <w:tc>
          <w:tcPr>
            <w:tcW w:type="dxa" w:w="27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选择规则</w:t>
            </w:r>
          </w:p>
        </w:tc>
        <w:tc>
          <w:tcPr>
            <w:tcW w:type="dxa" w:w="20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佣金率 / 余额来源</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顶级代理</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顶代持有的全部交收方案(例如 PHP / CNY / USDT 等各一条)</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单选:下拉或列表中勾选一条,不可多选</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所选方案中顶代的当前佣金率为新下线上限、当前可用余额作为未来上分的参考</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非顶级代理</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上级自身所属的那一条方案(唯一)</w:t>
            </w:r>
          </w:p>
        </w:tc>
        <w:tc>
          <w:tcPr>
            <w:tcW w:type="dxa" w:w="2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单选 / 默认锁定:仅此一条且自动选中,不可更改</w:t>
            </w:r>
          </w:p>
        </w:tc>
        <w:tc>
          <w:tcPr>
            <w:tcW w:type="dxa" w:w="2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上级在该币种的当前佣金率与可用余额</w:t>
            </w:r>
          </w:p>
        </w:tc>
      </w:tr>
    </w:tbl>
    <w:p>
      <w:pPr>
        <w:pStyle w:val="Heading4"/>
        <w:spacing w:after="80" w:before="160"/>
      </w:pPr>
      <w:r>
        <w:rPr>
          <w:rFonts w:ascii="Microsoft YaHei" w:cs="Microsoft YaHei" w:eastAsia="Microsoft YaHei" w:hAnsi="Microsoft YaHei"/>
          <w:b/>
          <w:bCs/>
          <w:color w:val="333F50"/>
          <w:sz w:val="24"/>
          <w:szCs w:val="24"/>
        </w:rPr>
        <w:t xml:space="preserve">4.4.6.1 列表列字段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列</w:t>
            </w:r>
          </w:p>
        </w:tc>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类型</w:t>
            </w:r>
          </w:p>
        </w:tc>
        <w:tc>
          <w:tcPr>
            <w:tcW w:type="dxa" w:w="61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单选按钮</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radio</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顶代场景多行可选其一,非顶代场景仅一行默认选中且不可取消</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w:t>
            </w:r>
          </w:p>
        </w:tc>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enum</w:t>
            </w:r>
          </w:p>
        </w:tc>
        <w:tc>
          <w:tcPr>
            <w:tcW w:type="dxa" w:w="6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PHP / CNY / USDT / HKD / …,由当前上级持有的交收方案决定</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佣金率</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percent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上级在该方案下的当前佣金率(只读展示),即新下线“显示佣金率”的上限</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余额</w:t>
            </w:r>
          </w:p>
        </w:tc>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decimal(按万展示)</w:t>
            </w:r>
          </w:p>
        </w:tc>
        <w:tc>
          <w:tcPr>
            <w:tcW w:type="dxa" w:w="6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上级在该方案下的当前可用余额(只读展示),作为后续为新下线“上分”的参考上限</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创建后的新账号可用余额初始值为 0,本弹窗不包含任何金额输入框;代理若需注资,创建成功后通过下线列表行的“上分”按钮单独走 FN-ACC-06 划转流程。详见 4.4.9。</w:t>
      </w:r>
    </w:p>
    <w:p>
      <w:pPr>
        <w:pStyle w:val="Heading3"/>
        <w:spacing w:after="100" w:before="220"/>
      </w:pPr>
      <w:r>
        <w:rPr>
          <w:rFonts w:ascii="Microsoft YaHei" w:cs="Microsoft YaHei" w:eastAsia="Microsoft YaHei" w:hAnsi="Microsoft YaHei"/>
          <w:b/>
          <w:bCs/>
          <w:color w:val="333F50"/>
          <w:sz w:val="26"/>
          <w:szCs w:val="26"/>
        </w:rPr>
        <w:t xml:space="preserve">4.4.7 游戏条件</w:t>
      </w:r>
    </w:p>
    <w:p>
      <w:pPr>
        <w:spacing w:after="40" w:before="40"/>
      </w:pPr>
      <w:r>
        <w:rPr>
          <w:rFonts w:ascii="Microsoft YaHei" w:cs="Microsoft YaHei" w:eastAsia="Microsoft YaHei" w:hAnsi="Microsoft YaHei"/>
          <w:b w:val="false"/>
          <w:bCs w:val="false"/>
          <w:i w:val="false"/>
          <w:iCs w:val="false"/>
          <w:color w:val="262626"/>
          <w:sz w:val="22"/>
          <w:szCs w:val="22"/>
        </w:rPr>
        <w:t xml:space="preserve">本区块为新增下线弹窗的第五区块(原命名“下级代理显示条件”,自 V1.5 起统一更名为“游戏条件”,以涵盖代理与玩家两种账号类型;当前仅含“显示佣金率”一个字段,未来可扩展投注限额、可玩游戏类别等字段)。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300"/>
        <w:gridCol w:w="35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33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输入范围</w:t>
            </w:r>
          </w:p>
        </w:tc>
        <w:tc>
          <w:tcPr>
            <w:tcW w:type="dxa" w:w="3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业务含义</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 ~ 4.4.6 所选方案中上级佣金率] 例如上级 1.5% → 本字段上限 1.5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对代理账号:本账号的挡位佣金率,同时作为其继续发展下级时的佣金率上限(级联约束);对玩家账号:作为本玩家投注流水在佣金分账中的挡位;账房侧实际付款仅按顶代佣金率结算总包给顶代,本字段仅影响代理间线下分账</w:t>
            </w:r>
          </w:p>
        </w:tc>
      </w:tr>
    </w:tbl>
    <w:p>
      <w:pPr>
        <w:pStyle w:val="ListParagraph"/>
        <w:numPr>
          <w:ilvl w:val="0"/>
          <w:numId w:val="2"/>
        </w:numPr>
        <w:spacing w:after="30" w:before="30"/>
      </w:pPr>
      <w:r>
        <w:rPr>
          <w:rFonts w:ascii="Microsoft YaHei" w:cs="Microsoft YaHei" w:eastAsia="Microsoft YaHei" w:hAnsi="Microsoft YaHei"/>
          <w:color w:val="262626"/>
          <w:sz w:val="22"/>
          <w:szCs w:val="22"/>
        </w:rPr>
        <w:t xml:space="preserve">字段下方显示辅助文案“上限 x%”,x 即 4.4.6 所选方案中上级的佣金率</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无论“账号类型 = 代理”还是“账号类型 = 游戏”,此字段均必填出现(自 V1.5 起修订,玩家账号同样持有显示佣金率)</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多币种同时创建时,每一勾选币种都需要独立设置一个“显示佣金率”(需要研发在 UI 层补充多行输入框,或默认取上限后允许逐行调整)</w:t>
      </w:r>
    </w:p>
    <w:p>
      <w:pPr>
        <w:pStyle w:val="Heading3"/>
        <w:spacing w:after="100" w:before="220"/>
      </w:pPr>
      <w:r>
        <w:rPr>
          <w:rFonts w:ascii="Microsoft YaHei" w:cs="Microsoft YaHei" w:eastAsia="Microsoft YaHei" w:hAnsi="Microsoft YaHei"/>
          <w:b/>
          <w:bCs/>
          <w:color w:val="333F50"/>
          <w:sz w:val="26"/>
          <w:szCs w:val="26"/>
        </w:rPr>
        <w:t xml:space="preserve">4.4.8 安全校验字段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6960"/>
      </w:tblGrid>
      <w:tr>
        <w:trPr>
          <w:tblHeader/>
        </w:trPr>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6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当前登录代理的登录密码,作为写操作二次校验;提交前需校验通过才真正创建下线</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基于安全考虑,建议后端对“操作密码”错误次数做限制(例如连续错误 5 次锁定 10 分钟),避免被用作暴力破解通道。</w:t>
      </w:r>
    </w:p>
    <w:p>
      <w:pPr>
        <w:pStyle w:val="Heading3"/>
        <w:spacing w:after="100" w:before="220"/>
      </w:pPr>
      <w:r>
        <w:rPr>
          <w:rFonts w:ascii="Microsoft YaHei" w:cs="Microsoft YaHei" w:eastAsia="Microsoft YaHei" w:hAnsi="Microsoft YaHei"/>
          <w:b/>
          <w:bCs/>
          <w:color w:val="333F50"/>
          <w:sz w:val="26"/>
          <w:szCs w:val="26"/>
        </w:rPr>
        <w:t xml:space="preserve">4.4.9 提交与校验</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点击“+ 新增下线”入口 → 弹出弹窗,默认带出上级信息与系统户口号</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用户填写基本信息、账号属性、勾选交收方案并设置显示佣金率</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输入操作密码 → 点击“确认”</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前端完成同步校验(必填、正则、两次密码一致、显示佣金率 ≤ 上限等)</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通过后调用 POST /api/agent/sub 接口,请求头携带 requestId 保证幂等</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后端顺序执行:① 校验操作密码;② 校验账号唯一性;③ 校验交收方案合法性(币种归属、佣金率上限);④ 生成系统户口号;⑤ 多币种时事务性地批量建档</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成功:弹窗关闭,Toast “新增成功”,列表刷新;失败:弹窗保留,字段级错误定位 + 顶部汇总错误</w:t>
      </w:r>
    </w:p>
    <w:p>
      <w:pPr>
        <w:pStyle w:val="Heading3"/>
        <w:spacing w:after="100" w:before="220"/>
      </w:pPr>
      <w:r>
        <w:rPr>
          <w:rFonts w:ascii="Microsoft YaHei" w:cs="Microsoft YaHei" w:eastAsia="Microsoft YaHei" w:hAnsi="Microsoft YaHei"/>
          <w:b/>
          <w:bCs/>
          <w:color w:val="333F50"/>
          <w:sz w:val="26"/>
          <w:szCs w:val="26"/>
        </w:rPr>
        <w:t xml:space="preserve">4.4.10 错误场景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错误</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触发条件</w:t>
            </w:r>
          </w:p>
        </w:tc>
        <w:tc>
          <w:tcPr>
            <w:tcW w:type="dxa" w:w="42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前端提示</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用户账号非法</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含特殊符号 / 长度不符 / 含空格</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字段下红字:“仅支持英文及数字,6~20 位”</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用户账号已存在</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全局唯一校验失败</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字段下红字:“该账号已被占用,请更换”</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两次密码不一致</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密码 ≠ 确认密码</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确认密码字段下红字提示</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未勾选任何币种</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交收方案区 0 项勾选</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交收方案区顶部红字:“请至少选择一个交收方案”</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显示佣金率超限</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 &gt; 上级佣金率</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字段下红字:“不可超过上限 x%”,提交按钮置灰</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操作密码错误</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当前代理登录密码不匹配</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操作密码下红字:“操作密码错误”;连续错误 5 次锁定 10 分钟</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交收方案未选择</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交收方案区域 0 项选中</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区域顶部红字:“请选择一条交收方案”;提交按钮置灰</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显示佣金率超上级上限</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rate &gt; 直接上级该币种显示佣金率</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字段下红字:“不可超过上限 x%”,提交按钮置灰;后端兜底 code=4001</w:t>
            </w:r>
          </w:p>
        </w:tc>
      </w:tr>
    </w:tbl>
    <w:p>
      <w:pPr>
        <w:pStyle w:val="Heading3"/>
        <w:spacing w:after="100" w:before="220"/>
      </w:pPr>
      <w:r>
        <w:rPr>
          <w:rFonts w:ascii="Microsoft YaHei" w:cs="Microsoft YaHei" w:eastAsia="Microsoft YaHei" w:hAnsi="Microsoft YaHei"/>
          <w:b/>
          <w:bCs/>
          <w:color w:val="333F50"/>
          <w:sz w:val="26"/>
          <w:szCs w:val="26"/>
        </w:rPr>
        <w:t xml:space="preserve">4.4.11 创建后账户状态</w:t>
      </w:r>
    </w:p>
    <w:p>
      <w:pPr>
        <w:spacing w:after="40" w:before="40"/>
      </w:pPr>
      <w:r>
        <w:rPr>
          <w:rFonts w:ascii="Microsoft YaHei" w:cs="Microsoft YaHei" w:eastAsia="Microsoft YaHei" w:hAnsi="Microsoft YaHei"/>
          <w:b w:val="false"/>
          <w:bCs w:val="false"/>
          <w:i w:val="false"/>
          <w:iCs w:val="false"/>
          <w:color w:val="262626"/>
          <w:sz w:val="22"/>
          <w:szCs w:val="22"/>
        </w:rPr>
        <w:t xml:space="preserve">新下线账号创建成功后,账户余额(含可用余额 / 总线余额)初始化为 0,不从上级自动划转任何金额。如需注入初始额度,须由上级通过 FN-ACC-06 上分流程显式完成。</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avail_balance = 0;total_balance = 0;冻结余额 = 0</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账号状态默认“启用”(开启),除非上级在弹窗中主动切换为“禁用该账号及所有下线”</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继承上级选定交收方案的币种、佣金率上限等属性;该下线从创建起即终身单一币种 / 单一交收方案(详见 4.4.6 与 4.11 FN-ACC-12)</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系统户口号一旦生成即永久绑定本账号,不回收、不复用、不变更(详见 4.4.3)</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说明:不设“初始划转金额”字段的原因是钱流封闭模型下,任何余额注入都必须走“上分”流水以保证审计可追;将初始化金额与账号创建耦合会造成对账上的双重入口,违背单一写入点原则。</w:t>
      </w:r>
    </w:p>
    <w:p>
      <w:pPr>
        <w:pStyle w:val="Heading2"/>
        <w:spacing w:after="140" w:before="280"/>
      </w:pPr>
      <w:r>
        <w:rPr>
          <w:rFonts w:ascii="Microsoft YaHei" w:cs="Microsoft YaHei" w:eastAsia="Microsoft YaHei" w:hAnsi="Microsoft YaHei"/>
          <w:b/>
          <w:bCs/>
          <w:color w:val="2E75B6"/>
          <w:sz w:val="30"/>
          <w:szCs w:val="30"/>
        </w:rPr>
        <w:t xml:space="preserve">4.5 FN-ACC-05 修改资料</w:t>
      </w:r>
    </w:p>
    <w:p>
      <w:pPr>
        <w:pStyle w:val="Heading3"/>
        <w:spacing w:after="100" w:before="220"/>
      </w:pPr>
      <w:r>
        <w:rPr>
          <w:rFonts w:ascii="Microsoft YaHei" w:cs="Microsoft YaHei" w:eastAsia="Microsoft YaHei" w:hAnsi="Microsoft YaHei"/>
          <w:b/>
          <w:bCs/>
          <w:color w:val="333F50"/>
          <w:sz w:val="26"/>
          <w:szCs w:val="26"/>
        </w:rPr>
        <w:t xml:space="preserve">4.5.1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修改下线账号的可编辑信息。系统户口号、用户账号、币种、交收方案、创建时间为只读字段,不可编辑(交收方案的修改走专用功能 FN-ACC-12,详见 4.11)。本功能按字段敏感度做分级控制,高敏感字段必须额外校验操作密码,低敏感字段则放开自助修改。</w:t>
      </w:r>
    </w:p>
    <w:p>
      <w:pPr>
        <w:pStyle w:val="Heading3"/>
        <w:spacing w:after="100" w:before="220"/>
      </w:pPr>
      <w:r>
        <w:rPr>
          <w:rFonts w:ascii="Microsoft YaHei" w:cs="Microsoft YaHei" w:eastAsia="Microsoft YaHei" w:hAnsi="Microsoft YaHei"/>
          <w:b/>
          <w:bCs/>
          <w:color w:val="333F50"/>
          <w:sz w:val="26"/>
          <w:szCs w:val="26"/>
        </w:rPr>
        <w:t xml:space="preserve">4.5.2 字段分级与编辑规则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100"/>
        <w:gridCol w:w="4960"/>
      </w:tblGrid>
      <w:tr>
        <w:trPr>
          <w:tblHeader/>
        </w:trPr>
        <w:tc>
          <w:tcPr>
            <w:tcW w:type="dxa" w:w="2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敏感度</w:t>
            </w:r>
          </w:p>
        </w:tc>
        <w:tc>
          <w:tcPr>
            <w:tcW w:type="dxa" w:w="1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操作密码</w:t>
            </w:r>
          </w:p>
        </w:tc>
        <w:tc>
          <w:tcPr>
            <w:tcW w:type="dxa" w:w="4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编辑规则</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昵称</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低</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允许任意修改,长度规则同新增(2 ~ 20 字符,中英数字与常见符号)</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联系方式(手机 / 邮箱 / 备用电话)</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低</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c>
          <w:tcPr>
            <w:tcW w:type="dxa" w:w="4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格式按国家标准校验;支持留空</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备注</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低</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代理内部使用,最长 200 字符;不暴露给下线</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高</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4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仅代理账号可改;修改后不得超过本账号当前实际佣金率;修改立即生效不追溯历史注单;级联校验:① 不得超过直接上级该币种显示佣金率上限,② 不得低于本账号已存在直接下线中任一显示佣金率最大值;改动写入审计日志</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登录密码(为下线重置)</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高</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选填,填写则触发“重置密码”子流程;新密码 6~20 位字符;强制该下线下次登录必须修改;不向上级显示新密码哈希</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账号状态</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高</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4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 / 禁用切换;走 FN-ACC-07 状态机与二次确认</w:t>
            </w:r>
          </w:p>
        </w:tc>
      </w:tr>
    </w:tbl>
    <w:p>
      <w:pPr>
        <w:pStyle w:val="Heading3"/>
        <w:spacing w:after="100" w:before="220"/>
      </w:pPr>
      <w:r>
        <w:rPr>
          <w:rFonts w:ascii="Microsoft YaHei" w:cs="Microsoft YaHei" w:eastAsia="Microsoft YaHei" w:hAnsi="Microsoft YaHei"/>
          <w:b/>
          <w:bCs/>
          <w:color w:val="333F50"/>
          <w:sz w:val="26"/>
          <w:szCs w:val="26"/>
        </w:rPr>
        <w:t xml:space="preserve">4.5.3 操作密码触发规则</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整个修改资料弹窗默认不要求输入操作密码;仅当用户编辑了至少一个“高敏感”字段且点击提交时,弹窗底部才动态出现操作密码输入框</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若同一次提交既包含低敏感字段又包含高敏感字段,只校验一次操作密码即可,不重复弹窗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操作密码 = 当前登录代理(发起方)的登录密码;连续错误 5 次锁定 10 分钟</w:t>
      </w:r>
    </w:p>
    <w:p>
      <w:pPr>
        <w:pStyle w:val="Heading3"/>
        <w:spacing w:after="100" w:before="220"/>
      </w:pPr>
      <w:r>
        <w:rPr>
          <w:rFonts w:ascii="Microsoft YaHei" w:cs="Microsoft YaHei" w:eastAsia="Microsoft YaHei" w:hAnsi="Microsoft YaHei"/>
          <w:b/>
          <w:bCs/>
          <w:color w:val="333F50"/>
          <w:sz w:val="26"/>
          <w:szCs w:val="26"/>
        </w:rPr>
        <w:t xml:space="preserve">4.5.4 显示佣金率修改的级联校验</w:t>
      </w:r>
    </w:p>
    <w:p>
      <w:pPr>
        <w:spacing w:after="40" w:before="40"/>
      </w:pPr>
      <w:r>
        <w:rPr>
          <w:rFonts w:ascii="Microsoft YaHei" w:cs="Microsoft YaHei" w:eastAsia="Microsoft YaHei" w:hAnsi="Microsoft YaHei"/>
          <w:b w:val="false"/>
          <w:bCs w:val="false"/>
          <w:i w:val="false"/>
          <w:iCs w:val="false"/>
          <w:color w:val="262626"/>
          <w:sz w:val="22"/>
          <w:szCs w:val="22"/>
        </w:rPr>
        <w:t xml:space="preserve">修改显示佣金率时,前端在调用接口前必须执行双向校验,避免用户在不可行的取值上反复试错;后端在事务内做兜底:</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向上校验:新值 ≤ 直接上级在该币种下对本账号开设的“显示佣金率”(即开设时上级给的上限)</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向下校验:新值 ≥ 本账号所有直接下线中,该币种“显示佣金率”的最大值;否则提示“该值会令下线 X 的显示佣金率反超上级,请先修改下线”,提交按钮置灰</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修改成功后:① 立即生效;② 不追溯;③ 写入审计日志(操作人 / 时间 / 旧值 / 新值 / 影响账号);④ 该账号的下级账号无需任何级联调整,但其向下开设新下线的“显示佣金率”上限将以新值为准</w:t>
      </w:r>
    </w:p>
    <w:p>
      <w:pPr>
        <w:pStyle w:val="Heading2"/>
        <w:spacing w:after="140" w:before="280"/>
      </w:pPr>
      <w:r>
        <w:rPr>
          <w:rFonts w:ascii="Microsoft YaHei" w:cs="Microsoft YaHei" w:eastAsia="Microsoft YaHei" w:hAnsi="Microsoft YaHei"/>
          <w:b/>
          <w:bCs/>
          <w:color w:val="2E75B6"/>
          <w:sz w:val="30"/>
          <w:szCs w:val="30"/>
        </w:rPr>
        <w:t xml:space="preserve">4.6 FN-ACC-06 上分 / 下分(额度划转)</w:t>
      </w:r>
    </w:p>
    <w:p>
      <w:pPr>
        <w:pStyle w:val="Heading3"/>
        <w:spacing w:after="100" w:before="220"/>
      </w:pPr>
      <w:r>
        <w:rPr>
          <w:rFonts w:ascii="Microsoft YaHei" w:cs="Microsoft YaHei" w:eastAsia="Microsoft YaHei" w:hAnsi="Microsoft YaHei"/>
          <w:b/>
          <w:bCs/>
          <w:color w:val="333F50"/>
          <w:sz w:val="26"/>
          <w:szCs w:val="26"/>
        </w:rPr>
        <w:t xml:space="preserve">4.6.1 业务定义与边界</w:t>
      </w:r>
    </w:p>
    <w:p>
      <w:pPr>
        <w:spacing w:after="40" w:before="40"/>
      </w:pPr>
      <w:r>
        <w:rPr>
          <w:rFonts w:ascii="Microsoft YaHei" w:cs="Microsoft YaHei" w:eastAsia="Microsoft YaHei" w:hAnsi="Microsoft YaHei"/>
          <w:b w:val="false"/>
          <w:bCs w:val="false"/>
          <w:i w:val="false"/>
          <w:iCs w:val="false"/>
          <w:color w:val="262626"/>
          <w:sz w:val="22"/>
          <w:szCs w:val="22"/>
        </w:rPr>
        <w:t xml:space="preserve">本节描述的“上分 / 下分”特指体育代理后台内部的额度划转,即代理与其直属或间接下线之间在同一交收方案币种内的余额对冲,本质是上下级账户在同一事务内的相反方向数额变更,体育代理系统内部钱流封闭——内部上下分的资金总量恒定,既不增加也不减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边界划分</w:t>
            </w:r>
          </w:p>
        </w:tc>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归属</w:t>
            </w:r>
          </w:p>
        </w:tc>
        <w:tc>
          <w:tcPr>
            <w:tcW w:type="dxa" w:w="51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体育代理后台 上分 / 下分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本 PRD 范围</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 ↔ 下线 之间的额度划转;只在体育代理系统内部生效;参与方至少有一方是非顶代代理 / 玩家;走本节流程</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账房系统对顶代的上分 / 下分</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账房系统(独立)</w:t>
            </w:r>
          </w:p>
        </w:tc>
        <w:tc>
          <w:tcPr>
            <w:tcW w:type="dxa" w:w="5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由账房工作人员在账房侧操作,真实资金出入,真实钱流唯一入口 / 出口;同时同步顶代在体育代理后台的可用余额;不在本 PRD 范围,但需通过 8.6 章约定的同步机制保持一致</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游戏端结算(投注 / 派彩)</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游戏系统(独立)</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玩家账户在游戏端的输赢直接结算到该玩家账户余额,赢则进、输则出,资金对手方为游戏方;不通过本节上下分接口</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重要:体育代理后台的上分 / 下分接口绝不可用于真实资金的存取;真实资金通道由账房系统统一管理。本接口仅做内部余额对冲,不连接任何支付网关。</w:t>
      </w:r>
    </w:p>
    <w:p>
      <w:pPr>
        <w:spacing w:after="40" w:before="40"/>
      </w:pPr>
      <w:r>
        <w:rPr>
          <w:rFonts w:ascii="Microsoft YaHei" w:cs="Microsoft YaHei" w:eastAsia="Microsoft YaHei" w:hAnsi="Microsoft YaHei"/>
          <w:b w:val="false"/>
          <w:bCs w:val="false"/>
          <w:i w:val="false"/>
          <w:iCs w:val="false"/>
          <w:color w:val="262626"/>
          <w:sz w:val="22"/>
          <w:szCs w:val="22"/>
        </w:rPr>
        <w:t xml:space="preserve">操作全部基于选定的上级身份在指定币种上的可用余额与下级账户余额进行同事务更新。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500"/>
        <w:gridCol w:w="1980"/>
        <w:gridCol w:w="1980"/>
      </w:tblGrid>
      <w:tr>
        <w:trPr>
          <w:tblHeader/>
        </w:trPr>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操作</w:t>
            </w:r>
          </w:p>
        </w:tc>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弹窗标题</w:t>
            </w:r>
          </w:p>
        </w:tc>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方向</w:t>
            </w:r>
          </w:p>
        </w:tc>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金额字段名</w:t>
            </w:r>
          </w:p>
        </w:tc>
        <w:tc>
          <w:tcPr>
            <w:tcW w:type="dxa" w:w="198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上级余额变化</w:t>
            </w:r>
          </w:p>
        </w:tc>
        <w:tc>
          <w:tcPr>
            <w:tcW w:type="dxa" w:w="198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下级余额变化</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为下线上分</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 → 下级</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上分额度</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-amount</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+amount</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下分</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从下线下分</w:t>
            </w:r>
          </w:p>
        </w:tc>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下级 → 上级</w:t>
            </w:r>
          </w:p>
        </w:tc>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下级额度</w:t>
            </w:r>
          </w:p>
        </w:tc>
        <w:tc>
          <w:tcPr>
            <w:tcW w:type="dxa" w:w="198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+amount</w:t>
            </w:r>
          </w:p>
        </w:tc>
        <w:tc>
          <w:tcPr>
            <w:tcW w:type="dxa" w:w="198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-amount</w:t>
            </w:r>
          </w:p>
        </w:tc>
      </w:tr>
    </w:tbl>
    <w:p>
      <w:pPr>
        <w:pStyle w:val="Heading3"/>
        <w:spacing w:after="100" w:before="220"/>
      </w:pPr>
      <w:r>
        <w:rPr>
          <w:rFonts w:ascii="Microsoft YaHei" w:cs="Microsoft YaHei" w:eastAsia="Microsoft YaHei" w:hAnsi="Microsoft YaHei"/>
          <w:b/>
          <w:bCs/>
          <w:color w:val="333F50"/>
          <w:sz w:val="26"/>
          <w:szCs w:val="26"/>
        </w:rPr>
        <w:t xml:space="preserve">4.6.2 弹窗结构(上分 / 下分通用)</w:t>
      </w:r>
    </w:p>
    <w:p>
      <w:pPr>
        <w:spacing w:after="40" w:before="40"/>
      </w:pPr>
      <w:r>
        <w:rPr>
          <w:rFonts w:ascii="Microsoft YaHei" w:cs="Microsoft YaHei" w:eastAsia="Microsoft YaHei" w:hAnsi="Microsoft YaHei"/>
          <w:b w:val="false"/>
          <w:bCs w:val="false"/>
          <w:i w:val="false"/>
          <w:iCs w:val="false"/>
          <w:color w:val="262626"/>
          <w:sz w:val="22"/>
          <w:szCs w:val="22"/>
        </w:rPr>
        <w:t xml:space="preserve">两个弹窗结构完全相同,区别仅在标题与金额字段名。弹窗宽 720 px,内部从上到下分为四个信息区块: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区块</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48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上级信息</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昵称(系统户口号) + 代理线:币种 / 佣金率 / 额度</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示例:qweqwe(qweqwe) 代理线 币种:PHP 佣金率:1.5% 额度:600万。“额度”= 所选上级在该币种的当前可用余额,实时值,切换上级后刷新</w:t>
            </w:r>
          </w:p>
        </w:tc>
      </w:tr>
      <w:tr>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下级信息</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昵称(系统户口号) + 代理线:币种 / 佣金率 / 额度</w:t>
            </w:r>
          </w:p>
        </w:tc>
        <w:tc>
          <w:tcPr>
            <w:tcW w:type="dxa" w:w="4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示例:Carry(qweqwe-1) 代理线 币种:PHP 佣金率:0.5% 额度:50 万。与“① 上级信息”字段完全对称;“额度”= 下级当前可用余额,实时值,作为本次上下分的显性上下文(V1.11 起要求展示)</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③ 金额输入</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上分额度 / 下级额度(二选一) + 调整后预览</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金额字段必填;单位按币种本位(如 PHP 元);前端支持千分位分隔符;聚焦时高亮金黄色描边。当金额为合法正数时,输入框下方实时渲染一行“调整后预览:上级 X → X' · 下级 Y → Y'”,上分方向上级减 / 下级增,下分反向;任一侧预览值 &lt; 0 时该行整体变红提示(不阻塞输入,submit 侧仍做兜底校验)</w:t>
            </w:r>
          </w:p>
        </w:tc>
      </w:tr>
      <w:tr>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④ 安全校验</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w:t>
            </w:r>
          </w:p>
        </w:tc>
        <w:tc>
          <w:tcPr>
            <w:tcW w:type="dxa" w:w="4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必填;当前登录代理的登录密码;用于写操作二次校验</w:t>
            </w:r>
          </w:p>
        </w:tc>
      </w:tr>
    </w:tbl>
    <w:p>
      <w:pPr>
        <w:pStyle w:val="Heading3"/>
        <w:spacing w:after="100" w:before="220"/>
      </w:pPr>
      <w:r>
        <w:rPr>
          <w:rFonts w:ascii="Microsoft YaHei" w:cs="Microsoft YaHei" w:eastAsia="Microsoft YaHei" w:hAnsi="Microsoft YaHei"/>
          <w:b/>
          <w:bCs/>
          <w:color w:val="333F50"/>
          <w:sz w:val="26"/>
          <w:szCs w:val="26"/>
        </w:rPr>
        <w:t xml:space="preserve">4.6.3 上级身份切换(扩展能力)</w:t>
      </w:r>
    </w:p>
    <w:p>
      <w:pPr>
        <w:spacing w:after="40" w:before="40"/>
      </w:pPr>
      <w:r>
        <w:rPr>
          <w:rFonts w:ascii="Microsoft YaHei" w:cs="Microsoft YaHei" w:eastAsia="Microsoft YaHei" w:hAnsi="Microsoft YaHei"/>
          <w:b w:val="false"/>
          <w:bCs w:val="false"/>
          <w:i w:val="false"/>
          <w:iCs w:val="false"/>
          <w:color w:val="262626"/>
          <w:sz w:val="22"/>
          <w:szCs w:val="22"/>
        </w:rPr>
        <w:t xml:space="preserve">考虑到无限层级代理体系中代理可能拥有多条上级路径,或需要代表不同层级的上级对深层下级做划转,弹窗的“上级信息”区块需要支持上级切换:</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当存在可选的上级路径(≥ 2 个)时,上级信息区提供下拉或单选切换器</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切换上级后,该区块的“币种 / 佣金率 / 额度”需要实时刷新;同时后端校验该切换是否越权</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仅一个上级可选时不展示切换器,只读展示</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研发确认:是否引入上级切换能力?如暂不实现,可先把上级固定为当前登录代理,但需要在后端接口预留 parentAgentId 参数以便后续平滑升级。</w:t>
      </w:r>
    </w:p>
    <w:p>
      <w:pPr>
        <w:pStyle w:val="Heading3"/>
        <w:spacing w:after="100" w:before="220"/>
      </w:pPr>
      <w:r>
        <w:rPr>
          <w:rFonts w:ascii="Microsoft YaHei" w:cs="Microsoft YaHei" w:eastAsia="Microsoft YaHei" w:hAnsi="Microsoft YaHei"/>
          <w:b/>
          <w:bCs/>
          <w:color w:val="333F50"/>
          <w:sz w:val="26"/>
          <w:szCs w:val="26"/>
        </w:rPr>
        <w:t xml:space="preserve">4.6.4 字段规则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00"/>
        <w:gridCol w:w="4060"/>
      </w:tblGrid>
      <w:tr>
        <w:trPr>
          <w:tblHeader/>
        </w:trPr>
        <w:tc>
          <w:tcPr>
            <w:tcW w:type="dxa" w:w="2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类型</w:t>
            </w:r>
          </w:p>
        </w:tc>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40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校验规则</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parentAgentId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是(前端隐式)</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所选上级的系统户口号;当前代理必须对其有操作权限</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targetAccountId</w:t>
            </w:r>
          </w:p>
        </w:tc>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是(前端隐式)</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目标下级系统户口号;必须是上级的直接或间接下线</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amount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decimal(18,2)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正数;≥ 0.01;不设单笔上限(钱流封闭,参考账房侧对顶代的线下授权机制);上分时 ≤ 上级可用余额;下分时 ≤ 下级可用余额</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operationPassword</w:t>
            </w:r>
          </w:p>
        </w:tc>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等于当前登录代理的登录密码(明文传输需走 HTTPS;或客户端做一次加盐哈希,由双方协议约定)</w:t>
            </w:r>
          </w:p>
        </w:tc>
      </w:tr>
    </w:tbl>
    <w:p>
      <w:pPr>
        <w:pStyle w:val="Heading3"/>
        <w:spacing w:after="100" w:before="220"/>
      </w:pPr>
      <w:r>
        <w:rPr>
          <w:rFonts w:ascii="Microsoft YaHei" w:cs="Microsoft YaHei" w:eastAsia="Microsoft YaHei" w:hAnsi="Microsoft YaHei"/>
          <w:b/>
          <w:bCs/>
          <w:color w:val="333F50"/>
          <w:sz w:val="26"/>
          <w:szCs w:val="26"/>
        </w:rPr>
        <w:t xml:space="preserve">4.6.5 前置校验</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上级与下级必须在同一币种下;如所选上级无该下级的该币种账户,按钮灰化并 tooltip 提示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下级账号状态必须为“启用”;禁用账号禁止任何方向的划转,保护资金</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上分:所选上级在该币种的“额度(可用余额)” ≥ amount</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下分:下级在该币种的可用余额 ≥ amount(自 V1.11 起前端已在“② 下级信息”显性展示下级额度,并在“③ 金额输入”的“调整后预览”行实时计算;前端输入时即可识别超额,后端仍做最终兜底校验)</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不设单笔上限:体育代理后台内部上下分本质是同币种零和对冲,不涉及真实资金流出,因此不强制设置单笔金额上限。真实资金侧的线下授权与单笔关卡由账房系统在顶代上下分环节负责</w:t>
      </w:r>
    </w:p>
    <w:p>
      <w:pPr>
        <w:pStyle w:val="Heading3"/>
        <w:spacing w:after="100" w:before="220"/>
      </w:pPr>
      <w:r>
        <w:rPr>
          <w:rFonts w:ascii="Microsoft YaHei" w:cs="Microsoft YaHei" w:eastAsia="Microsoft YaHei" w:hAnsi="Microsoft YaHei"/>
          <w:b/>
          <w:bCs/>
          <w:color w:val="333F50"/>
          <w:sz w:val="26"/>
          <w:szCs w:val="26"/>
        </w:rPr>
        <w:t xml:space="preserve">4.6.6 交互流程</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在下线列表行操作区点击“上分” / “下分” → 弹出对应弹窗,带出上级与下级信息</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(可选)切换上级 → 额度随所选上级实时刷新</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填写金额 → 前端实时校验(正数、精度、上限、余额足额)</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填写操作密码 → 点击“确认”</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前端调用 POST /api/agent/credit/up 或 /api/agent/credit/down,请求头携带 requestId 保证幂等</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后端顺序执行:① 校验操作密码 → ② 校验上级身份与权限 → ③ 校验币种、状态、金额 → ④ 事务性地执行双方余额变动并写流水</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成功:弹窗关闭,Toast “上分成功” / “下分成功”,列表对应行余额刷新;失败:弹窗保留,顶部 Error Banner + 字段级提示</w:t>
      </w:r>
    </w:p>
    <w:p>
      <w:pPr>
        <w:pStyle w:val="Heading3"/>
        <w:spacing w:after="100" w:before="220"/>
      </w:pPr>
      <w:r>
        <w:rPr>
          <w:rFonts w:ascii="Microsoft YaHei" w:cs="Microsoft YaHei" w:eastAsia="Microsoft YaHei" w:hAnsi="Microsoft YaHei"/>
          <w:b/>
          <w:bCs/>
          <w:color w:val="333F50"/>
          <w:sz w:val="26"/>
          <w:szCs w:val="26"/>
        </w:rPr>
        <w:t xml:space="preserve">4.6.7 交易一致性与幂等</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后端必须使用数据库事务或分布式事务保证“上级扣减 + 下级增加”(或反向)的原子性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生成唯一流水号 txnId,双方余额变动与流水表写入同一事务,便于对账</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幂等:前端生成 requestId,后端 24 小时内识别重复请求,避免用户双击导致重复扣款</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失败回滚:任何一侧写入失败必须整体回滚,并返回业务错误码给前端处理</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研发确认:是否接入统一账户中心(UAC)还是在本模块内实现账本?这决定幂等、重试、对账、异步补偿的实现路径。</w:t>
      </w:r>
    </w:p>
    <w:p>
      <w:pPr>
        <w:pStyle w:val="Heading3"/>
        <w:spacing w:after="100" w:before="220"/>
      </w:pPr>
      <w:r>
        <w:rPr>
          <w:rFonts w:ascii="Microsoft YaHei" w:cs="Microsoft YaHei" w:eastAsia="Microsoft YaHei" w:hAnsi="Microsoft YaHei"/>
          <w:b/>
          <w:bCs/>
          <w:color w:val="333F50"/>
          <w:sz w:val="26"/>
          <w:szCs w:val="26"/>
        </w:rPr>
        <w:t xml:space="preserve">4.6.8 错误场景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错误</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触发条件</w:t>
            </w:r>
          </w:p>
        </w:tc>
        <w:tc>
          <w:tcPr>
            <w:tcW w:type="dxa" w:w="41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前端提示</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金额格式错误</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含字母 / 负数 / 小数超 2 位</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金额字段下红字:“请输入正确金额”</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上级余额不足</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上分时所选上级可用余额 &lt; amount</w:t>
            </w:r>
          </w:p>
        </w:tc>
        <w:tc>
          <w:tcPr>
            <w:tcW w:type="dxa" w:w="4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金额字段下红字:“上级余额不足,当前可用 Y 万”</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下级余额不足</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下分时下级可用余额 &lt; amount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“下级余额不足” + 金额字段抖动提示</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下级账号已禁用</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目标下级状态 = 禁用</w:t>
            </w:r>
          </w:p>
        </w:tc>
        <w:tc>
          <w:tcPr>
            <w:tcW w:type="dxa" w:w="4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入口按钮禁用 + tooltip;兜底后端 code=4003</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币种不一致</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所选上级 / 下级币种不一致</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入口按钮禁用;后端兜底</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操作密码错误</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密码与登录密码不匹配</w:t>
            </w:r>
          </w:p>
        </w:tc>
        <w:tc>
          <w:tcPr>
            <w:tcW w:type="dxa" w:w="4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操作密码下红字:“操作密码错误”;连续 5 次锁定 10 分钟</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权限不足</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所选上级非当前代理可代理身份</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“无权限代理该上级操作” 并关闭弹窗</w:t>
            </w:r>
          </w:p>
        </w:tc>
      </w:tr>
    </w:tbl>
    <w:p>
      <w:pPr>
        <w:pStyle w:val="Heading2"/>
        <w:spacing w:after="140" w:before="280"/>
      </w:pPr>
      <w:r>
        <w:rPr>
          <w:rFonts w:ascii="Microsoft YaHei" w:cs="Microsoft YaHei" w:eastAsia="Microsoft YaHei" w:hAnsi="Microsoft YaHei"/>
          <w:b/>
          <w:bCs/>
          <w:color w:val="2E75B6"/>
          <w:sz w:val="30"/>
          <w:szCs w:val="30"/>
        </w:rPr>
        <w:t xml:space="preserve">4.7 FN-ACC-07 启用 / 禁用</w:t>
      </w:r>
    </w:p>
    <w:p>
      <w:pPr>
        <w:pStyle w:val="Heading3"/>
        <w:spacing w:after="100" w:before="220"/>
      </w:pPr>
      <w:r>
        <w:rPr>
          <w:rFonts w:ascii="Microsoft YaHei" w:cs="Microsoft YaHei" w:eastAsia="Microsoft YaHei" w:hAnsi="Microsoft YaHei"/>
          <w:b/>
          <w:bCs/>
          <w:color w:val="333F50"/>
          <w:sz w:val="26"/>
          <w:szCs w:val="26"/>
        </w:rPr>
        <w:t xml:space="preserve">4.7.1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对下线账号进行软冻结/恢复。禁用 = 完全禁用,账号将无法登录、无法投注、无法接收上分、无法发起下分。</w:t>
      </w:r>
    </w:p>
    <w:p>
      <w:pPr>
        <w:pStyle w:val="Heading3"/>
        <w:spacing w:after="100" w:before="220"/>
      </w:pPr>
      <w:r>
        <w:rPr>
          <w:rFonts w:ascii="Microsoft YaHei" w:cs="Microsoft YaHei" w:eastAsia="Microsoft YaHei" w:hAnsi="Microsoft YaHei"/>
          <w:b/>
          <w:bCs/>
          <w:color w:val="333F50"/>
          <w:sz w:val="26"/>
          <w:szCs w:val="26"/>
        </w:rPr>
        <w:t xml:space="preserve">4.7.2 状态机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4560"/>
      </w:tblGrid>
      <w:tr>
        <w:trPr>
          <w:tblHeader/>
        </w:trPr>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当前状态</w:t>
            </w:r>
          </w:p>
        </w:tc>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可触发操作</w:t>
            </w:r>
          </w:p>
        </w:tc>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下一状态</w:t>
            </w:r>
          </w:p>
        </w:tc>
        <w:tc>
          <w:tcPr>
            <w:tcW w:type="dxa" w:w="4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副作用</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点击“禁用”按钮</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禁用</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踢出已登录会话;未结算注单按运营侧风控策略处理;该下线及其所有子级一并禁用(可配置)</w:t>
            </w:r>
          </w:p>
        </w:tc>
      </w:tr>
      <w:tr>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禁用</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点击“启用”按钮</w:t>
            </w:r>
          </w:p>
        </w:tc>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w:t>
            </w:r>
          </w:p>
        </w:tc>
        <w:tc>
          <w:tcPr>
            <w:tcW w:type="dxa" w:w="4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恢复登录、交易、划转能力;子级账号状态保持不变(不做级联恢复)</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是否级联禁用全部下线?建议默认级联,但保留运营后台开关。请在需求评审确认。</w:t>
      </w:r>
    </w:p>
    <w:p>
      <w:pPr>
        <w:pStyle w:val="Heading3"/>
        <w:spacing w:after="100" w:before="220"/>
      </w:pPr>
      <w:r>
        <w:rPr>
          <w:rFonts w:ascii="Microsoft YaHei" w:cs="Microsoft YaHei" w:eastAsia="Microsoft YaHei" w:hAnsi="Microsoft YaHei"/>
          <w:b/>
          <w:bCs/>
          <w:color w:val="333F50"/>
          <w:sz w:val="26"/>
          <w:szCs w:val="26"/>
        </w:rPr>
        <w:t xml:space="preserve">4.7.3 二次确认</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点击禁用按钮 → 弹出二次确认框,显示影响范围(包括下级数量、冻结余额合计)</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高危操作(下级数量 ≥ 10 或总线余额 ≥ 10 万 PHP 等值)要求输入 Google 验证码或短信验证码</w:t>
      </w:r>
    </w:p>
    <w:p>
      <w:pPr>
        <w:pStyle w:val="Heading2"/>
        <w:spacing w:after="140" w:before="280"/>
      </w:pPr>
      <w:r>
        <w:rPr>
          <w:rFonts w:ascii="Microsoft YaHei" w:cs="Microsoft YaHei" w:eastAsia="Microsoft YaHei" w:hAnsi="Microsoft YaHei"/>
          <w:b/>
          <w:bCs/>
          <w:color w:val="2E75B6"/>
          <w:sz w:val="30"/>
          <w:szCs w:val="30"/>
        </w:rPr>
        <w:t xml:space="preserve">4.8 FN-ACC-08 展开子级</w:t>
      </w:r>
    </w:p>
    <w:p>
      <w:pPr>
        <w:spacing w:after="40" w:before="40"/>
      </w:pPr>
      <w:r>
        <w:rPr>
          <w:rFonts w:ascii="Microsoft YaHei" w:cs="Microsoft YaHei" w:eastAsia="Microsoft YaHei" w:hAnsi="Microsoft YaHei"/>
          <w:b w:val="false"/>
          <w:bCs w:val="false"/>
          <w:i w:val="false"/>
          <w:iCs w:val="false"/>
          <w:color w:val="262626"/>
          <w:sz w:val="22"/>
          <w:szCs w:val="22"/>
        </w:rPr>
        <w:t xml:space="preserve">详见 4.3.4 展开/收起。此处强调性能与 UI 要求:</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单次展开仅加载直属下一级,不递归返回整棵树</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已展开节点前端做短期缓存(5 分钟),刷新或切换筛选条件时清空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前端展开层级通过缩进(每级 24 px)和连接线辅助视觉层次</w:t>
      </w:r>
    </w:p>
    <w:p>
      <w:pPr>
        <w:pStyle w:val="Heading2"/>
        <w:spacing w:after="140" w:before="280"/>
      </w:pPr>
      <w:r>
        <w:rPr>
          <w:rFonts w:ascii="Microsoft YaHei" w:cs="Microsoft YaHei" w:eastAsia="Microsoft YaHei" w:hAnsi="Microsoft YaHei"/>
          <w:b/>
          <w:bCs/>
          <w:color w:val="2E75B6"/>
          <w:sz w:val="30"/>
          <w:szCs w:val="30"/>
        </w:rPr>
        <w:t xml:space="preserve">4.9 FN-ACC-10 修改密码</w:t>
      </w:r>
    </w:p>
    <w:p>
      <w:pPr>
        <w:pStyle w:val="Heading3"/>
        <w:spacing w:after="100" w:before="220"/>
      </w:pPr>
      <w:r>
        <w:rPr>
          <w:rFonts w:ascii="Microsoft YaHei" w:cs="Microsoft YaHei" w:eastAsia="Microsoft YaHei" w:hAnsi="Microsoft YaHei"/>
          <w:b/>
          <w:bCs/>
          <w:color w:val="333F50"/>
          <w:sz w:val="26"/>
          <w:szCs w:val="26"/>
        </w:rPr>
        <w:t xml:space="preserve">4.9.1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修改当前登录代理账号的登录密码。本功能按入口区分两类语义,核心差异在“取消 / 关闭”时是否强制登出: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① 首次登录强制弹出(must_change_password = true):弹窗是硬门槛,不改密码无法继续使用后台。用户选择关闭 / 取消 → 直接清除会话跳登录页;修改成功 → 清除会话跳登录页重新登录。</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② 页内主动触发(顶部下拉菜单):弹窗仅作为功能入口,可随时取消或关闭,不影响当前会话。仅在“修改成功”后才强制清除会话并跳登录页(出于安全考虑防止旧密码会话继续存在)。</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两种场景共用同一套字段、校验与接口,只在关闭路径上差异化;前端实现建议通过 openChangePwd({forced: true|false}) 传参区分。</w:t>
      </w:r>
    </w:p>
    <w:p>
      <w:pPr>
        <w:pStyle w:val="Heading3"/>
        <w:spacing w:after="100" w:before="220"/>
      </w:pPr>
      <w:r>
        <w:rPr>
          <w:rFonts w:ascii="Microsoft YaHei" w:cs="Microsoft YaHei" w:eastAsia="Microsoft YaHei" w:hAnsi="Microsoft YaHei"/>
          <w:b/>
          <w:bCs/>
          <w:color w:val="333F50"/>
          <w:sz w:val="26"/>
          <w:szCs w:val="26"/>
        </w:rPr>
        <w:t xml:space="preserve">4.9.2 入口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入口</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触发条件</w:t>
            </w:r>
          </w:p>
        </w:tc>
        <w:tc>
          <w:tcPr>
            <w:tcW w:type="dxa" w:w="4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用户名下拉菜单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任意已登录代理</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顶部右上角头像 / 账号名点击展开菜单 → “修改密码”菜单项</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首次登录强制弹出</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新账户首次登录 / 运营重置密码后首次登录</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后端登录接口返回 must_change_password = true;前端拿到标记后强制弹出修改密码弹窗,在密码成功修改前无法操作任何后台功能</w:t>
            </w:r>
          </w:p>
        </w:tc>
      </w:tr>
    </w:tbl>
    <w:p>
      <w:pPr>
        <w:pStyle w:val="Heading3"/>
        <w:spacing w:after="100" w:before="220"/>
      </w:pPr>
      <w:r>
        <w:rPr>
          <w:rFonts w:ascii="Microsoft YaHei" w:cs="Microsoft YaHei" w:eastAsia="Microsoft YaHei" w:hAnsi="Microsoft YaHei"/>
          <w:b/>
          <w:bCs/>
          <w:color w:val="333F50"/>
          <w:sz w:val="26"/>
          <w:szCs w:val="26"/>
        </w:rPr>
        <w:t xml:space="preserve">4.9.3 弹窗字段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100"/>
        <w:gridCol w:w="35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3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校验规则</w:t>
            </w:r>
          </w:p>
        </w:tc>
        <w:tc>
          <w:tcPr>
            <w:tcW w:type="dxa" w:w="3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UI 细节</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请输入旧密码</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非空;提交时由后端校验是否与当前密码哈希匹配</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右侧显示可见性切换图标(睁眼 / 闭眼),默认隐藏明文</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请输入新密码</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6~20 位;英文 / 数字 / 字符混合;不支持空格;不可与旧密码相同</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同上;默认隐藏</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请确认新密码</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必须与“请输入新密码”完全一致</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同上;默认隐藏</w:t>
            </w:r>
          </w:p>
        </w:tc>
      </w:tr>
    </w:tbl>
    <w:p>
      <w:pPr>
        <w:pStyle w:val="Heading3"/>
        <w:spacing w:after="100" w:before="220"/>
      </w:pPr>
      <w:r>
        <w:rPr>
          <w:rFonts w:ascii="Microsoft YaHei" w:cs="Microsoft YaHei" w:eastAsia="Microsoft YaHei" w:hAnsi="Microsoft YaHei"/>
          <w:b/>
          <w:bCs/>
          <w:color w:val="333F50"/>
          <w:sz w:val="26"/>
          <w:szCs w:val="26"/>
        </w:rPr>
        <w:t xml:space="preserve">4.9.4 密码可见性切换</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每个密码输入框右侧内嵌一个眼睛图标按钮</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睁眼图标(⊙)= 当前明文展示;点击切换为闭眼图标(⊘)= 隐藏为圆点</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默认状态:闭眼(隐藏)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三个字段的可见性状态相互独立,不联动</w:t>
      </w:r>
    </w:p>
    <w:p>
      <w:pPr>
        <w:pStyle w:val="Heading3"/>
        <w:spacing w:after="100" w:before="220"/>
      </w:pPr>
      <w:r>
        <w:rPr>
          <w:rFonts w:ascii="Microsoft YaHei" w:cs="Microsoft YaHei" w:eastAsia="Microsoft YaHei" w:hAnsi="Microsoft YaHei"/>
          <w:b/>
          <w:bCs/>
          <w:color w:val="333F50"/>
          <w:sz w:val="26"/>
          <w:szCs w:val="26"/>
        </w:rPr>
        <w:t xml:space="preserve">4.9.5 交互流程</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触发入口(首次登录强制 or 页内主动) → 弹出修改密码弹窗</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首次登录强制场景:背景加遮罩,禁止 ESC 关闭,但保留 × / 取消按钮;页内主动场景:允许 ESC 关闭,× / 取消按钮行为为普通关闭</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用户依次输入旧密码 / 新密码 / 确认新密码</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前端同步校验:字段非空、新密码格式合规、两次新密码一致、新密码 ≠ 旧密码</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点击“确认” → 调用 POST /api/agent/password 接口</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后端返回:① 成功 → Toast “密码修改成功,请重新登录” → 清除会话跳登录页(两种场景一致);② 失败 → Toast 错误原因,弹窗保持打开让用户重试(不自动登出),两种场景一致</w:t>
      </w:r>
    </w:p>
    <w:p>
      <w:pPr>
        <w:pStyle w:val="Heading3"/>
        <w:spacing w:after="100" w:before="220"/>
      </w:pPr>
      <w:r>
        <w:rPr>
          <w:rFonts w:ascii="Microsoft YaHei" w:cs="Microsoft YaHei" w:eastAsia="Microsoft YaHei" w:hAnsi="Microsoft YaHei"/>
          <w:b/>
          <w:bCs/>
          <w:color w:val="333F50"/>
          <w:sz w:val="26"/>
          <w:szCs w:val="26"/>
        </w:rPr>
        <w:t xml:space="preserve">4.9.6 关闭弹窗的差异化行为</w:t>
      </w:r>
    </w:p>
    <w:p>
      <w:pPr>
        <w:spacing w:after="40" w:before="40"/>
      </w:pPr>
      <w:r>
        <w:rPr>
          <w:rFonts w:ascii="Microsoft YaHei" w:cs="Microsoft YaHei" w:eastAsia="Microsoft YaHei" w:hAnsi="Microsoft YaHei"/>
          <w:b w:val="false"/>
          <w:bCs w:val="false"/>
          <w:i w:val="false"/>
          <w:iCs w:val="false"/>
          <w:color w:val="262626"/>
          <w:sz w:val="22"/>
          <w:szCs w:val="22"/>
        </w:rPr>
        <w:t xml:space="preserve">下表以“入口场景 × 用户动作”二维矩阵列出前端处理,研发实现时建议把 forced 标记透传到弹窗 onClose 钩子内统一判断。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入口场景</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用户动作</w:t>
            </w:r>
          </w:p>
        </w:tc>
        <w:tc>
          <w:tcPr>
            <w:tcW w:type="dxa" w:w="4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前端处理</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首次登录强制</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点击右上角 ×</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清除会话 → 跳转登录页(Toast:“未修改密码,已退出登录”)</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首次登录强制</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点击“取消”</w:t>
            </w:r>
          </w:p>
        </w:tc>
        <w:tc>
          <w:tcPr>
            <w:tcW w:type="dxa" w:w="4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清除会话 → 跳转登录页(Toast 同上)</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首次登录强制</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点击“确认”(校验通过 &amp; 接口成功)</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“密码修改成功,请重新登录” → 清除会话跳登录页</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首次登录强制</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点击“确认”(接口失败)</w:t>
            </w:r>
          </w:p>
        </w:tc>
        <w:tc>
          <w:tcPr>
            <w:tcW w:type="dxa" w:w="4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错误原因 → 弹窗保持打开,允许重试;不登出</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首次登录强制</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点击“确认”(前端校验未通过)</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字段下红字提示 → 不调用接口,不关闭弹窗,不登出</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页内主动触发</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点击右上角 ×</w:t>
            </w:r>
          </w:p>
        </w:tc>
        <w:tc>
          <w:tcPr>
            <w:tcW w:type="dxa" w:w="4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仅关闭弹窗,会话保持,继续使用后台</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页内主动触发</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点击“取消”</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同上,仅关闭弹窗,会话保持</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页内主动触发</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点击“确认”(校验通过 &amp; 接口成功)</w:t>
            </w:r>
          </w:p>
        </w:tc>
        <w:tc>
          <w:tcPr>
            <w:tcW w:type="dxa" w:w="4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“密码修改成功,请重新登录” → 清除会话跳登录页(安全策略,防止旧密码会话残留)</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页内主动触发</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点击“确认”(接口失败)</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错误原因 → 弹窗保持打开,允许重试;不登出,不影响当前会话</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页内主动触发</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点击“确认”(前端校验未通过)</w:t>
            </w:r>
          </w:p>
        </w:tc>
        <w:tc>
          <w:tcPr>
            <w:tcW w:type="dxa" w:w="4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字段下红字提示 → 不调用接口,不关闭弹窗,不登出</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关键区别:① 首次登录场景下 × / 取消 = 直接登出(因为不改密码无法进入后台);② 页内主动场景下 × / 取消 = 普通关闭,会话保持。两种场景在“修改成功”后均强制登出重登,保证新密码会话隔离。</w:t>
      </w:r>
    </w:p>
    <w:p>
      <w:pPr>
        <w:pStyle w:val="Heading3"/>
        <w:spacing w:after="100" w:before="220"/>
      </w:pPr>
      <w:r>
        <w:rPr>
          <w:rFonts w:ascii="Microsoft YaHei" w:cs="Microsoft YaHei" w:eastAsia="Microsoft YaHei" w:hAnsi="Microsoft YaHei"/>
          <w:b/>
          <w:bCs/>
          <w:color w:val="333F50"/>
          <w:sz w:val="26"/>
          <w:szCs w:val="26"/>
        </w:rPr>
        <w:t xml:space="preserve">4.9.7 接口与字段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1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类型</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54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oldPassword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用户输入的旧密码明文;HTTPS 传输;后端比对当前密码哈希</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newPassword</w:t>
            </w:r>
          </w:p>
        </w:tc>
        <w:tc>
          <w:tcPr>
            <w:tcW w:type="dxa" w:w="1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54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用户输入的新密码明文;HTTPS 传输;后端 bcrypt 哈希后写入</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confirmPassword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与 newPassword 必须一致;后端二次兜底校验</w:t>
            </w:r>
          </w:p>
        </w:tc>
      </w:tr>
    </w:tbl>
    <w:p>
      <w:pPr>
        <w:pStyle w:val="Heading3"/>
        <w:spacing w:after="100" w:before="220"/>
      </w:pPr>
      <w:r>
        <w:rPr>
          <w:rFonts w:ascii="Microsoft YaHei" w:cs="Microsoft YaHei" w:eastAsia="Microsoft YaHei" w:hAnsi="Microsoft YaHei"/>
          <w:b/>
          <w:bCs/>
          <w:color w:val="333F50"/>
          <w:sz w:val="26"/>
          <w:szCs w:val="26"/>
        </w:rPr>
        <w:t xml:space="preserve">4.9.8 错误场景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错误</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触发条件</w:t>
            </w:r>
          </w:p>
        </w:tc>
        <w:tc>
          <w:tcPr>
            <w:tcW w:type="dxa" w:w="41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前端提示</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旧密码为空</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字段未填</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字段下红字:“请输入旧密码”;不提交,不登出(两场景一致)</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新密码格式不符</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长度 / 字符 / 空格 不合规</w:t>
            </w:r>
          </w:p>
        </w:tc>
        <w:tc>
          <w:tcPr>
            <w:tcW w:type="dxa" w:w="4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字段下红字:“6~20 位,不支持空格”;不提交,不登出</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新旧密码一致</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newPassword == oldPassword</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字段下红字:“新密码不能与旧密码相同”;不提交,不登出</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两次新密码不一致</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newPassword ≠ confirmPassword</w:t>
            </w:r>
          </w:p>
        </w:tc>
        <w:tc>
          <w:tcPr>
            <w:tcW w:type="dxa" w:w="4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确认字段下红字;不提交,不登出</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旧密码错误</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后端比对失败(接口返回业务错误码)</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“旧密码错误” → 弹窗保持打开允许重试;不登出(两种场景一致,避免首次登录用户被踢回登录页陷入死循环)</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接口异常 / 超时</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后端 5xx / 网络错误</w:t>
            </w:r>
          </w:p>
        </w:tc>
        <w:tc>
          <w:tcPr>
            <w:tcW w:type="dxa" w:w="4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“系统异常,请稍后重试” → 弹窗保持打开;不登出</w:t>
            </w:r>
          </w:p>
        </w:tc>
      </w:tr>
    </w:tbl>
    <w:p>
      <w:pPr>
        <w:pStyle w:val="Heading2"/>
        <w:spacing w:after="140" w:before="280"/>
      </w:pPr>
      <w:r>
        <w:rPr>
          <w:rFonts w:ascii="Microsoft YaHei" w:cs="Microsoft YaHei" w:eastAsia="Microsoft YaHei" w:hAnsi="Microsoft YaHei"/>
          <w:b/>
          <w:bCs/>
          <w:color w:val="2E75B6"/>
          <w:sz w:val="30"/>
          <w:szCs w:val="30"/>
        </w:rPr>
        <w:t xml:space="preserve">4.10 FN-ACC-11 退出系统</w:t>
      </w:r>
    </w:p>
    <w:p>
      <w:pPr>
        <w:pStyle w:val="Heading3"/>
        <w:spacing w:after="100" w:before="220"/>
      </w:pPr>
      <w:r>
        <w:rPr>
          <w:rFonts w:ascii="Microsoft YaHei" w:cs="Microsoft YaHei" w:eastAsia="Microsoft YaHei" w:hAnsi="Microsoft YaHei"/>
          <w:b/>
          <w:bCs/>
          <w:color w:val="333F50"/>
          <w:sz w:val="26"/>
          <w:szCs w:val="26"/>
        </w:rPr>
        <w:t xml:space="preserve">4.10.1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代理主动退出当前登录会话,返回登录页。</w:t>
      </w:r>
    </w:p>
    <w:p>
      <w:pPr>
        <w:pStyle w:val="Heading3"/>
        <w:spacing w:after="100" w:before="220"/>
      </w:pPr>
      <w:r>
        <w:rPr>
          <w:rFonts w:ascii="Microsoft YaHei" w:cs="Microsoft YaHei" w:eastAsia="Microsoft YaHei" w:hAnsi="Microsoft YaHei"/>
          <w:b/>
          <w:bCs/>
          <w:color w:val="333F50"/>
          <w:sz w:val="26"/>
          <w:szCs w:val="26"/>
        </w:rPr>
        <w:t xml:space="preserve">4.10.2 入口</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顶部右上角头像 / 账号名下拉菜单 → “退出系统”菜单项</w:t>
      </w:r>
    </w:p>
    <w:p>
      <w:pPr>
        <w:pStyle w:val="Heading3"/>
        <w:spacing w:after="100" w:before="220"/>
      </w:pPr>
      <w:r>
        <w:rPr>
          <w:rFonts w:ascii="Microsoft YaHei" w:cs="Microsoft YaHei" w:eastAsia="Microsoft YaHei" w:hAnsi="Microsoft YaHei"/>
          <w:b/>
          <w:bCs/>
          <w:color w:val="333F50"/>
          <w:sz w:val="26"/>
          <w:szCs w:val="26"/>
        </w:rPr>
        <w:t xml:space="preserve">4.10.3 弹窗内容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元素</w:t>
            </w:r>
          </w:p>
        </w:tc>
        <w:tc>
          <w:tcPr>
            <w:tcW w:type="dxa" w:w="7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内容 / 规则</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标题</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“退出”,居中徽章样式</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正文</w:t>
            </w:r>
          </w:p>
        </w:tc>
        <w:tc>
          <w:tcPr>
            <w:tcW w:type="dxa" w:w="7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单行文案:“请确定是否退出代理系统”,居中;字号较大(约 22 ~ 24 px)</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关闭按钮</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右上角 × 按钮,等价于“取消”</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底部按钮</w:t>
            </w:r>
          </w:p>
        </w:tc>
        <w:tc>
          <w:tcPr>
            <w:tcW w:type="dxa" w:w="7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“取消”(深色,次要) / “确认”(金黄色 #F0B93A,主要)</w:t>
            </w:r>
          </w:p>
        </w:tc>
      </w:tr>
    </w:tbl>
    <w:p>
      <w:pPr>
        <w:pStyle w:val="Heading3"/>
        <w:spacing w:after="100" w:before="220"/>
      </w:pPr>
      <w:r>
        <w:rPr>
          <w:rFonts w:ascii="Microsoft YaHei" w:cs="Microsoft YaHei" w:eastAsia="Microsoft YaHei" w:hAnsi="Microsoft YaHei"/>
          <w:b/>
          <w:bCs/>
          <w:color w:val="333F50"/>
          <w:sz w:val="26"/>
          <w:szCs w:val="26"/>
        </w:rPr>
        <w:t xml:space="preserve">4.10.4 交互行为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用户动作</w:t>
            </w:r>
          </w:p>
        </w:tc>
        <w:tc>
          <w:tcPr>
            <w:tcW w:type="dxa" w:w="74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前端处理</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点击“取消”或 ×</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关闭弹窗,停留在原页面,不做任何会话变更</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w:t>
            </w:r>
          </w:p>
        </w:tc>
        <w:tc>
          <w:tcPr>
            <w:tcW w:type="dxa" w:w="74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调用 POST /api/auth/logout → 清除本地 Token / 本地缓存 → 跳转登录页;若接口失败仍然执行本地清除并跳转(避免用户卡住)</w:t>
            </w:r>
          </w:p>
        </w:tc>
      </w:tr>
    </w:tbl>
    <w:p>
      <w:pPr>
        <w:pStyle w:val="Heading3"/>
        <w:spacing w:after="100" w:before="220"/>
      </w:pPr>
      <w:r>
        <w:rPr>
          <w:rFonts w:ascii="Microsoft YaHei" w:cs="Microsoft YaHei" w:eastAsia="Microsoft YaHei" w:hAnsi="Microsoft YaHei"/>
          <w:b/>
          <w:bCs/>
          <w:color w:val="333F50"/>
          <w:sz w:val="26"/>
          <w:szCs w:val="26"/>
        </w:rPr>
        <w:t xml:space="preserve">4.10.5 注意事项</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退出会话时如有正在进行的接口请求,统一 abort</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退出后若用户通过浏览器回退按钮尝试返回原页,需要校验 Token 无效并再次跳转登录页</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多标签同站点场景:建议通过 BroadcastChannel / storage 事件同步登出状态</w:t>
      </w:r>
    </w:p>
    <w:p>
      <w:pPr>
        <w:pStyle w:val="Heading2"/>
        <w:spacing w:after="140" w:before="280"/>
      </w:pPr>
      <w:r>
        <w:rPr>
          <w:rFonts w:ascii="Microsoft YaHei" w:cs="Microsoft YaHei" w:eastAsia="Microsoft YaHei" w:hAnsi="Microsoft YaHei"/>
          <w:b/>
          <w:bCs/>
          <w:color w:val="2E75B6"/>
          <w:sz w:val="30"/>
          <w:szCs w:val="30"/>
        </w:rPr>
        <w:t xml:space="preserve">4.11 FN-ACC-12 修改交收方案</w:t>
      </w:r>
    </w:p>
    <w:p>
      <w:pPr>
        <w:pStyle w:val="Heading3"/>
        <w:spacing w:after="100" w:before="220"/>
      </w:pPr>
      <w:r>
        <w:rPr>
          <w:rFonts w:ascii="Microsoft YaHei" w:cs="Microsoft YaHei" w:eastAsia="Microsoft YaHei" w:hAnsi="Microsoft YaHei"/>
          <w:b/>
          <w:bCs/>
          <w:color w:val="333F50"/>
          <w:sz w:val="26"/>
          <w:szCs w:val="26"/>
        </w:rPr>
        <w:t xml:space="preserve">4.11.1 功能定位</w:t>
      </w:r>
    </w:p>
    <w:p>
      <w:pPr>
        <w:spacing w:after="40" w:before="40"/>
      </w:pPr>
      <w:r>
        <w:rPr>
          <w:rFonts w:ascii="Microsoft YaHei" w:cs="Microsoft YaHei" w:eastAsia="Microsoft YaHei" w:hAnsi="Microsoft YaHei"/>
          <w:b w:val="false"/>
          <w:bCs w:val="false"/>
          <w:i w:val="false"/>
          <w:iCs w:val="false"/>
          <w:color w:val="262626"/>
          <w:sz w:val="22"/>
          <w:szCs w:val="22"/>
        </w:rPr>
        <w:t xml:space="preserve">修改交收方案 = 切换某条线的“币种 / 佣金率上限 / 显示佣金率”。这是一项高危操作,会改变下线及其整条子树的资金计价单位与结算口径。系统刻意将此操作从“修改资料”中独立出来,作为受限的专用入口。</w:t>
      </w:r>
    </w:p>
    <w:p>
      <w:pPr>
        <w:pStyle w:val="Heading3"/>
        <w:spacing w:after="100" w:before="220"/>
      </w:pPr>
      <w:r>
        <w:rPr>
          <w:rFonts w:ascii="Microsoft YaHei" w:cs="Microsoft YaHei" w:eastAsia="Microsoft YaHei" w:hAnsi="Microsoft YaHei"/>
          <w:b/>
          <w:bCs/>
          <w:color w:val="333F50"/>
          <w:sz w:val="26"/>
          <w:szCs w:val="26"/>
        </w:rPr>
        <w:t xml:space="preserve">4.11.2 操作权限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维度</w:t>
            </w:r>
          </w:p>
        </w:tc>
        <w:tc>
          <w:tcPr>
            <w:tcW w:type="dxa" w:w="7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约束</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可操作主体</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仅“顶级代理”可操作;非顶代账户不会看到本入口</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可操作对象</w:t>
            </w:r>
          </w:p>
        </w:tc>
        <w:tc>
          <w:tcPr>
            <w:tcW w:type="dxa" w:w="7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顶代仅可对自己的“直接下线”执行;不可跨层级直接修改孙线及更深层节点</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影响范围</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影响整条线:即被修改账号本人 + 其所有子孙账号(D3 级联)</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接口</w:t>
            </w:r>
          </w:p>
        </w:tc>
        <w:tc>
          <w:tcPr>
            <w:tcW w:type="dxa" w:w="7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PUT /api/agent/sub/{id}/scheme;请求头 X-Operation-Password;requestId 幂等</w:t>
            </w:r>
          </w:p>
        </w:tc>
      </w:tr>
    </w:tbl>
    <w:p>
      <w:pPr>
        <w:pStyle w:val="Heading3"/>
        <w:spacing w:after="100" w:before="220"/>
      </w:pPr>
      <w:r>
        <w:rPr>
          <w:rFonts w:ascii="Microsoft YaHei" w:cs="Microsoft YaHei" w:eastAsia="Microsoft YaHei" w:hAnsi="Microsoft YaHei"/>
          <w:b/>
          <w:bCs/>
          <w:color w:val="333F50"/>
          <w:sz w:val="26"/>
          <w:szCs w:val="26"/>
        </w:rPr>
        <w:t xml:space="preserve">4.11.3 前置硬性条件(可执行性校验)</w:t>
      </w:r>
    </w:p>
    <w:p>
      <w:pPr>
        <w:spacing w:after="40" w:before="40"/>
      </w:pPr>
      <w:r>
        <w:rPr>
          <w:rFonts w:ascii="Microsoft YaHei" w:cs="Microsoft YaHei" w:eastAsia="Microsoft YaHei" w:hAnsi="Microsoft YaHei"/>
          <w:b w:val="false"/>
          <w:bCs w:val="false"/>
          <w:i w:val="false"/>
          <w:iCs w:val="false"/>
          <w:color w:val="262626"/>
          <w:sz w:val="22"/>
          <w:szCs w:val="22"/>
        </w:rPr>
        <w:t xml:space="preserve">提交前后端均须严格校验以下条件,任一不满足直接拒绝并给出明确文案:</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被修改账号本人及其所有子孙账号的 可用余额 = 0、冻结余额 = 0、所有币种汇总皆为 0</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被修改账号本人及其所有子孙账号 当日(以业务自然日为准)无任何在途上下分流水</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被修改账号本人及其所有子孙账号 在游戏端无任何未结算注单(由游戏方接口实时反查)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操作发起代理(顶代)身份合法、未被禁用、未处于风控冻结</w:t>
      </w:r>
    </w:p>
    <w:p>
      <w:pPr>
        <w:pStyle w:val="Heading3"/>
        <w:spacing w:after="100" w:before="220"/>
      </w:pPr>
      <w:r>
        <w:rPr>
          <w:rFonts w:ascii="Microsoft YaHei" w:cs="Microsoft YaHei" w:eastAsia="Microsoft YaHei" w:hAnsi="Microsoft YaHei"/>
          <w:b/>
          <w:bCs/>
          <w:color w:val="333F50"/>
          <w:sz w:val="26"/>
          <w:szCs w:val="26"/>
        </w:rPr>
        <w:t xml:space="preserve">4.11.4 软引导 + 硬校验 双层流程</w:t>
      </w:r>
    </w:p>
    <w:p>
      <w:pPr>
        <w:spacing w:after="40" w:before="40"/>
      </w:pPr>
      <w:r>
        <w:rPr>
          <w:rFonts w:ascii="Microsoft YaHei" w:cs="Microsoft YaHei" w:eastAsia="Microsoft YaHei" w:hAnsi="Microsoft YaHei"/>
          <w:b w:val="false"/>
          <w:bCs w:val="false"/>
          <w:i w:val="false"/>
          <w:iCs w:val="false"/>
          <w:color w:val="262626"/>
          <w:sz w:val="22"/>
          <w:szCs w:val="22"/>
        </w:rPr>
        <w:t xml:space="preserve">为防止误操作,采用软引导(UI 警示 + 多步确认)在前,硬校验(后端事务级前置条件)在后,即使绕过 UI 也无法执行。</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入口:进入下线列表 → 找到目标直接下线行 → “更多”菜单 → “修改交收方案”;非顶代不渲染此入口;顶代对非直接下线行该入口灰化</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第一步弹窗(软引导 · 警告):标题红色 ⚠️“高危操作”;正文列出影响范围(影响账号数、合计层级、当前余额状态)、不可撤销提示、归档提示;底部仅“我已知晓影响,继续”按钮(灰色,需勾选“我已阅读并理解”后才点亮)</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第二步弹窗(选择新方案):上方只读展示“当前方案(旧币种 · 佣金率 N%)”;下方单选列出顶代名下其余可用交收方案(列:币种 / 佣金率 / 可用余额);选择后下方动态显示“新方案 + 该方案下当前可用余额 + 默认显示佣金率上限”</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第三步弹窗(确认与密码):汇总展示“{账号} 及其 N 个下线 将从 {旧方案} 切换至 {新方案}”;输入新方案下的“显示佣金率”(默认 = 上限,允许下调);输入操作密码;勾选“我确认所有相关账户余额已清零且无在途订单”后“确认切换”按钮点亮</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提交 → 后端事务内执行硬校验(4.11.3) → 通过则执行级联切换 → 写审计与归档 → 返回成功;失败则前端弹窗保留,顶部 Error Banner 给出具体未通过项</w:t>
      </w:r>
    </w:p>
    <w:p>
      <w:pPr>
        <w:pStyle w:val="Heading3"/>
        <w:spacing w:after="100" w:before="220"/>
      </w:pPr>
      <w:r>
        <w:rPr>
          <w:rFonts w:ascii="Microsoft YaHei" w:cs="Microsoft YaHei" w:eastAsia="Microsoft YaHei" w:hAnsi="Microsoft YaHei"/>
          <w:b/>
          <w:bCs/>
          <w:color w:val="333F50"/>
          <w:sz w:val="26"/>
          <w:szCs w:val="26"/>
        </w:rPr>
        <w:t xml:space="preserve">4.11.5 D3 级联策略</w:t>
      </w:r>
    </w:p>
    <w:p>
      <w:pPr>
        <w:spacing w:after="40" w:before="40"/>
      </w:pPr>
      <w:r>
        <w:rPr>
          <w:rFonts w:ascii="Microsoft YaHei" w:cs="Microsoft YaHei" w:eastAsia="Microsoft YaHei" w:hAnsi="Microsoft YaHei"/>
          <w:b w:val="false"/>
          <w:bCs w:val="false"/>
          <w:i w:val="false"/>
          <w:iCs w:val="false"/>
          <w:color w:val="262626"/>
          <w:sz w:val="22"/>
          <w:szCs w:val="22"/>
        </w:rPr>
        <w:t xml:space="preserve">被修改账号及其所有子孙账号在同一事务内同步切换至新交收方案,不允许子树中残留旧方案的账号。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对象</w:t>
            </w:r>
          </w:p>
        </w:tc>
        <w:tc>
          <w:tcPr>
            <w:tcW w:type="dxa" w:w="71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切换后字段变化</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被修改账号本人</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currency 改为新方案值;display_rate 改为本次提交的新值;余额表中旧币种行归档,生成新币种行(余额 = 0)</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所有子孙账号</w:t>
            </w:r>
          </w:p>
        </w:tc>
        <w:tc>
          <w:tcPr>
            <w:tcW w:type="dxa" w:w="7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currency 同步改为新方案值;display_rate 重置为新方案该层级的“安全默认值”(详见 4.11.6);余额表同上归档 + 新建</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历史流水</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保留原币种字段;打 archive 标记;不参与新口径下的统计</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历史报表</w:t>
            </w:r>
          </w:p>
        </w:tc>
        <w:tc>
          <w:tcPr>
            <w:tcW w:type="dxa" w:w="7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按发生时口径展示,不重算;新口径仅对“切换时间点之后”的数据生效</w:t>
            </w:r>
          </w:p>
        </w:tc>
      </w:tr>
    </w:tbl>
    <w:p>
      <w:pPr>
        <w:pStyle w:val="Heading3"/>
        <w:spacing w:after="100" w:before="220"/>
      </w:pPr>
      <w:r>
        <w:rPr>
          <w:rFonts w:ascii="Microsoft YaHei" w:cs="Microsoft YaHei" w:eastAsia="Microsoft YaHei" w:hAnsi="Microsoft YaHei"/>
          <w:b/>
          <w:bCs/>
          <w:color w:val="333F50"/>
          <w:sz w:val="26"/>
          <w:szCs w:val="26"/>
        </w:rPr>
        <w:t xml:space="preserve">4.11.6 显示佣金率重算规则</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被修改账号本人:取本次提交的新值,必须 ≤ 顶代在新方案上对该下线开设时给的“显示佣金率上限”(等价于 4.4.7 的开设规则)</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子孙账号:逐层下调使每一层都满足“下层 ≤ 上层”;若旧值已 ≤ 新方案对应上限则保留,否则按上限封顶</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整体保证切换后整棵子树满足显示佣金率单调非递增约束;不满足则在硬校验阶段返回错误,提示具体冲突账号</w:t>
      </w:r>
    </w:p>
    <w:p>
      <w:pPr>
        <w:pStyle w:val="Heading3"/>
        <w:spacing w:after="100" w:before="220"/>
      </w:pPr>
      <w:r>
        <w:rPr>
          <w:rFonts w:ascii="Microsoft YaHei" w:cs="Microsoft YaHei" w:eastAsia="Microsoft YaHei" w:hAnsi="Microsoft YaHei"/>
          <w:b/>
          <w:bCs/>
          <w:color w:val="333F50"/>
          <w:sz w:val="26"/>
          <w:szCs w:val="26"/>
        </w:rPr>
        <w:t xml:space="preserve">4.11.7 不可撤销与历史归档</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操作一旦提交成功,无“撤销”按钮、无“切回原方案”快捷路径;如需回切,必须再次走完整 FN-ACC-12 流程并满足全部前置条件</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旧方案下的账户余额、流水、报表全部归档保存,期限 ≥ 5 年,可在“历史报表”入口按时间区间反查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审计日志记录:操作人 / 操作时间 / 旧方案 / 新方案 / 受影响账号清单(含层级深度)/ 各账号显示佣金率前后值 / 操作密码校验耗时</w:t>
      </w:r>
    </w:p>
    <w:p>
      <w:pPr>
        <w:pStyle w:val="Heading3"/>
        <w:spacing w:after="100" w:before="220"/>
      </w:pPr>
      <w:r>
        <w:rPr>
          <w:rFonts w:ascii="Microsoft YaHei" w:cs="Microsoft YaHei" w:eastAsia="Microsoft YaHei" w:hAnsi="Microsoft YaHei"/>
          <w:b/>
          <w:bCs/>
          <w:color w:val="333F50"/>
          <w:sz w:val="26"/>
          <w:szCs w:val="26"/>
        </w:rPr>
        <w:t xml:space="preserve">4.11.8 错误场景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错误</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触发条件</w:t>
            </w:r>
          </w:p>
        </w:tc>
        <w:tc>
          <w:tcPr>
            <w:tcW w:type="dxa" w:w="42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前端提示</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有非零余额</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子树中任一账号余额 ≠ 0</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弹窗顶部 Error Banner:“账号 X 当前余额 Y,无法切换;请先清零”;列出 Top 5 阻断账号</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有在途流水</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子树中任一账号有当日未完成上下分</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Error Banner:“账号 X 存在在途流水(流水号 Z),请等待完成后重试”</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有未结算注单</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游戏端反查存在未结算注单</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Error Banner:“账号 X 在游戏端有未结算注单,请等待结算”</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显示佣金率超上限</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新方案下提交值 &gt; 顶代该方案对该下线开设上限</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字段下红字:“不可超过上限 x%”</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权限不足</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非顶代调用 / 跨层级调用</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“无权限执行此操作”;后端 code=4007</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操作密码错误</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登录密码不匹配</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操作密码下红字:“操作密码错误”;连续错误 5 次锁定 10 分钟</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新方案不可用</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顶代名下无可用其他交收方案 / 新方案被运营禁用</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弹窗第二步选项区空状态:“暂无可切换的方案,请联系账房系统开通”</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5. 界面描述</w:t>
      </w:r>
    </w:p>
    <w:p>
      <w:pPr>
        <w:pStyle w:val="Heading2"/>
        <w:spacing w:after="140" w:before="280"/>
      </w:pPr>
      <w:r>
        <w:rPr>
          <w:rFonts w:ascii="Microsoft YaHei" w:cs="Microsoft YaHei" w:eastAsia="Microsoft YaHei" w:hAnsi="Microsoft YaHei"/>
          <w:b/>
          <w:bCs/>
          <w:color w:val="2E75B6"/>
          <w:sz w:val="30"/>
          <w:szCs w:val="30"/>
        </w:rPr>
        <w:t xml:space="preserve">5.1 整体布局</w:t>
      </w:r>
    </w:p>
    <w:p>
      <w:pPr>
        <w:spacing w:after="40" w:before="40"/>
      </w:pPr>
      <w:r>
        <w:rPr>
          <w:rFonts w:ascii="Microsoft YaHei" w:cs="Microsoft YaHei" w:eastAsia="Microsoft YaHei" w:hAnsi="Microsoft YaHei"/>
          <w:b w:val="false"/>
          <w:bCs w:val="false"/>
          <w:i w:val="false"/>
          <w:iCs w:val="false"/>
          <w:color w:val="262626"/>
          <w:sz w:val="22"/>
          <w:szCs w:val="22"/>
        </w:rPr>
        <w:t xml:space="preserve">采用经典后台布局,深色主题(主色 #0F0F10,强调色 #F0B93A)。页面分区从上到下依次为:顶部 Bar、左侧菜单、主内容区(含筛选区 / 汇总表区 / 下线列表区)。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区域</w:t>
            </w:r>
          </w:p>
        </w:tc>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高度 / 宽度</w:t>
            </w:r>
          </w:p>
        </w:tc>
        <w:tc>
          <w:tcPr>
            <w:tcW w:type="dxa" w:w="5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顶部 Bar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高 56 px,100% 宽</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左:品牌 logo + “体育代理后台”文字。中:两条 STAR VIP 贵宾热线。右:语言切换(中文 / English) + 当前登录账号头像 + 账号名</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左侧菜单</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宽 220 px</w:t>
            </w:r>
          </w:p>
        </w:tc>
        <w:tc>
          <w:tcPr>
            <w:tcW w:type="dxa" w:w="5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账号管理(当前选中)。未来可扩展:数据报表、财务管理、公告管理等</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主内容区</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自适应宽度</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垂直分为三块:时间筛选区(高 96 px)→ 币种汇总表(自适应高)→ 下线列表区(自适应高)</w:t>
            </w:r>
          </w:p>
        </w:tc>
      </w:tr>
    </w:tbl>
    <w:p>
      <w:pPr>
        <w:pStyle w:val="Heading2"/>
        <w:spacing w:after="140" w:before="280"/>
      </w:pPr>
      <w:r>
        <w:rPr>
          <w:rFonts w:ascii="Microsoft YaHei" w:cs="Microsoft YaHei" w:eastAsia="Microsoft YaHei" w:hAnsi="Microsoft YaHei"/>
          <w:b/>
          <w:bCs/>
          <w:color w:val="2E75B6"/>
          <w:sz w:val="30"/>
          <w:szCs w:val="30"/>
        </w:rPr>
        <w:t xml:space="preserve">5.2 筛选区(时间)</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四个快捷按钮横向排列:本周 / 上周 / 本月(默认高亮) / 上月;按钮尺寸 72 × 36 px,间距 12 px</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后接两个 DatePicker,中间用箭头 (→) 分隔,宽度各 180 px</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选中状态:背景 #F0B93A,文字 #1F1F1F;未选中:背景透明,文字 #FFFFFF,边框 #3A3A3C</w:t>
      </w:r>
    </w:p>
    <w:p>
      <w:pPr>
        <w:pStyle w:val="Heading2"/>
        <w:spacing w:after="140" w:before="280"/>
      </w:pPr>
      <w:r>
        <w:rPr>
          <w:rFonts w:ascii="Microsoft YaHei" w:cs="Microsoft YaHei" w:eastAsia="Microsoft YaHei" w:hAnsi="Microsoft YaHei"/>
          <w:b/>
          <w:bCs/>
          <w:color w:val="2E75B6"/>
          <w:sz w:val="30"/>
          <w:szCs w:val="30"/>
        </w:rPr>
        <w:t xml:space="preserve">5.3 币种汇总表</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表格宽度 100%,行高 48 px,行间 1 px 分割线(#2A2A2C)</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表头背景 #1A1A1C,文字 #8E8E93,列居中对齐</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数据行文字 #FFFFFF,其中“输赢金额”为负时使用 #FF4D4F</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每个币种一行,无分页;数据为空时显示“暂无数据”</w:t>
      </w:r>
    </w:p>
    <w:p>
      <w:pPr>
        <w:pStyle w:val="Heading2"/>
        <w:spacing w:after="140" w:before="280"/>
      </w:pPr>
      <w:r>
        <w:rPr>
          <w:rFonts w:ascii="Microsoft YaHei" w:cs="Microsoft YaHei" w:eastAsia="Microsoft YaHei" w:hAnsi="Microsoft YaHei"/>
          <w:b/>
          <w:bCs/>
          <w:color w:val="2E75B6"/>
          <w:sz w:val="30"/>
          <w:szCs w:val="30"/>
        </w:rPr>
        <w:t xml:space="preserve">5.4 下线列表区</w:t>
      </w:r>
    </w:p>
    <w:p>
      <w:pPr>
        <w:pStyle w:val="Heading3"/>
        <w:spacing w:after="100" w:before="220"/>
      </w:pPr>
      <w:r>
        <w:rPr>
          <w:rFonts w:ascii="Microsoft YaHei" w:cs="Microsoft YaHei" w:eastAsia="Microsoft YaHei" w:hAnsi="Microsoft YaHei"/>
          <w:b/>
          <w:bCs/>
          <w:color w:val="333F50"/>
          <w:sz w:val="26"/>
          <w:szCs w:val="26"/>
        </w:rPr>
        <w:t xml:space="preserve">5.4.1 工具栏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左侧:搜索框,占位符“请输入系统户口号 / 用户账号”,宽 360 px,带左侧放大镜图标</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右侧:三个按钮,从左到右依次为“+ 新增下线”(主按钮,背景 #F0B93A)、“重置”、“查询”</w:t>
      </w:r>
    </w:p>
    <w:p>
      <w:pPr>
        <w:pStyle w:val="Heading3"/>
        <w:spacing w:after="100" w:before="220"/>
      </w:pPr>
      <w:r>
        <w:rPr>
          <w:rFonts w:ascii="Microsoft YaHei" w:cs="Microsoft YaHei" w:eastAsia="Microsoft YaHei" w:hAnsi="Microsoft YaHei"/>
          <w:b/>
          <w:bCs/>
          <w:color w:val="333F50"/>
          <w:sz w:val="26"/>
          <w:szCs w:val="26"/>
        </w:rPr>
        <w:t xml:space="preserve">5.4.2 列表表格</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列从左到右:系统户口号、用户账号、币种、余额、总线余额、下线数、账号状态、账号类型、操作</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操作列内嵌四个文字按钮:修改资料、新增下线、上分、下分,间距 16 px,颜色 #F0B93A</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账号状态显示为 Tag:启用 → 绿色(#34C759);禁用 → 灰色(#8E8E93)</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代理类型行左侧出现展开 (▶ / ▼) 图标;玩家行不显示图标,保留等宽占位</w:t>
      </w:r>
    </w:p>
    <w:p>
      <w:pPr>
        <w:pStyle w:val="Heading2"/>
        <w:spacing w:after="140" w:before="280"/>
      </w:pPr>
      <w:r>
        <w:rPr>
          <w:rFonts w:ascii="Microsoft YaHei" w:cs="Microsoft YaHei" w:eastAsia="Microsoft YaHei" w:hAnsi="Microsoft YaHei"/>
          <w:b/>
          <w:bCs/>
          <w:color w:val="2E75B6"/>
          <w:sz w:val="30"/>
          <w:szCs w:val="30"/>
        </w:rPr>
        <w:t xml:space="preserve">5.5 新增下线弹窗</w:t>
      </w:r>
    </w:p>
    <w:p>
      <w:pPr>
        <w:spacing w:after="40" w:before="40"/>
      </w:pPr>
      <w:r>
        <w:rPr>
          <w:rFonts w:ascii="Microsoft YaHei" w:cs="Microsoft YaHei" w:eastAsia="Microsoft YaHei" w:hAnsi="Microsoft YaHei"/>
          <w:b w:val="false"/>
          <w:bCs w:val="false"/>
          <w:i w:val="false"/>
          <w:iCs w:val="false"/>
          <w:color w:val="262626"/>
          <w:sz w:val="22"/>
          <w:szCs w:val="22"/>
        </w:rPr>
        <w:t xml:space="preserve">宽 720 px 居中弹窗,高度自适应最大 90vh,内部纵向可滚动。标题区为居中“新增下线”徽章;右上角关闭按钮 ×;底部操作区靠右,依次为“取消”(次要按钮,深色)、“确认”(主按钮,背景 #F0B93A)。</w:t>
      </w:r>
    </w:p>
    <w:p>
      <w:pPr>
        <w:pStyle w:val="Heading3"/>
        <w:spacing w:after="100" w:before="220"/>
      </w:pPr>
      <w:r>
        <w:rPr>
          <w:rFonts w:ascii="Microsoft YaHei" w:cs="Microsoft YaHei" w:eastAsia="Microsoft YaHei" w:hAnsi="Microsoft YaHei"/>
          <w:b/>
          <w:bCs/>
          <w:color w:val="333F50"/>
          <w:sz w:val="26"/>
          <w:szCs w:val="26"/>
        </w:rPr>
        <w:t xml:space="preserve">5.5.1 分区结构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区块</w:t>
            </w:r>
          </w:p>
        </w:tc>
        <w:tc>
          <w:tcPr>
            <w:tcW w:type="dxa" w:w="4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内容</w:t>
            </w:r>
          </w:p>
        </w:tc>
        <w:tc>
          <w:tcPr>
            <w:tcW w:type="dxa" w:w="3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布局</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关联信息</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上级信息(qweqwe(qweqwe))、系统户口号(qweqwe-1)</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单列,标签 + 纯文本只读展示,灰色文字</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基本信息</w:t>
            </w:r>
          </w:p>
        </w:tc>
        <w:tc>
          <w:tcPr>
            <w:tcW w:type="dxa" w:w="4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用户账号、账户昵称、密码、确认密码、电话号码、备用电话</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两列布局,每行两个字段;必填标红星,输入框下方灰色辅助文案说明格式</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③ 账号属性</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账号类型(代理 / 游戏)、账号状态(开启 / 禁用该账号及所有下线)</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两列布局,Radio 横向排列</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④ 交收方案</w:t>
            </w:r>
          </w:p>
        </w:tc>
        <w:tc>
          <w:tcPr>
            <w:tcW w:type="dxa" w:w="4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勾选币种 + 展示佣金率 + 展示余额</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表格,表头:复选框 / 币种 / 佣金率 / 余额;表格行随上级持有的币种数量动态生成</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⑤ 下级代理显示条件</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显示佣金率输入框</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每勾选一个币种对应一行,字段下显示“上限 x%”</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⑥ 安全校验</w:t>
            </w:r>
          </w:p>
        </w:tc>
        <w:tc>
          <w:tcPr>
            <w:tcW w:type="dxa" w:w="4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单独一行,居左,字段下无辅助文案</w:t>
            </w:r>
          </w:p>
        </w:tc>
      </w:tr>
    </w:tbl>
    <w:p>
      <w:pPr>
        <w:pStyle w:val="Heading3"/>
        <w:spacing w:after="100" w:before="220"/>
      </w:pPr>
      <w:r>
        <w:rPr>
          <w:rFonts w:ascii="Microsoft YaHei" w:cs="Microsoft YaHei" w:eastAsia="Microsoft YaHei" w:hAnsi="Microsoft YaHei"/>
          <w:b/>
          <w:bCs/>
          <w:color w:val="333F50"/>
          <w:sz w:val="26"/>
          <w:szCs w:val="26"/>
        </w:rPr>
        <w:t xml:space="preserve">5.5.2 视觉要素</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每个区块上下 24 px 间距,内部用更浅的背景色块 (#1A1A1C) 区隔</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必填字段标签前红色 *,字号 14,颜色 #FF4D4F</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输入框高 40 px,深色背景 (#0F0F10),边框 #2A2A2C,聚焦边框变为 #F0B93A</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交收方案表格行高 56 px,选中行左侧复选框变金黄色;未选择任何行时顶部提示红字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取消 / 确认按钮:取消背景 #3A3A3C,文字 #FFFFFF;确认背景 #F0B93A,文字 #1F1F1F,高 44 px,宽 96 px</w:t>
      </w:r>
    </w:p>
    <w:p>
      <w:pPr>
        <w:pStyle w:val="Heading2"/>
        <w:spacing w:after="140" w:before="280"/>
      </w:pPr>
      <w:r>
        <w:rPr>
          <w:rFonts w:ascii="Microsoft YaHei" w:cs="Microsoft YaHei" w:eastAsia="Microsoft YaHei" w:hAnsi="Microsoft YaHei"/>
          <w:b/>
          <w:bCs/>
          <w:color w:val="2E75B6"/>
          <w:sz w:val="30"/>
          <w:szCs w:val="30"/>
        </w:rPr>
        <w:t xml:space="preserve">5.6 修改资料弹窗</w:t>
      </w:r>
    </w:p>
    <w:p>
      <w:pPr>
        <w:spacing w:after="40" w:before="40"/>
      </w:pPr>
      <w:r>
        <w:rPr>
          <w:rFonts w:ascii="Microsoft YaHei" w:cs="Microsoft YaHei" w:eastAsia="Microsoft YaHei" w:hAnsi="Microsoft YaHei"/>
          <w:b w:val="false"/>
          <w:bCs w:val="false"/>
          <w:i w:val="false"/>
          <w:iCs w:val="false"/>
          <w:color w:val="262626"/>
          <w:sz w:val="22"/>
          <w:szCs w:val="22"/>
        </w:rPr>
        <w:t xml:space="preserve">与新增下线弹窗风格一致,只读字段置灰且不可聚焦。弹窗高度依据字段数量自适应,超过 560 px 启用内部滚动。</w:t>
      </w:r>
    </w:p>
    <w:p>
      <w:pPr>
        <w:pStyle w:val="Heading2"/>
        <w:spacing w:after="140" w:before="280"/>
      </w:pPr>
      <w:r>
        <w:rPr>
          <w:rFonts w:ascii="Microsoft YaHei" w:cs="Microsoft YaHei" w:eastAsia="Microsoft YaHei" w:hAnsi="Microsoft YaHei"/>
          <w:b/>
          <w:bCs/>
          <w:color w:val="2E75B6"/>
          <w:sz w:val="30"/>
          <w:szCs w:val="30"/>
        </w:rPr>
        <w:t xml:space="preserve">5.7 上分 / 下分弹窗</w:t>
      </w:r>
    </w:p>
    <w:p>
      <w:pPr>
        <w:spacing w:after="40" w:before="40"/>
      </w:pPr>
      <w:r>
        <w:rPr>
          <w:rFonts w:ascii="Microsoft YaHei" w:cs="Microsoft YaHei" w:eastAsia="Microsoft YaHei" w:hAnsi="Microsoft YaHei"/>
          <w:b w:val="false"/>
          <w:bCs w:val="false"/>
          <w:i w:val="false"/>
          <w:iCs w:val="false"/>
          <w:color w:val="262626"/>
          <w:sz w:val="22"/>
          <w:szCs w:val="22"/>
        </w:rPr>
        <w:t xml:space="preserve">两个弹窗结构完全对称,仅在标题与金额字段名上差异:“为下线上分 / 上分额度” vs “从下线下分 / 下级额度”。弹窗宽 720 px,居中;内部四个卡片式信息区块。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区块</w:t>
            </w:r>
          </w:p>
        </w:tc>
        <w:tc>
          <w:tcPr>
            <w:tcW w:type="dxa" w:w="72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视觉要素</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标题条</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顶部居中徽章式标题,带金属质感描边;右上角关闭按钮 ×</w:t>
            </w:r>
          </w:p>
        </w:tc>
      </w:tr>
      <w:tr>
        <w:tc>
          <w:tcPr>
            <w:tcW w:type="dxa" w:w="2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上级信息卡片</w:t>
            </w:r>
          </w:p>
        </w:tc>
        <w:tc>
          <w:tcPr>
            <w:tcW w:type="dxa" w:w="7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标签“上级信息”金黄色;右侧纯文本展示“昵称(系统户口号)”;下方“代理线 币种:X  佣金率:Y%  额度:Z 万”,字段间以空格分隔,颜色 #8E8E93</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下级信息卡片</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标签“下级信息”;展示下级昵称 + 系统户口号 + 代理线的币种、佣金率、额度(自 V1.11 起对齐上级信息卡片字段,额度以实时可用余额展示)</w:t>
            </w:r>
          </w:p>
        </w:tc>
      </w:tr>
      <w:tr>
        <w:tc>
          <w:tcPr>
            <w:tcW w:type="dxa" w:w="2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③ 金额输入卡片</w:t>
            </w:r>
          </w:p>
        </w:tc>
        <w:tc>
          <w:tcPr>
            <w:tcW w:type="dxa" w:w="7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左侧标签带红色星号,字段名“上分额度”或“下级额度”;输入框宽 520 px,高 40 px。输入框下方(muted 字号 12 px)实时渲染“调整后预览:上级 X → X' · 下级 Y → Y'”一行,‘→’后半段数值以金色 #F0B93A 强调;若任一侧预览值 &lt; 0,整行切到红色 #E6564C 并轻微抖动一次,引导操作者纠正金额</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④ 操作密码卡片</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左侧标签“*操作密码”;密码输入框 type=password,禁止浏览器自动填充</w:t>
            </w:r>
          </w:p>
        </w:tc>
      </w:tr>
      <w:tr>
        <w:tc>
          <w:tcPr>
            <w:tcW w:type="dxa" w:w="2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底部操作条</w:t>
            </w:r>
          </w:p>
        </w:tc>
        <w:tc>
          <w:tcPr>
            <w:tcW w:type="dxa" w:w="7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右下角两个按钮:取消(深灰 #3A3A3C) + 确认(金黄 #F0B93A);按钮宽 96 px / 高 44 px</w:t>
            </w:r>
          </w:p>
        </w:tc>
      </w:tr>
    </w:tbl>
    <w:p>
      <w:pPr>
        <w:pStyle w:val="ListParagraph"/>
        <w:numPr>
          <w:ilvl w:val="0"/>
          <w:numId w:val="2"/>
        </w:numPr>
        <w:spacing w:after="30" w:before="30"/>
      </w:pPr>
      <w:r>
        <w:rPr>
          <w:rFonts w:ascii="Microsoft YaHei" w:cs="Microsoft YaHei" w:eastAsia="Microsoft YaHei" w:hAnsi="Microsoft YaHei"/>
          <w:color w:val="262626"/>
          <w:sz w:val="22"/>
          <w:szCs w:val="22"/>
        </w:rPr>
        <w:t xml:space="preserve">每个卡片背景 #1A1A1C,圆角 8 px;上下间距 16 px;内部 padding 20 px</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若未来支持上级切换,则“上级信息”卡片右侧出现下拉选择器,选择后额度 / 币种 / 佣金率随之更新</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输入框聚焦态边框改为金黄色 #F0B93A</w:t>
      </w:r>
    </w:p>
    <w:p>
      <w:pPr>
        <w:pStyle w:val="Heading2"/>
        <w:spacing w:after="140" w:before="280"/>
      </w:pPr>
      <w:r>
        <w:rPr>
          <w:rFonts w:ascii="Microsoft YaHei" w:cs="Microsoft YaHei" w:eastAsia="Microsoft YaHei" w:hAnsi="Microsoft YaHei"/>
          <w:b/>
          <w:bCs/>
          <w:color w:val="2E75B6"/>
          <w:sz w:val="30"/>
          <w:szCs w:val="30"/>
        </w:rPr>
        <w:t xml:space="preserve">5.8 二次确认弹窗(禁用 / 高危操作)</w:t>
      </w:r>
    </w:p>
    <w:p>
      <w:pPr>
        <w:spacing w:after="40" w:before="40"/>
      </w:pPr>
      <w:r>
        <w:rPr>
          <w:rFonts w:ascii="Microsoft YaHei" w:cs="Microsoft YaHei" w:eastAsia="Microsoft YaHei" w:hAnsi="Microsoft YaHei"/>
          <w:b w:val="false"/>
          <w:bCs w:val="false"/>
          <w:i w:val="false"/>
          <w:iCs w:val="false"/>
          <w:color w:val="262626"/>
          <w:sz w:val="22"/>
          <w:szCs w:val="22"/>
        </w:rPr>
        <w:t xml:space="preserve">宽 420 px,图标 ⚠️,标题强调操作风险与影响范围,正文采用要点陈列,要求用户手动勾选“我已知晓影响”后方可提交。</w:t>
      </w:r>
    </w:p>
    <w:p>
      <w:r>
        <w:br w:type="page"/>
      </w:r>
    </w:p>
    <w:p>
      <w:pPr>
        <w:pStyle w:val="Heading1"/>
        <w:spacing w:after="180" w:before="360"/>
      </w:pPr>
      <w:r>
        <w:rPr>
          <w:rFonts w:ascii="Microsoft YaHei" w:cs="Microsoft YaHei" w:eastAsia="Microsoft YaHei" w:hAnsi="Microsoft YaHei"/>
          <w:b/>
          <w:bCs/>
          <w:color w:val="1F3864"/>
          <w:sz w:val="36"/>
          <w:szCs w:val="36"/>
        </w:rPr>
        <w:t xml:space="preserve">6. 接口需求(概要)</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所有接口采用 RESTful 风格,鉴权使用 JWT,请求头包含 X-Agent-Id;所有金额均以“本位币最小单位”传递(如分、聪),避免浮点误差。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2800"/>
        <w:gridCol w:w="4060"/>
      </w:tblGrid>
      <w:tr>
        <w:trPr>
          <w:tblHeader/>
        </w:trPr>
        <w:tc>
          <w:tcPr>
            <w:tcW w:type="dxa" w:w="17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接口</w:t>
            </w:r>
          </w:p>
        </w:tc>
        <w:tc>
          <w:tcPr>
            <w:tcW w:type="dxa" w:w="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方法</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路径</w:t>
            </w:r>
          </w:p>
        </w:tc>
        <w:tc>
          <w:tcPr>
            <w:tcW w:type="dxa" w:w="40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获取币种汇总</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/api/agent/summary</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入参:timeRangeType, startDate, endDate;出参:按币种数组返回佣金率 / 输赢 / 有效投注 / 可用余额 / 总线余额</w:t>
            </w:r>
          </w:p>
        </w:tc>
      </w:tr>
      <w:tr>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获取下线列表</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GET</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/api/agent/sub-list</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入参:keyword, parentId, page, pageSize, sort;出参:下线分页数据</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获取下级账号</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/api/agent/sub-children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入参:accountId;出参:该账号的直属下级列表(用于展开)</w:t>
            </w:r>
          </w:p>
        </w:tc>
      </w:tr>
      <w:tr>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新增下线</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POST</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/api/agent/sub</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入参:账号类型 / 用户账号 / 密码 / 币种 / 佣金率 / 初始状态 / 昵称 / 备注</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修改下线资料</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/api/agent/sub/{id}</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入参:可编辑字段;服务端按角色 / 字段粒度做权限校验</w:t>
            </w:r>
          </w:p>
        </w:tc>
      </w:tr>
      <w:tr>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POST</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/api/agent/credit/up</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入参:targetAccountId, amount, remark, verifyCode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下分</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POST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/api/agent/credit/down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入参:targetAccountId, amount, remark, verifyCode</w:t>
            </w:r>
          </w:p>
        </w:tc>
      </w:tr>
      <w:tr>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 / 禁用</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PATCH</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/api/agent/sub/{id}/status</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入参:status, cascade, verifyCode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修改密码</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POST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/api/agent/password</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入参:oldPassword, newPassword, confirmPassword;成功或失败均登出</w:t>
            </w:r>
          </w:p>
        </w:tc>
      </w:tr>
      <w:tr>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退出登录</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POST</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/api/auth/logout</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无业务入参;幂等;接口失败前端也执行本地清除</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修改交收方案</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/api/agent/sub/{id}/scheme</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入参:newSchemeId, newDisplayRate, operationPassword;事务级硬校验(余额清零、无在途、无未结);D3 级联;不可撤销</w:t>
            </w:r>
          </w:p>
        </w:tc>
      </w:tr>
      <w:tr>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账房→代理 余额同步</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POST</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/api/internal/cashier/sync-balance</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内部接口:入参 cashierTxnId, agentId, currency, direction, amount, newBalance, occurredAt;按 cashierTxnId 幂等</w:t>
            </w:r>
          </w:p>
        </w:tc>
      </w:tr>
    </w:tbl>
    <w:p>
      <w:pPr>
        <w:pStyle w:val="Heading2"/>
        <w:spacing w:after="140" w:before="280"/>
      </w:pPr>
      <w:r>
        <w:rPr>
          <w:rFonts w:ascii="Microsoft YaHei" w:cs="Microsoft YaHei" w:eastAsia="Microsoft YaHei" w:hAnsi="Microsoft YaHei"/>
          <w:b/>
          <w:bCs/>
          <w:color w:val="2E75B6"/>
          <w:sz w:val="30"/>
          <w:szCs w:val="30"/>
        </w:rPr>
        <w:t xml:space="preserve">6.1 统一响应格式</w:t>
      </w:r>
    </w:p>
    <w:p>
      <w:pPr>
        <w:spacing w:after="40" w:before="40"/>
      </w:pPr>
      <w:r>
        <w:rPr>
          <w:rFonts w:ascii="Microsoft YaHei" w:cs="Microsoft YaHei" w:eastAsia="Microsoft YaHei" w:hAnsi="Microsoft YaHei"/>
          <w:b w:val="false"/>
          <w:bCs w:val="false"/>
          <w:i w:val="false"/>
          <w:iCs w:val="false"/>
          <w:color w:val="262626"/>
          <w:sz w:val="22"/>
          <w:szCs w:val="22"/>
        </w:rPr>
        <w:t xml:space="preserve">{ code: 0, message: 'success', data: { … }, traceId: 'xxx' }  — code = 0 表示成功,非 0 表示业务失败,前端按 code 显示映射文案。</w:t>
      </w:r>
    </w:p>
    <w:p>
      <w:pPr>
        <w:pStyle w:val="Heading2"/>
        <w:spacing w:after="140" w:before="280"/>
      </w:pPr>
      <w:r>
        <w:rPr>
          <w:rFonts w:ascii="Microsoft YaHei" w:cs="Microsoft YaHei" w:eastAsia="Microsoft YaHei" w:hAnsi="Microsoft YaHei"/>
          <w:b/>
          <w:bCs/>
          <w:color w:val="2E75B6"/>
          <w:sz w:val="30"/>
          <w:szCs w:val="30"/>
        </w:rPr>
        <w:t xml:space="preserve">6.2 幂等性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新增下线、上分、下分需要幂等,前端生成 requestId,后端在 24 小时内识别重复请求</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状态切换、修改资料接口通过版本号(ETag / version 字段)进行乐观锁控制</w:t>
      </w:r>
    </w:p>
    <w:p>
      <w:r>
        <w:br w:type="page"/>
      </w:r>
    </w:p>
    <w:p>
      <w:pPr>
        <w:pStyle w:val="Heading1"/>
        <w:spacing w:after="180" w:before="360"/>
      </w:pPr>
      <w:r>
        <w:rPr>
          <w:rFonts w:ascii="Microsoft YaHei" w:cs="Microsoft YaHei" w:eastAsia="Microsoft YaHei" w:hAnsi="Microsoft YaHei"/>
          <w:b/>
          <w:bCs/>
          <w:color w:val="1F3864"/>
          <w:sz w:val="36"/>
          <w:szCs w:val="36"/>
        </w:rPr>
        <w:t xml:space="preserve">7. 异常处理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场景</w:t>
            </w:r>
          </w:p>
        </w:tc>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触发条件</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前端表现</w:t>
            </w:r>
          </w:p>
        </w:tc>
        <w:tc>
          <w:tcPr>
            <w:tcW w:type="dxa" w:w="2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后端处理</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未登录 / Token 过期</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接口返回 401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跳转登录页,弹出“登录已过期”提示</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清理会话</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权限不足</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操作非自身下线</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“无权限操作” 并阻止提交</w:t>
            </w:r>
          </w:p>
        </w:tc>
        <w:tc>
          <w:tcPr>
            <w:tcW w:type="dxa" w:w="2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返回 403,记录风控日志</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网络超时</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接口 &gt; 15 秒无响应</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展示“网络异常,请稍后重试”,保留表单</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无</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下线佣金 &gt; 上级</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 / 修改时 rate &gt; 上级 rate</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字段下方红字提示;提交按钮置灰</w:t>
            </w:r>
          </w:p>
        </w:tc>
        <w:tc>
          <w:tcPr>
            <w:tcW w:type="dxa" w:w="2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返回业务错误 code=4001</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余额不足</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 / 下分时源方余额 &lt; amount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“余额不足” 并高亮余额</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事务回滚,code=4002</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币种不一致</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代理与目标下线币种不同</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入口按钮禁用并 tooltip 提示</w:t>
            </w:r>
          </w:p>
        </w:tc>
        <w:tc>
          <w:tcPr>
            <w:tcW w:type="dxa" w:w="2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后端做二次校验</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账号已禁用</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对禁用账号执行上分 / 下分 / 登录</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“账号已禁用,无法操作”</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返回 code=4003</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重复账号</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用户账号已存在</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字段下方提示“账号已存在,请更换”</w:t>
            </w:r>
          </w:p>
        </w:tc>
        <w:tc>
          <w:tcPr>
            <w:tcW w:type="dxa" w:w="2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唯一索引冲突 → code=4004</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验证码错误 / 过期</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划转或禁用时的二次验证</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验证码框下方错误提示</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code=4005,限制 5 次错误后锁定 10 分钟</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接口限流</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短时间高频调用</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“操作过于频繁,请稍候”</w:t>
            </w:r>
          </w:p>
        </w:tc>
        <w:tc>
          <w:tcPr>
            <w:tcW w:type="dxa" w:w="2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返回 429</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8. 非功能性需求</w:t>
      </w:r>
    </w:p>
    <w:p>
      <w:pPr>
        <w:pStyle w:val="Heading2"/>
        <w:spacing w:after="140" w:before="280"/>
      </w:pPr>
      <w:r>
        <w:rPr>
          <w:rFonts w:ascii="Microsoft YaHei" w:cs="Microsoft YaHei" w:eastAsia="Microsoft YaHei" w:hAnsi="Microsoft YaHei"/>
          <w:b/>
          <w:bCs/>
          <w:color w:val="2E75B6"/>
          <w:sz w:val="30"/>
          <w:szCs w:val="30"/>
        </w:rPr>
        <w:t xml:space="preserve">8.1 性能</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容量假设:单顶代下线总规模 ≤ 1000 人(含各级子代理 + 玩家);本 PRD 按此规模设计,超过后按 8.5 触发容量评估</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汇总表接口(/api/agent/summary)P95 ≤ 500ms;下线列表接口 P95 ≤ 800ms</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展开子级接口 P95 ≤ 1 秒,单节点子级数量 ≤ 500;不设强制展开层级上限(支持任意深度),任意层级单次展开 P95 ≤ 1 秒</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搜索结果展开:搜索命中的任一账号节点均支持独立展开其子级,展开性能指标与普通展开一致(P95 ≤ 1 秒)</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并发:系统总 QPS 预估 ≤ 50,按 200 QPS 余量设计;划转写操作峰值 ≤ 20 QPS</w:t>
      </w:r>
    </w:p>
    <w:p>
      <w:pPr>
        <w:pStyle w:val="Heading2"/>
        <w:spacing w:after="140" w:before="280"/>
      </w:pPr>
      <w:r>
        <w:rPr>
          <w:rFonts w:ascii="Microsoft YaHei" w:cs="Microsoft YaHei" w:eastAsia="Microsoft YaHei" w:hAnsi="Microsoft YaHei"/>
          <w:b/>
          <w:bCs/>
          <w:color w:val="2E75B6"/>
          <w:sz w:val="30"/>
          <w:szCs w:val="30"/>
        </w:rPr>
        <w:t xml:space="preserve">8.2 安全</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所有写操作需 JWT + 代理身份 + 水平越权校验(parent_path 必须包含当前代理 ID)</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密码使用 bcrypt cost=10 存储,禁止明文 / 可逆加密</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划转与禁用操作全部写入审计日志,保存期限 ≥ 2 年;FN-ACC-12 修改交收方案审计保存期限 ≥ 5 年</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敏感字段(手机 / 邮箱)在前端与日志中脱敏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操作密码 = 当前登录代理的登录密码,不再单独设立“资金密码 / 二次验证”手段。依据:① 体育代理系统内部钱流封闭,内部上下分不产生真实资金流出;② 真实资金入口 / 出口唯一存在于账房系统,由账房侧现有授权机制管控;③ 保持单一密码模型降低运营与用户侧复杂度。若未来接入真实支付通道或跨系统划转,需重新评估引入 TOTP / 短信 / 硬件令牌等二次验证</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系统户口号永不回收、永不复用、永不变更:一旦分配,即使账号被删除 / 禁用 / 注销,该号码永久标记为“已用 + 已失效”,下一次新建必定取下一个序号;以保证审计追溯链路单调与唯一</w:t>
      </w:r>
    </w:p>
    <w:p>
      <w:pPr>
        <w:pStyle w:val="Heading2"/>
        <w:spacing w:after="140" w:before="280"/>
      </w:pPr>
      <w:r>
        <w:rPr>
          <w:rFonts w:ascii="Microsoft YaHei" w:cs="Microsoft YaHei" w:eastAsia="Microsoft YaHei" w:hAnsi="Microsoft YaHei"/>
          <w:b/>
          <w:bCs/>
          <w:color w:val="2E75B6"/>
          <w:sz w:val="30"/>
          <w:szCs w:val="30"/>
        </w:rPr>
        <w:t xml:space="preserve">8.3 可观测性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接口层:Prometheus 指标(QPS / 耗时 / 错误率)+ 链路追踪 traceId</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业务层:划转金额、禁用次数、新增下线数等业务指标上报数据看板</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前端:关键操作打点(Sentry + 埋点平台),保留用户会话回放采样</w:t>
      </w:r>
    </w:p>
    <w:p>
      <w:pPr>
        <w:pStyle w:val="Heading2"/>
        <w:spacing w:after="140" w:before="280"/>
      </w:pPr>
      <w:r>
        <w:rPr>
          <w:rFonts w:ascii="Microsoft YaHei" w:cs="Microsoft YaHei" w:eastAsia="Microsoft YaHei" w:hAnsi="Microsoft YaHei"/>
          <w:b/>
          <w:bCs/>
          <w:color w:val="2E75B6"/>
          <w:sz w:val="30"/>
          <w:szCs w:val="30"/>
        </w:rPr>
        <w:t xml:space="preserve">8.4 兼容性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浏览器:Chrome 最新 2 个大版本、Safari 14+、Edge 最新版;不兼容 IE</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分辨率:最小 1280 × 720,最佳 1440 × 900;针对 1920+ 宽屏做居中限宽(1440 px)</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语言:支持中文(简体 zh-CN)、英文(en)、韩文(ko)三语切换,默认 zh-CN;所有文案走 i18n 资源文件,详见 8.7 国际化与本地化</w:t>
      </w:r>
    </w:p>
    <w:p>
      <w:pPr>
        <w:pStyle w:val="Heading2"/>
        <w:spacing w:after="140" w:before="280"/>
      </w:pPr>
      <w:r>
        <w:rPr>
          <w:rFonts w:ascii="Microsoft YaHei" w:cs="Microsoft YaHei" w:eastAsia="Microsoft YaHei" w:hAnsi="Microsoft YaHei"/>
          <w:b/>
          <w:bCs/>
          <w:color w:val="2E75B6"/>
          <w:sz w:val="30"/>
          <w:szCs w:val="30"/>
        </w:rPr>
        <w:t xml:space="preserve">8.5 数据时效性与缓存策略</w:t>
      </w:r>
    </w:p>
    <w:p>
      <w:pPr>
        <w:spacing w:after="40" w:before="40"/>
      </w:pPr>
      <w:r>
        <w:rPr>
          <w:rFonts w:ascii="Microsoft YaHei" w:cs="Microsoft YaHei" w:eastAsia="Microsoft YaHei" w:hAnsi="Microsoft YaHei"/>
          <w:b w:val="false"/>
          <w:bCs w:val="false"/>
          <w:i w:val="false"/>
          <w:iCs w:val="false"/>
          <w:color w:val="262626"/>
          <w:sz w:val="22"/>
          <w:szCs w:val="22"/>
        </w:rPr>
        <w:t xml:space="preserve">基于“单顶代下线总规模 ≤ 1000 人”的容量假设,输赢金额 / 有效投注 / 可用余额 / 总线余额等汇总数据采用“实时查询业务库 + 短时缓存”模式,不引入独立统计中间层。研发需按以下约定实现:</w:t>
      </w:r>
    </w:p>
    <w:p>
      <w:pPr>
        <w:pStyle w:val="Heading3"/>
        <w:spacing w:after="100" w:before="220"/>
      </w:pPr>
      <w:r>
        <w:rPr>
          <w:rFonts w:ascii="Microsoft YaHei" w:cs="Microsoft YaHei" w:eastAsia="Microsoft YaHei" w:hAnsi="Microsoft YaHei"/>
          <w:b/>
          <w:bCs/>
          <w:color w:val="333F50"/>
          <w:sz w:val="26"/>
          <w:szCs w:val="26"/>
        </w:rPr>
        <w:t xml:space="preserve">8.5.1 查询路径</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汇总接口直接对注单库 / 账户库做聚合 SQL;必须建立 (user_id, settle_time)、(currency, settle_time) 复合索引</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代理层级展开通过预存的 parent_path(物化路径)或 closure table 实现,避免递归 CTE 带来的查询抖动</w:t>
      </w:r>
    </w:p>
    <w:p>
      <w:pPr>
        <w:pStyle w:val="Heading3"/>
        <w:spacing w:after="100" w:before="220"/>
      </w:pPr>
      <w:r>
        <w:rPr>
          <w:rFonts w:ascii="Microsoft YaHei" w:cs="Microsoft YaHei" w:eastAsia="Microsoft YaHei" w:hAnsi="Microsoft YaHei"/>
          <w:b/>
          <w:bCs/>
          <w:color w:val="333F50"/>
          <w:sz w:val="26"/>
          <w:szCs w:val="26"/>
        </w:rPr>
        <w:t xml:space="preserve">8.5.2 缓存策略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200"/>
        <w:gridCol w:w="2760"/>
      </w:tblGrid>
      <w:tr>
        <w:trPr>
          <w:tblHeader/>
        </w:trPr>
        <w:tc>
          <w:tcPr>
            <w:tcW w:type="dxa" w:w="2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缓存项</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Key 构成</w:t>
            </w:r>
          </w:p>
        </w:tc>
        <w:tc>
          <w:tcPr>
            <w:tcW w:type="dxa" w:w="1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TTL</w:t>
            </w:r>
          </w:p>
        </w:tc>
        <w:tc>
          <w:tcPr>
            <w:tcW w:type="dxa" w:w="2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失效触发</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币种汇总</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summary:{agentId}:{timeRangeType}:{startDate}:{endDate}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 秒</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该代理执行新增下线 / 上分 / 下分 / 启用 / 禁用 任一写操作后,立即 DEL 该代理的全部 summary:* key</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下线列表</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sublist:{agentId}:{keyword}:{page}</w:t>
            </w:r>
          </w:p>
        </w:tc>
        <w:tc>
          <w:tcPr>
            <w:tcW w:type="dxa" w:w="1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30 秒</w:t>
            </w:r>
          </w:p>
        </w:tc>
        <w:tc>
          <w:tcPr>
            <w:tcW w:type="dxa" w:w="2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同上 + 修改资料后失效</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账户余额</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balance:{accountId}:{currency}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不缓存(直连账户库)</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w:t>
            </w:r>
          </w:p>
        </w:tc>
      </w:tr>
    </w:tbl>
    <w:p>
      <w:pPr>
        <w:pStyle w:val="Heading3"/>
        <w:spacing w:after="100" w:before="220"/>
      </w:pPr>
      <w:r>
        <w:rPr>
          <w:rFonts w:ascii="Microsoft YaHei" w:cs="Microsoft YaHei" w:eastAsia="Microsoft YaHei" w:hAnsi="Microsoft YaHei"/>
          <w:b/>
          <w:bCs/>
          <w:color w:val="333F50"/>
          <w:sz w:val="26"/>
          <w:szCs w:val="26"/>
        </w:rPr>
        <w:t xml:space="preserve">8.5.3 写后可见性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任何在本页面发起的写操作返回成功后,前端 SDK 必须重新拉取一次汇总接口并刷新视图,等同于用户主观“立即看到最新数字”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后端在写操作事务提交成功之后、响应返回之前,先失效相关缓存 key,避免前端拉到旧值</w:t>
      </w:r>
    </w:p>
    <w:p>
      <w:pPr>
        <w:pStyle w:val="Heading3"/>
        <w:spacing w:after="100" w:before="220"/>
      </w:pPr>
      <w:r>
        <w:rPr>
          <w:rFonts w:ascii="Microsoft YaHei" w:cs="Microsoft YaHei" w:eastAsia="Microsoft YaHei" w:hAnsi="Microsoft YaHei"/>
          <w:b/>
          <w:bCs/>
          <w:color w:val="333F50"/>
          <w:sz w:val="26"/>
          <w:szCs w:val="26"/>
        </w:rPr>
        <w:t xml:space="preserve">8.5.4 未来扩展阈值</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单顶代下线总规模 &gt; 5000 人 或 汇总接口 P95 &gt; 1 秒(连续 7 天观测)时,启动架构评审,引入统计中间层(候选:ClickHouse / Doris / Flink 物化视图)</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上线后由 DBA + 后端负责人按月监控 summary 接口的 P95、缓存命中率、业务库慢查 Top10,数据产出到 DataOps 周报</w:t>
      </w:r>
    </w:p>
    <w:p>
      <w:pPr>
        <w:pStyle w:val="Heading2"/>
        <w:spacing w:after="140" w:before="280"/>
      </w:pPr>
      <w:r>
        <w:rPr>
          <w:rFonts w:ascii="Microsoft YaHei" w:cs="Microsoft YaHei" w:eastAsia="Microsoft YaHei" w:hAnsi="Microsoft YaHei"/>
          <w:b/>
          <w:bCs/>
          <w:color w:val="2E75B6"/>
          <w:sz w:val="30"/>
          <w:szCs w:val="30"/>
        </w:rPr>
        <w:t xml:space="preserve">8.6 账房边界与对账机制</w:t>
      </w:r>
    </w:p>
    <w:p>
      <w:pPr>
        <w:spacing w:after="40" w:before="40"/>
      </w:pPr>
      <w:r>
        <w:rPr>
          <w:rFonts w:ascii="Microsoft YaHei" w:cs="Microsoft YaHei" w:eastAsia="Microsoft YaHei" w:hAnsi="Microsoft YaHei"/>
          <w:b w:val="false"/>
          <w:bCs w:val="false"/>
          <w:i w:val="false"/>
          <w:iCs w:val="false"/>
          <w:color w:val="262626"/>
          <w:sz w:val="22"/>
          <w:szCs w:val="22"/>
        </w:rPr>
        <w:t xml:space="preserve">体育代理后台与账房系统是两个相互独立、各自闭环的系统,但二者在“顶代账户的可用余额”这一字段上必须保持最终一致。本节固化两系统之间的边界、同步规则与对账约束,作为研发交付的硬性合同。</w:t>
      </w:r>
    </w:p>
    <w:p>
      <w:pPr>
        <w:pStyle w:val="Heading3"/>
        <w:spacing w:after="100" w:before="220"/>
      </w:pPr>
      <w:r>
        <w:rPr>
          <w:rFonts w:ascii="Microsoft YaHei" w:cs="Microsoft YaHei" w:eastAsia="Microsoft YaHei" w:hAnsi="Microsoft YaHei"/>
          <w:b/>
          <w:bCs/>
          <w:color w:val="333F50"/>
          <w:sz w:val="26"/>
          <w:szCs w:val="26"/>
        </w:rPr>
        <w:t xml:space="preserve">8.6.1 系统边界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系统</w:t>
            </w:r>
          </w:p>
        </w:tc>
        <w:tc>
          <w:tcPr>
            <w:tcW w:type="dxa" w:w="4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职责</w:t>
            </w:r>
          </w:p>
        </w:tc>
        <w:tc>
          <w:tcPr>
            <w:tcW w:type="dxa" w:w="3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钱流性质</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账房系统</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管理顶代户口、真实资金的入金 / 出金、对顶代的上分 / 下分、佣金的真实结算</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真实资金,与外部支付 / 银行 / 现金通道相连;唯一的真实钱流入口与出口</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体育代理后台</w:t>
            </w:r>
          </w:p>
        </w:tc>
        <w:tc>
          <w:tcPr>
            <w:tcW w:type="dxa" w:w="4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管理代理多层级关系、内部额度划转、向下展示与查询、显示佣金率配置</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虚拟额度,内部钱流封闭(代理 ↔ 下线),不连接任何真实资金通道</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游戏系统</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管理玩家投注、派彩、注单结算</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玩家账户层面的输赢直接结算到玩家余额,资金对手方为游戏方</w:t>
            </w:r>
          </w:p>
        </w:tc>
      </w:tr>
    </w:tbl>
    <w:p>
      <w:pPr>
        <w:pStyle w:val="Heading3"/>
        <w:spacing w:after="100" w:before="220"/>
      </w:pPr>
      <w:r>
        <w:rPr>
          <w:rFonts w:ascii="Microsoft YaHei" w:cs="Microsoft YaHei" w:eastAsia="Microsoft YaHei" w:hAnsi="Microsoft YaHei"/>
          <w:b/>
          <w:bCs/>
          <w:color w:val="333F50"/>
          <w:sz w:val="26"/>
          <w:szCs w:val="26"/>
        </w:rPr>
        <w:t xml:space="preserve">8.6.2 同步规则(账房 → 体育代理)</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数据流方向:账房系统是“顶代可用余额”的权威源(Source of Truth);体育代理后台是镜像 / 投影方,任何不一致以账房为准</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触发时机:账房侧对顶代执行上分 / 下分 / 调账成功后,在同事务最后阶段通过同步接口或可靠消息(如 Outbox + MQ)推送至体育代理后台</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接口:账房 → 体育代理 调用 POST /api/internal/cashier/sync-balance,带 cashierTxnId、agentId、direction、amount、newBalance、occurredAt;体育代理后端按 cashierTxnId 幂等处理</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失败重试:账房侧使用至少一次投递 + 体育代理侧幂等;最长重试窗口 24 小时,超过则进入人工对账队列并告警</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反向通知:体育代理后台对顶代的内部上下分(顶代 ↔ 其下线)不回写账房;因为内部对冲不影响顶代账户的总额度</w:t>
      </w:r>
    </w:p>
    <w:p>
      <w:pPr>
        <w:pStyle w:val="Heading3"/>
        <w:spacing w:after="100" w:before="220"/>
      </w:pPr>
      <w:r>
        <w:rPr>
          <w:rFonts w:ascii="Microsoft YaHei" w:cs="Microsoft YaHei" w:eastAsia="Microsoft YaHei" w:hAnsi="Microsoft YaHei"/>
          <w:b/>
          <w:bCs/>
          <w:color w:val="333F50"/>
          <w:sz w:val="26"/>
          <w:szCs w:val="26"/>
        </w:rPr>
        <w:t xml:space="preserve">8.6.3 对账不变式(Invariant)</w:t>
      </w:r>
    </w:p>
    <w:p>
      <w:pPr>
        <w:spacing w:after="40" w:before="40"/>
      </w:pPr>
      <w:r>
        <w:rPr>
          <w:rFonts w:ascii="Microsoft YaHei" w:cs="Microsoft YaHei" w:eastAsia="Microsoft YaHei" w:hAnsi="Microsoft YaHei"/>
          <w:b w:val="false"/>
          <w:bCs w:val="false"/>
          <w:i w:val="false"/>
          <w:iCs w:val="false"/>
          <w:color w:val="262626"/>
          <w:sz w:val="22"/>
          <w:szCs w:val="22"/>
        </w:rPr>
        <w:t xml:space="preserve">以下不变式作为对账的硬性数学约束,任何违反都视为系统级故障并触发告警:</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不变式 A(单次操作零和):任意一笔体育代理后台的内部上下分必须满足 上级余额变化 + 下级余额变化 = 0,事务级保证</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不变式 B(顶代余额一致):∀顶代 i,∀币种 c,T 时刻,体育代理后台内部 顶代 i 在 c 上的可用余额 = 账房系统内部 顶代 i 在 c 上的当前余额(允许同步窗口内 ≤ 60 秒延迟)</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不变式 C(子树总额追踪):∀顶代 i,∀币种 c,该顶代名下整棵子树的(可用余额 + 冻结余额)总和 ≤ 顶代 i 在 c 上的可用余额(等号在子树未参与游戏端结算时成立;由于游戏端输赢会改变玩家余额,故为 ≤)</w:t>
      </w:r>
    </w:p>
    <w:p>
      <w:pPr>
        <w:pStyle w:val="Heading3"/>
        <w:spacing w:after="100" w:before="220"/>
      </w:pPr>
      <w:r>
        <w:rPr>
          <w:rFonts w:ascii="Microsoft YaHei" w:cs="Microsoft YaHei" w:eastAsia="Microsoft YaHei" w:hAnsi="Microsoft YaHei"/>
          <w:b/>
          <w:bCs/>
          <w:color w:val="333F50"/>
          <w:sz w:val="26"/>
          <w:szCs w:val="26"/>
        </w:rPr>
        <w:t xml:space="preserve">8.6.4 不自动纠偏原则</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体育代理后台不主动对账户余额做“纠偏”/“补差”/“强制归零”,任何疑似不一致都进入人工审核工单流程</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当账房同步消息延迟到达,体育代理后台仅按到达顺序应用,不试图“预测”或“追平”账房状态</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当不变式 B 在 T 时刻(扣除同步窗口后)依然不满足,系统输出告警(level=critical)+ 暂停该顶代下的所有写操作 + 进入人工对账;由账房与体育代理研发联合排查根因再恢复</w:t>
      </w:r>
    </w:p>
    <w:p>
      <w:pPr>
        <w:pStyle w:val="Heading3"/>
        <w:spacing w:after="100" w:before="220"/>
      </w:pPr>
      <w:r>
        <w:rPr>
          <w:rFonts w:ascii="Microsoft YaHei" w:cs="Microsoft YaHei" w:eastAsia="Microsoft YaHei" w:hAnsi="Microsoft YaHei"/>
          <w:b/>
          <w:bCs/>
          <w:color w:val="333F50"/>
          <w:sz w:val="26"/>
          <w:szCs w:val="26"/>
        </w:rPr>
        <w:t xml:space="preserve">8.6.5 对账作业(运维)</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T+1 日间对账:每日 02:00 启动批处理,逐顶代比对账房 / 体育代理两侧的可用余额快照,差异写入 reconciliation_diff 表;非 0 差异自动派单</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月度全量对账:每月首个工作日,DBA + 财务联合执行子树总额与游戏端流水的端到端对账</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对账记录保留期 ≥ 5 年,与审计日志同等级别</w:t>
      </w:r>
    </w:p>
    <w:p>
      <w:pPr>
        <w:pStyle w:val="Heading2"/>
        <w:spacing w:after="140" w:before="280"/>
      </w:pPr>
      <w:r>
        <w:rPr>
          <w:rFonts w:ascii="Microsoft YaHei" w:cs="Microsoft YaHei" w:eastAsia="Microsoft YaHei" w:hAnsi="Microsoft YaHei"/>
          <w:b/>
          <w:bCs/>
          <w:color w:val="2E75B6"/>
          <w:sz w:val="30"/>
          <w:szCs w:val="30"/>
        </w:rPr>
        <w:t xml:space="preserve">8.7 国际化与本地化(i18n / l10n)</w:t>
      </w:r>
    </w:p>
    <w:p>
      <w:pPr>
        <w:spacing w:after="40" w:before="40"/>
      </w:pPr>
      <w:r>
        <w:rPr>
          <w:rFonts w:ascii="Microsoft YaHei" w:cs="Microsoft YaHei" w:eastAsia="Microsoft YaHei" w:hAnsi="Microsoft YaHei"/>
          <w:b w:val="false"/>
          <w:bCs w:val="false"/>
          <w:i w:val="false"/>
          <w:iCs w:val="false"/>
          <w:color w:val="262626"/>
          <w:sz w:val="22"/>
          <w:szCs w:val="22"/>
        </w:rPr>
        <w:t xml:space="preserve">体育代理端对代理登录后的所有后台界面均支持中文(zh-CN,简体)、英文(en)、韩文(ko)三语切换。默认 zh-CN;用户在顶部 Bar 右侧可随时切换,切换后立即生效无需刷新页面。</w:t>
      </w:r>
    </w:p>
    <w:p>
      <w:pPr>
        <w:pStyle w:val="Heading3"/>
        <w:spacing w:after="100" w:before="220"/>
      </w:pPr>
      <w:r>
        <w:rPr>
          <w:rFonts w:ascii="Microsoft YaHei" w:cs="Microsoft YaHei" w:eastAsia="Microsoft YaHei" w:hAnsi="Microsoft YaHei"/>
          <w:b/>
          <w:bCs/>
          <w:color w:val="333F50"/>
          <w:sz w:val="26"/>
          <w:szCs w:val="26"/>
        </w:rPr>
        <w:t xml:space="preserve">8.7.1 支持语言与资源组织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语言代码</w:t>
            </w:r>
          </w:p>
        </w:tc>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显示名</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资源文件</w:t>
            </w:r>
          </w:p>
        </w:tc>
        <w:tc>
          <w:tcPr>
            <w:tcW w:type="dxa" w:w="2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兜底策略</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zh-CN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中文(简体)</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/locales/zh-CN.json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未翻译键 → 回落 zh-CN 原键值</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English</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/locales/en.json</w:t>
            </w:r>
          </w:p>
        </w:tc>
        <w:tc>
          <w:tcPr>
            <w:tcW w:type="dxa" w:w="2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未翻译键 → 回落 zh-CN;日志告警</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ko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한국어</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/locales/ko.json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未翻译键 → 回落 zh-CN;日志告警</w:t>
            </w:r>
          </w:p>
        </w:tc>
      </w:tr>
    </w:tbl>
    <w:p>
      <w:pPr>
        <w:pStyle w:val="ListParagraph"/>
        <w:numPr>
          <w:ilvl w:val="0"/>
          <w:numId w:val="2"/>
        </w:numPr>
        <w:spacing w:after="30" w:before="30"/>
      </w:pPr>
      <w:r>
        <w:rPr>
          <w:rFonts w:ascii="Microsoft YaHei" w:cs="Microsoft YaHei" w:eastAsia="Microsoft YaHei" w:hAnsi="Microsoft YaHei"/>
          <w:color w:val="262626"/>
          <w:sz w:val="22"/>
          <w:szCs w:val="22"/>
        </w:rPr>
        <w:t xml:space="preserve">所有可见文案(标签、按钮、tooltip、toast、错误文案、validation 消息、表头)一律走 i18n 键,不硬编码字面量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用户账号、系统户口号、金额数字本身不翻译,仅格式化;单位、词缀走 i18n</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新增功能时必须同时提交三语资源;任意一语缺失阻断构建(CI 校验)</w:t>
      </w:r>
    </w:p>
    <w:p>
      <w:pPr>
        <w:pStyle w:val="Heading3"/>
        <w:spacing w:after="100" w:before="220"/>
      </w:pPr>
      <w:r>
        <w:rPr>
          <w:rFonts w:ascii="Microsoft YaHei" w:cs="Microsoft YaHei" w:eastAsia="Microsoft YaHei" w:hAnsi="Microsoft YaHei"/>
          <w:b/>
          <w:bCs/>
          <w:color w:val="333F50"/>
          <w:sz w:val="26"/>
          <w:szCs w:val="26"/>
        </w:rPr>
        <w:t xml:space="preserve">8.7.2 金额显示约定</w:t>
      </w:r>
    </w:p>
    <w:p>
      <w:pPr>
        <w:spacing w:after="40" w:before="40"/>
      </w:pPr>
      <w:r>
        <w:rPr>
          <w:rFonts w:ascii="Microsoft YaHei" w:cs="Microsoft YaHei" w:eastAsia="Microsoft YaHei" w:hAnsi="Microsoft YaHei"/>
          <w:b w:val="false"/>
          <w:bCs w:val="false"/>
          <w:i w:val="false"/>
          <w:iCs w:val="false"/>
          <w:color w:val="262626"/>
          <w:sz w:val="22"/>
          <w:szCs w:val="22"/>
        </w:rPr>
        <w:t xml:space="preserve">金额在三语下的呈现采用不同单位策略,以贴合各语言区域的用户阅读习惯: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1100"/>
        <w:gridCol w:w="2460"/>
      </w:tblGrid>
      <w:tr>
        <w:trPr>
          <w:tblHeader/>
        </w:trPr>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语言</w:t>
            </w:r>
          </w:p>
        </w:tc>
        <w:tc>
          <w:tcPr>
            <w:tcW w:type="dxa" w:w="3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单位策略</w:t>
            </w:r>
          </w:p>
        </w:tc>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千分位</w:t>
            </w:r>
          </w:p>
        </w:tc>
        <w:tc>
          <w:tcPr>
            <w:tcW w:type="dxa" w:w="1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小数精度</w:t>
            </w:r>
          </w:p>
        </w:tc>
        <w:tc>
          <w:tcPr>
            <w:tcW w:type="dxa" w:w="24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示例(6,000,000 本位币)</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zh-CN</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全量以“万”为单位:原值 ÷ 10,000 后附“万”后缀;**无下限阈值**,小于 1 万的金额同样按万展示</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按万后的值内置千分位(≥ 10000 万才出现)</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最多 4 位</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6,000,000 → 600 万 / 8,000 → 0.8 万 / 300 → 0.03 万 / 0 → 0 万</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国际千分位,不做单位换算</w:t>
            </w:r>
          </w:p>
        </w:tc>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始终启用(,)</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最多 2 位</w:t>
            </w:r>
          </w:p>
        </w:tc>
        <w:tc>
          <w:tcPr>
            <w:tcW w:type="dxa" w:w="24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6,000,000 → 6,000,000.00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ko</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国际千分位,不做单位换算</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始终启用(,)</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最多 2 位</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6,000,000 → 6,000,000.00</w:t>
            </w:r>
          </w:p>
        </w:tc>
      </w:tr>
    </w:tbl>
    <w:p>
      <w:pPr>
        <w:pStyle w:val="ListParagraph"/>
        <w:numPr>
          <w:ilvl w:val="0"/>
          <w:numId w:val="2"/>
        </w:numPr>
        <w:spacing w:after="30" w:before="30"/>
      </w:pPr>
      <w:r>
        <w:rPr>
          <w:rFonts w:ascii="Microsoft YaHei" w:cs="Microsoft YaHei" w:eastAsia="Microsoft YaHei" w:hAnsi="Microsoft YaHei"/>
          <w:color w:val="262626"/>
          <w:sz w:val="22"/>
          <w:szCs w:val="22"/>
        </w:rPr>
        <w:t xml:space="preserve">所有金额字段(可用余额、总线余额、输赢金额、有效投注、上下分金额、交收方案额度)统一走 formatAmount(value, lang) 公用函数,禁止在业务层手工拼接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中文侧的“万”不是用户输入单位,用户输入金额时仍按本位币原值(元);展示层才做换算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负数(输赢 &lt; 0)三语一致:数字前加减号,颜色 #FF4D4F</w:t>
      </w:r>
    </w:p>
    <w:p>
      <w:pPr>
        <w:pStyle w:val="Heading3"/>
        <w:spacing w:after="100" w:before="220"/>
      </w:pPr>
      <w:r>
        <w:rPr>
          <w:rFonts w:ascii="Microsoft YaHei" w:cs="Microsoft YaHei" w:eastAsia="Microsoft YaHei" w:hAnsi="Microsoft YaHei"/>
          <w:b/>
          <w:bCs/>
          <w:color w:val="333F50"/>
          <w:sz w:val="26"/>
          <w:szCs w:val="26"/>
        </w:rPr>
        <w:t xml:space="preserve">8.7.3 日期 / 时间格式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800"/>
        <w:gridCol w:w="3060"/>
      </w:tblGrid>
      <w:tr>
        <w:trPr>
          <w:tblHeader/>
        </w:trPr>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语言</w:t>
            </w:r>
          </w:p>
        </w:tc>
        <w:tc>
          <w:tcPr>
            <w:tcW w:type="dxa" w:w="2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日期格式</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时间格式</w:t>
            </w:r>
          </w:p>
        </w:tc>
        <w:tc>
          <w:tcPr>
            <w:tcW w:type="dxa" w:w="30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示例</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zh-CN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YYYY-MM-DD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HH:mm:ss(24 时制)</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2026-04-19 14:30:05</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w:t>
            </w:r>
          </w:p>
        </w:tc>
        <w:tc>
          <w:tcPr>
            <w:tcW w:type="dxa" w:w="2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MMM DD, YYYY</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hh:mm:ss a(12 时制)</w:t>
            </w:r>
          </w:p>
        </w:tc>
        <w:tc>
          <w:tcPr>
            <w:tcW w:type="dxa" w:w="3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Apr 19, 2026 02:30:05 PM</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ko</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YYYY. MM. DD.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HH:mm:ss(24 时制)</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 04. 19. 14:30:05</w:t>
            </w:r>
          </w:p>
        </w:tc>
      </w:tr>
    </w:tbl>
    <w:p>
      <w:pPr>
        <w:pStyle w:val="Heading3"/>
        <w:spacing w:after="100" w:before="220"/>
      </w:pPr>
      <w:r>
        <w:rPr>
          <w:rFonts w:ascii="Microsoft YaHei" w:cs="Microsoft YaHei" w:eastAsia="Microsoft YaHei" w:hAnsi="Microsoft YaHei"/>
          <w:b/>
          <w:bCs/>
          <w:color w:val="333F50"/>
          <w:sz w:val="26"/>
          <w:szCs w:val="26"/>
        </w:rPr>
        <w:t xml:space="preserve">8.7.4 其他本地化项</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币种名称、账号状态、账号类型、按钮文案等枚举字段翻译,不做动态拼句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合并语种依赖的人称 / 性别 / 量词时,使用 ICU MessageFormat,避免“1 人 / 1 人们”这类拼接坑</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韩文字体:Noto Sans KR / Apple SD Gothic Neo;英文字体:Inter / Roboto;中文字体:PingFang SC / Microsoft YaHei;兜底 system-ui</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左右滚动、文本输入 IME 支持韩文/日文假名切换不丢字符;禁止对韩文做大小写转换</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新增语言(如未来扩展繁体)仅需新增资源文件,代码侧不做硬编码分支</w:t>
      </w:r>
    </w:p>
    <w:p>
      <w:r>
        <w:br w:type="page"/>
      </w:r>
    </w:p>
    <w:p>
      <w:pPr>
        <w:pStyle w:val="Heading1"/>
        <w:spacing w:after="180" w:before="360"/>
      </w:pPr>
      <w:r>
        <w:rPr>
          <w:rFonts w:ascii="Microsoft YaHei" w:cs="Microsoft YaHei" w:eastAsia="Microsoft YaHei" w:hAnsi="Microsoft YaHei"/>
          <w:b/>
          <w:bCs/>
          <w:color w:val="1F3864"/>
          <w:sz w:val="36"/>
          <w:szCs w:val="36"/>
        </w:rPr>
        <w:t xml:space="preserve">9. 验收标准(Acceptance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编号</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场景</w:t>
            </w:r>
          </w:p>
        </w:tc>
        <w:tc>
          <w:tcPr>
            <w:tcW w:type="dxa" w:w="5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预期结果</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默认进入账号管理页</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页面加载 ≤ 3 秒;汇总表默认“本月”;下线列表按创建时间倒序;搜索框、时间按钮、新增下线按钮可用</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AC-02</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切换时间范围</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汇总表的“输赢金额”与“有效投注”随时间刷新;下线列表不刷新</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自定义时间跨度 &gt; 92 天</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查询按钮置灰并提示“最多可查询 92 天”</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AC-04</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搜索不存在的账号</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列表显示空态图 + “未找到匹配账号”文案</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新增下线佣金率高于上级</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字段红字提示,提交按钮置灰,无法调用接口</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AC-06</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上分金额 &gt; 代理余额</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“余额不足”;代理、下线余额均不变化</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禁用代理账号</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二次确认后,该代理及其所有下级置为禁用;已登录会话被踢出</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AC-08</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展开 10 层下线</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性能不明显下降;展开过程有 loading;无循环引用</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并发两次点击新增下线</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仅创建一条记录(幂等保护)</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AC-10</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币种不一致时尝试上分</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按钮置灰且 tooltip 提示;后端直接拒绝</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上分后立即查看汇总表</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写操作成功返回 ≤ 1 秒内,汇总表的可用余额 / 总线余额必须反映最新数值(缓存已失效 + 前端已刷新)</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AC-12</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汇总接口性能</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1000 人满配数据量下,/api/agent/summary 在压测 50 QPS 持续 10 分钟时 P95 ≤ 500ms,错误率 &lt; 0.1%</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缓存命中</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连续 60 秒内代理反复切换同一时间档位,汇总接口命中 Redis 缓存,业务库无新增慢查询</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AC-14</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新建下线初始余额 = 0</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顶代或代理新建任意下线后,该下线在所有币种上的可用余额、冻结余额、总线余额均为 0;无任何自动划转流水产生</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系统户口号永不回收</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删除 / 禁用账号 qweqwe-3 后,顶代再次新增下线生成的户口号必须为 qweqwe-4(或更大序号),不可复用 -3</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AC-16</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搜索结果支持独立展开</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搜索命中代理 X 后,X 行右侧出现展开图标,点击后正常加载 X 的直属下级;不要求 X 的祖先链先行展开</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任意层级展开性能</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在满配 1000 人单顶代规模下,任意第 N 层节点展开 P95 ≤ 1 秒;无强制层级上限</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AC-18</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下线交收方案锁定</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新建下线时仅能选择一条交收方案;创建后该下线及其所有后代账号在“修改资料”入口下,交收方案字段为只读,不出现切换控件</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FN-ACC-12 余额不为零阻断</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顶代对持有非零余额(本人或任一子孙)的直接下线发起“修改交收方案” → 第三步硬校验阶段返回错误,未发生任何数据变更</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AC-20</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FN-ACC-12 D3 级联</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成功执行后,被修改账号及其所有子孙账号的 currency 全部为新方案值;未涉及账号属性不变;旧币种行已归档不可写</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FN-ACC-12 操作密码</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第三步弹窗未输入操作密码或输入错误时,“确认切换”按钮置灰或后端拒绝;连续 5 次错误锁定 10 分钟</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AC-22</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佣金率修改双向校验</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代理修改自己直接下线的显示佣金率为 r 时:若 r &gt; 上级该币种值,字段红字阻断;若 r &lt; 该下线已存在直接下线显示佣金率最大值,提示反超并阻断</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佣金率修改无需审批</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代理在 r 合规情况下提交后,立即生效不进入任何审批队列,新值在本次响应返回时已生效;历史已结算注单不重算</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AC-24</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操作密码触发(修改资料)</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仅修改昵称 / 联系方式 / 备注 时弹窗不出现操作密码框;修改了显示佣金率 / 重置下线密码 / 账号状态时弹窗自动出现操作密码框</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顶代余额账房对账</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账房侧对顶代上分 X 元后 60 秒内,体育代理后台顶代该币种可用余额必须等于账房侧最新余额;一致性偏差超 60 秒触发 critical 告警</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AC-26</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内部上下分零和</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任意一笔体育代理内部上下分,事务提交后:上级余额变化 + 下级余额变化 = 0,且写入流水表;事务级强一致,不允许任何中间态对外可见</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内部上下分不回写账房</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 ↔ 下线 之间的内部上下分操作,不向账房同步;账房系统该顶代余额不发生变化</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AC-28</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内部上下分无单笔上限</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顶代对任一直接下线发起单笔金额 = 顶代当前可用余额上限的上分,前端不出现“超上限”提示;后端校验仅“余额足额 + 整数及精度”而通过</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三语切换</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顶部 Bar 切换至 en / ko → 所有可见文案(列表表头、按钮、状态 Tag、toast、错误提示、弹窗内容)全部即时刷新为目标语言;未翻译键走兜底 zh-CN,并在前端 console 输出 warn</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AC-30</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中文金额单位全量显示为万</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zh-CN 下:PHP 方案 6,000,000 → 600 万;8,000 → 0.8 万(小于 1 万同样按万展示,不再按原值);300 → 0.03 万;0 → 0 万。切到 en 后同一数据展示为 6,000,000.00 / 8,000.00 / 300.00 / 0(国际千分位,无“万”后缀)</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AC-31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金额输入侧不受单位影响</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在 zh-CN 切换后进入上分弹窗,用户输入“10000”被识别为本位币 10,000 元(非 10,000 万);后端接口 amount 字段永远以本位币原值传输</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AC-39</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下级信息显示额度</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打开上分或下分弹窗时,“② 下级信息”卡片必须显示“币种 / 佣金率 / 额度”三项,其中“额度”等于被操作下级账号在该币种的当前可用余额;与“① 上级信息”字段对称;若页面打开后下级余额发生变更(如并发操作),下次打开弹窗必须显示最新值</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AC-40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调整后预览实时刷新</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在“③ 金额输入”输入合法正数金额后,输入框下方必须出现一行“调整后预览:上级 X → X' · 下级 Y → Y'”;上分时 X' = X-amount / Y' = Y+amount,下分时方向相反;修改金额时该行数值必须在输入节流 ≤ 200ms 内刷新;若 X' &lt; 0 或 Y' &lt; 0,整行切到红色并轻微抖动一次;金额清空或非法时该行消失</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10. 待确认问题(Open Questions)</w:t>
      </w:r>
    </w:p>
    <w:p>
      <w:pPr>
        <w:spacing w:after="40" w:before="40"/>
      </w:pPr>
      <w:r>
        <w:rPr>
          <w:rFonts w:ascii="Microsoft YaHei" w:cs="Microsoft YaHei" w:eastAsia="Microsoft YaHei" w:hAnsi="Microsoft YaHei"/>
          <w:b w:val="false"/>
          <w:bCs w:val="false"/>
          <w:i w:val="false"/>
          <w:iCs w:val="false"/>
          <w:color w:val="262626"/>
          <w:sz w:val="22"/>
          <w:szCs w:val="22"/>
        </w:rPr>
        <w:t xml:space="preserve">V1.5 版本中,自 V1.1 起累计提出的全部 8 项 Open Questions(Q30 ~ Q37)已一次性收敛并固化进正文 / NFR / 验收标准,见下方“已收敛问题索引”。当前版本(V1.11)0 个未决问题,如评审过程中再出现新问题,新版本在此章节累积。</w:t>
      </w:r>
    </w:p>
    <w:p>
      <w:pPr>
        <w:pStyle w:val="Heading2"/>
        <w:spacing w:after="140" w:before="280"/>
      </w:pPr>
      <w:r>
        <w:rPr>
          <w:rFonts w:ascii="Microsoft YaHei" w:cs="Microsoft YaHei" w:eastAsia="Microsoft YaHei" w:hAnsi="Microsoft YaHei"/>
          <w:b/>
          <w:bCs/>
          <w:color w:val="2E75B6"/>
          <w:sz w:val="30"/>
          <w:szCs w:val="30"/>
        </w:rPr>
        <w:t xml:space="preserve">10.1 已收敛问题索引(V1.5 快照,V1.6 / V1.7 / V1.8 / V1.9 / V1.10 沿用)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400"/>
        <w:gridCol w:w="2260"/>
      </w:tblGrid>
      <w:tr>
        <w:trPr>
          <w:tblHeader/>
        </w:trPr>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编号</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原问题摘要</w:t>
            </w:r>
          </w:p>
        </w:tc>
        <w:tc>
          <w:tcPr>
            <w:tcW w:type="dxa" w:w="3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最终结论</w:t>
            </w:r>
          </w:p>
        </w:tc>
        <w:tc>
          <w:tcPr>
            <w:tcW w:type="dxa" w:w="22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落点章节</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Q30</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上下分是否接入 UAC / 如何做财务对账</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不接入 UAC;体育代理内部钱流封闭 + 账房独立真实钱流;通过同步接口与对账不变式保证最终一致</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4.6.1、8.6</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Q31</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单笔划转金额上限</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体育代理内部不设单笔上限(零和对冲);真实资金侧关卡由账房线下授权机制承担</w:t>
            </w:r>
          </w:p>
        </w:tc>
        <w:tc>
          <w:tcPr>
            <w:tcW w:type="dxa" w:w="2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4.6.4、4.6.5</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Q32</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修改佣金率是否需要运营审批</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自助可改,无需审批;但修改高敏感字段需操作密码;双向级联校验;立即生效不追溯</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4.5.2 ~ 4.5.4</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Q33</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展开层级是否设强制上限</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不设层级上限;搜索命中节点支持独立展开;P95 ≤ 1 秒</w:t>
            </w:r>
          </w:p>
        </w:tc>
        <w:tc>
          <w:tcPr>
            <w:tcW w:type="dxa" w:w="2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4.3、8.1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Q34</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新下线创建后初始余额来源</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创建即 0,任何额度注入必须显式走 FN-ACC-06 上分流水</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4.4.11</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Q35</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多币种下线显示佣金率独立 / 统一</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议题作废:下线永远单币种单方案;切换币种走 FN-ACC-12</w:t>
            </w:r>
          </w:p>
        </w:tc>
        <w:tc>
          <w:tcPr>
            <w:tcW w:type="dxa" w:w="2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4.4.6、4.11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Q36</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操作密码是否升级为独立资金密码 / 二次验证</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保持与登录密码一致;依据:内部钱流封闭 + 真实资金入口在账房;未来接入外部通道时重评估</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8.2</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Q37</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系统户口号回收规则</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永不回收 / 永不复用 / 永不变更;保证审计追溯链路单调唯一</w:t>
            </w:r>
          </w:p>
        </w:tc>
        <w:tc>
          <w:tcPr>
            <w:tcW w:type="dxa" w:w="2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4.4.3、8.2</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附录 说明</w:t>
      </w:r>
    </w:p>
    <w:p>
      <w:pPr>
        <w:spacing w:after="40" w:before="40"/>
      </w:pPr>
      <w:r>
        <w:rPr>
          <w:rFonts w:ascii="Microsoft YaHei" w:cs="Microsoft YaHei" w:eastAsia="Microsoft YaHei" w:hAnsi="Microsoft YaHei"/>
          <w:b w:val="false"/>
          <w:bCs w:val="false"/>
          <w:i w:val="false"/>
          <w:iCs w:val="false"/>
          <w:color w:val="262626"/>
          <w:sz w:val="22"/>
          <w:szCs w:val="22"/>
        </w:rPr>
        <w:t xml:space="preserve">附录 A ~ I 是本期 V1.10 交付随 PRD 一起发布的 “基线文档”,目的是把前 9 个版本中在对话里确定但未必充分写进正文的判断(设计令牌、组件视觉、交互约定、业务算法、Mock 数据、三语键值对、技术栈陷阱)一次性冻结成硬契约。任何接手者(人或 AI)仅凭 PRD 正文 + 附录应具备 90% 以上还原本期交付原型的能力,不需要回看对话历史。</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约束:附录与 PRD 正文冲突时,以附录为准;附录与原型冲突时,以原型为准(见附录 I)。</w:t>
      </w:r>
    </w:p>
    <w:p>
      <w:r>
        <w:br w:type="page"/>
      </w:r>
    </w:p>
    <w:p>
      <w:pPr>
        <w:pStyle w:val="Heading1"/>
        <w:spacing w:after="180" w:before="360"/>
      </w:pPr>
      <w:r>
        <w:rPr>
          <w:rFonts w:ascii="Microsoft YaHei" w:cs="Microsoft YaHei" w:eastAsia="Microsoft YaHei" w:hAnsi="Microsoft YaHei"/>
          <w:b/>
          <w:bCs/>
          <w:color w:val="1F3864"/>
          <w:sz w:val="36"/>
          <w:szCs w:val="36"/>
        </w:rPr>
        <w:t xml:space="preserve">附录 A. 设计令牌(Design Tokens)</w:t>
      </w:r>
    </w:p>
    <w:p>
      <w:pPr>
        <w:spacing w:after="40" w:before="40"/>
      </w:pPr>
      <w:r>
        <w:rPr>
          <w:rFonts w:ascii="Microsoft YaHei" w:cs="Microsoft YaHei" w:eastAsia="Microsoft YaHei" w:hAnsi="Microsoft YaHei"/>
          <w:b w:val="false"/>
          <w:bCs w:val="false"/>
          <w:i w:val="false"/>
          <w:iCs w:val="false"/>
          <w:color w:val="262626"/>
          <w:sz w:val="22"/>
          <w:szCs w:val="22"/>
        </w:rPr>
        <w:t xml:space="preserve">原型采用深色金系主题。所有颜色、尺寸、圆角、阴影、字号均按令牌化定义,直接对应 Tailwind utility class 或 inline style。复现时按下表值一对一落实。</w:t>
      </w:r>
    </w:p>
    <w:p>
      <w:pPr>
        <w:pStyle w:val="Heading2"/>
        <w:spacing w:after="140" w:before="280"/>
      </w:pPr>
      <w:r>
        <w:rPr>
          <w:rFonts w:ascii="Microsoft YaHei" w:cs="Microsoft YaHei" w:eastAsia="Microsoft YaHei" w:hAnsi="Microsoft YaHei"/>
          <w:b/>
          <w:bCs/>
          <w:color w:val="2E75B6"/>
          <w:sz w:val="30"/>
          <w:szCs w:val="30"/>
        </w:rPr>
        <w:t xml:space="preserve">A.1 色彩令牌</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600"/>
        <w:gridCol w:w="33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令牌</w:t>
            </w:r>
          </w:p>
        </w:tc>
        <w:tc>
          <w:tcPr>
            <w:tcW w:type="dxa" w:w="2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色值(HEX)</w:t>
            </w:r>
          </w:p>
        </w:tc>
        <w:tc>
          <w:tcPr>
            <w:tcW w:type="dxa" w:w="3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用途</w:t>
            </w:r>
          </w:p>
        </w:tc>
        <w:tc>
          <w:tcPr>
            <w:tcW w:type="dxa" w:w="3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Tailwind 映射</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bg-page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#0F0F10</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整页底色</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body 自定义 CSS</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bg-elev</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#1A1A1C</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 Bar / 侧边栏 / 较高层级面板</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.bg-elev 自定义</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bg-card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#141416</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卡片 / 下拉 / 弹窗容器</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.bg-card 自定义</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border-default</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#2A2A2C</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分割线 / 输入框 / 卡片描边</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.bd 自定义 / border-[#2A2A2C]</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gold-primary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#F0B93A</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品牌色 · 主按钮底 / 强调文字 / 选中态 ID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.gold 自定义 / bg-gold</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gold-accent</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#F0B93A</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输入框 focus 边框</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focus 边框</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text-primary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#FFFFFF</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主要正文字</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默认文字</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text-muted</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#8E8E93</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次要说明 / 占位 / 灰态文字</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.muted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text-on-gold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#1F1F1F</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主按钮文字色(底为金色时)</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text-black</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success</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#34C759</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启用态 chip / 正数输赢</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.good / .chip-on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danger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#FF4D4F</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错误文案 / 负数输赢 / 必填星号 / 高危</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.danger</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chip-off-bg</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rgba(142,142,147,.2)</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禁用态 chip 底</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.chip-off</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chip-on-bg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rgba(52,199,89,.15)</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启用态 chip 底</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.chip-on</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row-hover</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#141416</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表格行悬停底</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.row-hover:hover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modal-backdrop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rgba(0,0,0,.6)</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弹窗遮罩</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.modal-backdrop</w:t>
            </w:r>
          </w:p>
        </w:tc>
      </w:tr>
    </w:tbl>
    <w:p>
      <w:pPr>
        <w:pStyle w:val="Heading2"/>
        <w:spacing w:after="140" w:before="280"/>
      </w:pPr>
      <w:r>
        <w:rPr>
          <w:rFonts w:ascii="Microsoft YaHei" w:cs="Microsoft YaHei" w:eastAsia="Microsoft YaHei" w:hAnsi="Microsoft YaHei"/>
          <w:b/>
          <w:bCs/>
          <w:color w:val="2E75B6"/>
          <w:sz w:val="30"/>
          <w:szCs w:val="30"/>
        </w:rPr>
        <w:t xml:space="preserve">A.2 尺寸 · 圆角 · 阴影</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600"/>
        <w:gridCol w:w="4360"/>
      </w:tblGrid>
      <w:tr>
        <w:trPr>
          <w:tblHeader/>
        </w:trPr>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类别</w:t>
            </w:r>
          </w:p>
        </w:tc>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令牌</w:t>
            </w:r>
          </w:p>
        </w:tc>
        <w:tc>
          <w:tcPr>
            <w:tcW w:type="dxa" w:w="3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值</w:t>
            </w:r>
          </w:p>
        </w:tc>
        <w:tc>
          <w:tcPr>
            <w:tcW w:type="dxa" w:w="4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场景</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spacing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x-tight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4px  · gap-1</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chip 文字与图标、小标签间距</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spacing</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tight</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8px  · gap-2 / px-2</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按钮内部、下拉项间距</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spacing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16px · p-4 / gap-4</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表单字段间距、弹窗内边距</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spacing</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lg</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24px · px-6 / py-6</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页面主容器、弹窗 padding</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spacing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xl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40px · py-10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空状态、分区大间距</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radius</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sm</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4px  · rounded</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下拉项、chip、分隔块</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radius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6px  · rounded-md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按钮、输入框</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radius</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lg</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8px  · rounded-lg</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卡片 / 表格容器</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radius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pill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9999 · rounded-full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chip、头像</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shadow</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dropdown</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shadow-xl + bd(#2A2A2C)</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下拉菜单 / 用户菜单</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shadow</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modal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 8px 28px rgba(0,0,0,.5)</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弹窗、toast</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font-size</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xs</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12px</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说明、辅助、错误文字</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font-size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sm</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14px</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表格单元格、按钮、下拉项</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font-size</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base</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16px</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正文</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font-size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lg</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18px</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弹窗标题、分区标题</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font-size</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title</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20px</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页面主标题</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z-index</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dropdown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所有下拉菜单</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z-index</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modal</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50</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弹窗遮罩 + 内容</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z-index</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9999</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w:t>
            </w:r>
          </w:p>
        </w:tc>
      </w:tr>
    </w:tbl>
    <w:p>
      <w:pPr>
        <w:pStyle w:val="Heading2"/>
        <w:spacing w:after="140" w:before="280"/>
      </w:pPr>
      <w:r>
        <w:rPr>
          <w:rFonts w:ascii="Microsoft YaHei" w:cs="Microsoft YaHei" w:eastAsia="Microsoft YaHei" w:hAnsi="Microsoft YaHei"/>
          <w:b/>
          <w:bCs/>
          <w:color w:val="2E75B6"/>
          <w:sz w:val="30"/>
          <w:szCs w:val="30"/>
        </w:rPr>
        <w:t xml:space="preserve">A.3 字体栈</w:t>
      </w:r>
    </w:p>
    <w:p>
      <w:pPr>
        <w:shd w:fill="F5F5F5" w:val="clear"/>
        <w:spacing w:after="40" w:before="40"/>
      </w:pPr>
      <w:r>
        <w:rPr>
          <w:rFonts w:ascii="Consolas" w:cs="Consolas" w:eastAsia="Consolas" w:hAnsi="Consolas"/>
          <w:color w:val="1F1F1F"/>
          <w:sz w:val="20"/>
          <w:szCs w:val="20"/>
        </w:rPr>
        <w:t xml:space="preserve">font-family: "PingFang SC", "Microsoft YaHei", "Noto Sans SC", "Noto Sans KR", "Apple SD Gothic Neo", "Inter", "Roboto", system-ui, sans-serif;</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中文走 PingFang SC / Microsoft YaHei;英文走 Inter / Roboto;韩文走 Noto Sans KR / Apple SD Gothic Neo;兜底 system-ui</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等宽字体(代码、系统户口号、用户账号、金额 mono 对齐):font-mono → Consolas / Menlo / monospace</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禁止对韩文做 uppercase / lowercase,禁止对任何文本做 letter-spacing 压缩(影响 CJK 渲染)</w:t>
      </w:r>
    </w:p>
    <w:p>
      <w:r>
        <w:br w:type="page"/>
      </w:r>
    </w:p>
    <w:p>
      <w:pPr>
        <w:pStyle w:val="Heading1"/>
        <w:spacing w:after="180" w:before="360"/>
      </w:pPr>
      <w:r>
        <w:rPr>
          <w:rFonts w:ascii="Microsoft YaHei" w:cs="Microsoft YaHei" w:eastAsia="Microsoft YaHei" w:hAnsi="Microsoft YaHei"/>
          <w:b/>
          <w:bCs/>
          <w:color w:val="1F3864"/>
          <w:sz w:val="36"/>
          <w:szCs w:val="36"/>
        </w:rPr>
        <w:t xml:space="preserve">附录 B. 组件规范</w:t>
      </w:r>
    </w:p>
    <w:p>
      <w:pPr>
        <w:spacing w:after="40" w:before="40"/>
      </w:pPr>
      <w:r>
        <w:rPr>
          <w:rFonts w:ascii="Microsoft YaHei" w:cs="Microsoft YaHei" w:eastAsia="Microsoft YaHei" w:hAnsi="Microsoft YaHei"/>
          <w:b w:val="false"/>
          <w:bCs w:val="false"/>
          <w:i w:val="false"/>
          <w:iCs w:val="false"/>
          <w:color w:val="262626"/>
          <w:sz w:val="22"/>
          <w:szCs w:val="22"/>
        </w:rPr>
        <w:t xml:space="preserve">本附录以组件为单位,给出 DOM 结构、Tailwind class 模板、状态、交互约定四件套。复现时可直接照抄 class 串。</w:t>
      </w:r>
    </w:p>
    <w:p>
      <w:pPr>
        <w:pStyle w:val="Heading2"/>
        <w:spacing w:after="140" w:before="280"/>
      </w:pPr>
      <w:r>
        <w:rPr>
          <w:rFonts w:ascii="Microsoft YaHei" w:cs="Microsoft YaHei" w:eastAsia="Microsoft YaHei" w:hAnsi="Microsoft YaHei"/>
          <w:b/>
          <w:bCs/>
          <w:color w:val="2E75B6"/>
          <w:sz w:val="30"/>
          <w:szCs w:val="30"/>
        </w:rPr>
        <w:t xml:space="preserve">B.1 Button(按钮)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800"/>
        <w:gridCol w:w="1360"/>
      </w:tblGrid>
      <w:tr>
        <w:trPr>
          <w:tblHeader/>
        </w:trPr>
        <w:tc>
          <w:tcPr>
            <w:tcW w:type="dxa" w:w="1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类型</w:t>
            </w:r>
          </w:p>
        </w:tc>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用途</w:t>
            </w:r>
          </w:p>
        </w:tc>
        <w:tc>
          <w:tcPr>
            <w:tcW w:type="dxa" w:w="4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className 模板</w:t>
            </w:r>
          </w:p>
        </w:tc>
        <w:tc>
          <w:tcPr>
            <w:tcW w:type="dxa" w:w="1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状态</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primary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提交、确认、登录</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.btn-primary(自定义)= bg-gold + text-black + font-semibold + h-10 + rounded-md + px-4</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disabled opacity-40 cursor-not-allowed</w:t>
            </w:r>
          </w:p>
        </w:tc>
      </w:tr>
      <w:tr>
        <w:tc>
          <w:tcPr>
            <w:tcW w:type="dxa" w:w="1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secondary</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取消、关闭</w:t>
            </w:r>
          </w:p>
        </w:tc>
        <w:tc>
          <w:tcPr>
            <w:tcW w:type="dxa" w:w="4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.btn-secondary = bg-#3A3A3C + text-white + h-10 + rounded-md + px-4</w:t>
            </w:r>
          </w:p>
        </w:tc>
        <w:tc>
          <w:tcPr>
            <w:tcW w:type="dxa" w:w="1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hover:bg 微变</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ghost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行内动作、文字按钮</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btn-ghost = text-#F0B93A + px-2</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hover 不变底色,只变轻微</w:t>
            </w:r>
          </w:p>
        </w:tc>
      </w:tr>
      <w:tr>
        <w:tc>
          <w:tcPr>
            <w:tcW w:type="dxa" w:w="1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danger</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删除 / 禁用高危</w:t>
            </w:r>
          </w:p>
        </w:tc>
        <w:tc>
          <w:tcPr>
            <w:tcW w:type="dxa" w:w="4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btn-primary + bg-danger(必要时重写底色)</w:t>
            </w:r>
          </w:p>
        </w:tc>
        <w:tc>
          <w:tcPr>
            <w:tcW w:type="dxa" w:w="1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 primary</w:t>
            </w:r>
          </w:p>
        </w:tc>
      </w:tr>
    </w:tbl>
    <w:p>
      <w:pPr>
        <w:spacing w:after="40" w:before="40"/>
      </w:pPr>
      <w:r>
        <w:rPr>
          <w:rFonts w:ascii="Microsoft YaHei" w:cs="Microsoft YaHei" w:eastAsia="Microsoft YaHei" w:hAnsi="Microsoft YaHei"/>
          <w:b w:val="false"/>
          <w:bCs w:val="false"/>
          <w:i w:val="false"/>
          <w:iCs w:val="false"/>
          <w:color w:val="262626"/>
          <w:sz w:val="22"/>
          <w:szCs w:val="22"/>
        </w:rPr>
        <w:t xml:space="preserve">行尾动作列(表格每行末单元格)只使用 ghost 按钮,按“新增下线 / 修改资料 / 上分 / 下分 / 更多 ▾”顺序,右对齐,whitespace-nowrap。</w:t>
      </w:r>
    </w:p>
    <w:p>
      <w:pPr>
        <w:pStyle w:val="Heading2"/>
        <w:spacing w:after="140" w:before="280"/>
      </w:pPr>
      <w:r>
        <w:rPr>
          <w:rFonts w:ascii="Microsoft YaHei" w:cs="Microsoft YaHei" w:eastAsia="Microsoft YaHei" w:hAnsi="Microsoft YaHei"/>
          <w:b/>
          <w:bCs/>
          <w:color w:val="2E75B6"/>
          <w:sz w:val="30"/>
          <w:szCs w:val="30"/>
        </w:rPr>
        <w:t xml:space="preserve">B.2 Input(输入)</w:t>
      </w:r>
    </w:p>
    <w:p>
      <w:pPr>
        <w:shd w:fill="F5F5F5" w:val="clear"/>
        <w:spacing w:after="40" w:before="40"/>
      </w:pPr>
      <w:r>
        <w:rPr>
          <w:rFonts w:ascii="Consolas" w:cs="Consolas" w:eastAsia="Consolas" w:hAnsi="Consolas"/>
          <w:color w:val="1F1F1F"/>
          <w:sz w:val="20"/>
          <w:szCs w:val="20"/>
        </w:rPr>
        <w:t xml:space="preserve">&lt;input className="input w-full" ... /&gt;</w:t>
      </w:r>
    </w:p>
    <w:p>
      <w:pPr>
        <w:shd w:fill="F5F5F5" w:val="clear"/>
        <w:spacing w:after="40" w:before="40"/>
      </w:pPr>
      <w:r>
        <w:rPr>
          <w:rFonts w:ascii="Consolas" w:cs="Consolas" w:eastAsia="Consolas" w:hAnsi="Consolas"/>
          <w:color w:val="1F1F1F"/>
          <w:sz w:val="20"/>
          <w:szCs w:val="20"/>
        </w:rPr>
        <w:t xml:space="preserve">.input { background:#0F0F10; border:1px solid #2A2A2C; color:#fff; padding:8px 12px; border-radius:6px; outline:none; height:40px; }</w:t>
      </w:r>
    </w:p>
    <w:p>
      <w:pPr>
        <w:shd w:fill="F5F5F5" w:val="clear"/>
        <w:spacing w:after="40" w:before="40"/>
      </w:pPr>
      <w:r>
        <w:rPr>
          <w:rFonts w:ascii="Consolas" w:cs="Consolas" w:eastAsia="Consolas" w:hAnsi="Consolas"/>
          <w:color w:val="1F1F1F"/>
          <w:sz w:val="20"/>
          <w:szCs w:val="20"/>
        </w:rPr>
        <w:t xml:space="preserve">.input:focus { border-color:#F0B93A; }</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数字输入(金额、佣金率)使用 type="number" + step="0.01",禁止拦截 scroll</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必填字段标签前加 .req::before content:"*" + color:danger</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字段下方 12px(text-xs)展示错误文案,color=#FF4D4F</w:t>
      </w:r>
    </w:p>
    <w:p>
      <w:pPr>
        <w:pStyle w:val="Heading2"/>
        <w:spacing w:after="140" w:before="280"/>
      </w:pPr>
      <w:r>
        <w:rPr>
          <w:rFonts w:ascii="Microsoft YaHei" w:cs="Microsoft YaHei" w:eastAsia="Microsoft YaHei" w:hAnsi="Microsoft YaHei"/>
          <w:b/>
          <w:bCs/>
          <w:color w:val="2E75B6"/>
          <w:sz w:val="30"/>
          <w:szCs w:val="30"/>
        </w:rPr>
        <w:t xml:space="preserve">B.3 Chip(状态标签)</w:t>
      </w:r>
    </w:p>
    <w:p>
      <w:pPr>
        <w:shd w:fill="F5F5F5" w:val="clear"/>
        <w:spacing w:after="40" w:before="40"/>
      </w:pPr>
      <w:r>
        <w:rPr>
          <w:rFonts w:ascii="Consolas" w:cs="Consolas" w:eastAsia="Consolas" w:hAnsi="Consolas"/>
          <w:color w:val="1F1F1F"/>
          <w:sz w:val="20"/>
          <w:szCs w:val="20"/>
        </w:rPr>
        <w:t xml:space="preserve">&lt;span className={"chip " + (a.status === "on" ? "chip-on" : "chip-off")}&gt;启用 / 禁用&lt;/span&gt;</w:t>
      </w:r>
    </w:p>
    <w:p>
      <w:pPr>
        <w:shd w:fill="F5F5F5" w:val="clear"/>
        <w:spacing w:after="40" w:before="40"/>
      </w:pPr>
      <w:r>
        <w:rPr>
          <w:rFonts w:ascii="Consolas" w:cs="Consolas" w:eastAsia="Consolas" w:hAnsi="Consolas"/>
          <w:color w:val="1F1F1F"/>
          <w:sz w:val="20"/>
          <w:szCs w:val="20"/>
        </w:rPr>
        <w:t xml:space="preserve">.chip { display:inline-block; padding:2px 10px; border-radius:9999px; font-size:12px; }</w:t>
      </w:r>
    </w:p>
    <w:p>
      <w:pPr>
        <w:shd w:fill="F5F5F5" w:val="clear"/>
        <w:spacing w:after="40" w:before="40"/>
      </w:pPr>
      <w:r>
        <w:rPr>
          <w:rFonts w:ascii="Consolas" w:cs="Consolas" w:eastAsia="Consolas" w:hAnsi="Consolas"/>
          <w:color w:val="1F1F1F"/>
          <w:sz w:val="20"/>
          <w:szCs w:val="20"/>
        </w:rPr>
        <w:t xml:space="preserve">.chip-on  { background:rgba(52,199,89,.15);  color:#34C759; }</w:t>
      </w:r>
    </w:p>
    <w:p>
      <w:pPr>
        <w:shd w:fill="F5F5F5" w:val="clear"/>
        <w:spacing w:after="40" w:before="40"/>
      </w:pPr>
      <w:r>
        <w:rPr>
          <w:rFonts w:ascii="Consolas" w:cs="Consolas" w:eastAsia="Consolas" w:hAnsi="Consolas"/>
          <w:color w:val="1F1F1F"/>
          <w:sz w:val="20"/>
          <w:szCs w:val="20"/>
        </w:rPr>
        <w:t xml:space="preserve">.chip-off { background:rgba(142,142,147,.2); color:#8E8E93; }</w:t>
      </w:r>
    </w:p>
    <w:p>
      <w:pPr>
        <w:pStyle w:val="Heading2"/>
        <w:spacing w:after="140" w:before="280"/>
      </w:pPr>
      <w:r>
        <w:rPr>
          <w:rFonts w:ascii="Microsoft YaHei" w:cs="Microsoft YaHei" w:eastAsia="Microsoft YaHei" w:hAnsi="Microsoft YaHei"/>
          <w:b/>
          <w:bCs/>
          <w:color w:val="2E75B6"/>
          <w:sz w:val="30"/>
          <w:szCs w:val="30"/>
        </w:rPr>
        <w:t xml:space="preserve">B.4 Modal(弹窗)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结构:backdrop(.modal-backdrop z-50) + 卡片(bg-card 最大宽 800,圆角 lg,居中)</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三段式:title(18px bold 金色 + 右上 ×)/ body(分区容器 Section)/ footer(右对齐:左取消 右确认)</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Esc 键关闭;点击 backdrop 关闭;按 footer 取消与 × 的语义,见附录 C.4 的两种场景区分</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每个弹窗必须提供 onClose 与 onSubmit 回调,toast 成功/错误信息统一用 toast(msg) hook</w:t>
      </w:r>
    </w:p>
    <w:p>
      <w:pPr>
        <w:pStyle w:val="Heading2"/>
        <w:spacing w:after="140" w:before="280"/>
      </w:pPr>
      <w:r>
        <w:rPr>
          <w:rFonts w:ascii="Microsoft YaHei" w:cs="Microsoft YaHei" w:eastAsia="Microsoft YaHei" w:hAnsi="Microsoft YaHei"/>
          <w:b/>
          <w:bCs/>
          <w:color w:val="2E75B6"/>
          <w:sz w:val="30"/>
          <w:szCs w:val="30"/>
        </w:rPr>
        <w:t xml:space="preserve">B.5 Section(弹窗内分区)</w:t>
      </w:r>
    </w:p>
    <w:p>
      <w:pPr>
        <w:shd w:fill="F5F5F5" w:val="clear"/>
        <w:spacing w:after="40" w:before="40"/>
      </w:pPr>
      <w:r>
        <w:rPr>
          <w:rFonts w:ascii="Consolas" w:cs="Consolas" w:eastAsia="Consolas" w:hAnsi="Consolas"/>
          <w:color w:val="1F1F1F"/>
          <w:sz w:val="20"/>
          <w:szCs w:val="20"/>
        </w:rPr>
        <w:t xml:space="preserve">&lt;Section title="只读信息"&gt; ... &lt;/Section&gt;</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title: 14px bold + 金色分隔线上方</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body: grid / flex 排布字段;标签 14px muted,值 14px default</w:t>
      </w:r>
    </w:p>
    <w:p>
      <w:pPr>
        <w:pStyle w:val="Heading2"/>
        <w:spacing w:after="140" w:before="280"/>
      </w:pPr>
      <w:r>
        <w:rPr>
          <w:rFonts w:ascii="Microsoft YaHei" w:cs="Microsoft YaHei" w:eastAsia="Microsoft YaHei" w:hAnsi="Microsoft YaHei"/>
          <w:b/>
          <w:bCs/>
          <w:color w:val="2E75B6"/>
          <w:sz w:val="30"/>
          <w:szCs w:val="30"/>
        </w:rPr>
        <w:t xml:space="preserve">B.6 Table(表格)</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外层容器:bg-card + bd + border + rounded-lg + overflow:visible(禁止 overflow-hidden,否则下拉被裁)</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表头:.table-head bg=#1A1A1C + color=#8E8E93 + font-normal + 左对齐或居中(见各模块)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行:.row-hover + borderTop:1px solid #2A2A2C</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操作列:text-right whitespace-nowrap;按钮全部 ghost 型</w:t>
      </w:r>
    </w:p>
    <w:p>
      <w:pPr>
        <w:pStyle w:val="Heading2"/>
        <w:spacing w:after="140" w:before="280"/>
      </w:pPr>
      <w:r>
        <w:rPr>
          <w:rFonts w:ascii="Microsoft YaHei" w:cs="Microsoft YaHei" w:eastAsia="Microsoft YaHei" w:hAnsi="Microsoft YaHei"/>
          <w:b/>
          <w:bCs/>
          <w:color w:val="2E75B6"/>
          <w:sz w:val="30"/>
          <w:szCs w:val="30"/>
        </w:rPr>
        <w:t xml:space="preserve">B.7 Dropdown(下拉菜单)</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统一使用 React 受控模式(useState + useClickOutside),禁用原生 &lt;details&gt;(不支持点外部关闭)</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容器:absolute right-0 top-7/8/10 + bg-card + bd + border + rounded + shadow-xl + w-44 / w-36 + z-40</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子按钮:block w-full text-left px-4 py-2 + row-hover + text-sm</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当下拉容器位于 whitespace-nowrap 父元素内,必须在容器上显式设 style={{whiteSpace:"normal"}}</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同一时间全局最多一个下拉处于打开态(跨组件互斥)</w:t>
      </w:r>
    </w:p>
    <w:p>
      <w:pPr>
        <w:pStyle w:val="Heading2"/>
        <w:spacing w:after="140" w:before="280"/>
      </w:pPr>
      <w:r>
        <w:rPr>
          <w:rFonts w:ascii="Microsoft YaHei" w:cs="Microsoft YaHei" w:eastAsia="Microsoft YaHei" w:hAnsi="Microsoft YaHei"/>
          <w:b/>
          <w:bCs/>
          <w:color w:val="2E75B6"/>
          <w:sz w:val="30"/>
          <w:szCs w:val="30"/>
        </w:rPr>
        <w:t xml:space="preserve">B.8 Toast</w:t>
      </w:r>
    </w:p>
    <w:p>
      <w:pPr>
        <w:shd w:fill="F5F5F5" w:val="clear"/>
        <w:spacing w:after="40" w:before="40"/>
      </w:pPr>
      <w:r>
        <w:rPr>
          <w:rFonts w:ascii="Consolas" w:cs="Consolas" w:eastAsia="Consolas" w:hAnsi="Consolas"/>
          <w:color w:val="1F1F1F"/>
          <w:sz w:val="20"/>
          <w:szCs w:val="20"/>
        </w:rPr>
        <w:t xml:space="preserve">.toast { position:fixed; top:24px; left:50%; transform:translateX(-50%); z-index:9999; background:#1A1A1C; border:1px solid #2A2A2C; color:#fff; padding:10px 18px; border-radius:6px; }</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自动消失:2 秒;同时只显示一条(新的覆盖旧的)</w:t>
      </w:r>
    </w:p>
    <w:p>
      <w:r>
        <w:br w:type="page"/>
      </w:r>
    </w:p>
    <w:p>
      <w:pPr>
        <w:pStyle w:val="Heading1"/>
        <w:spacing w:after="180" w:before="360"/>
      </w:pPr>
      <w:r>
        <w:rPr>
          <w:rFonts w:ascii="Microsoft YaHei" w:cs="Microsoft YaHei" w:eastAsia="Microsoft YaHei" w:hAnsi="Microsoft YaHei"/>
          <w:b/>
          <w:bCs/>
          <w:color w:val="1F3864"/>
          <w:sz w:val="36"/>
          <w:szCs w:val="36"/>
        </w:rPr>
        <w:t xml:space="preserve">附录 C. 交互规范</w:t>
      </w:r>
    </w:p>
    <w:p>
      <w:pPr>
        <w:pStyle w:val="Heading2"/>
        <w:spacing w:after="140" w:before="280"/>
      </w:pPr>
      <w:r>
        <w:rPr>
          <w:rFonts w:ascii="Microsoft YaHei" w:cs="Microsoft YaHei" w:eastAsia="Microsoft YaHei" w:hAnsi="Microsoft YaHei"/>
          <w:b/>
          <w:bCs/>
          <w:color w:val="2E75B6"/>
          <w:sz w:val="30"/>
          <w:szCs w:val="30"/>
        </w:rPr>
        <w:t xml:space="preserve">C.1 下拉菜单:点外部即关闭 + 全局互斥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使用 useClickOutside(ref, onClose, active) hook;监听 mousedown 而非 click(避免目标按钮的 onClick 先触发一次开合抖动)</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打开一个下拉时,立即 setOtherOpen(false) 关闭其他已开下拉</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Esc 键:关闭所有下拉</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选中下拉内任意选项后,立即 setOpen(false)</w:t>
      </w:r>
    </w:p>
    <w:p>
      <w:pPr>
        <w:pStyle w:val="Heading2"/>
        <w:spacing w:after="140" w:before="280"/>
      </w:pPr>
      <w:r>
        <w:rPr>
          <w:rFonts w:ascii="Microsoft YaHei" w:cs="Microsoft YaHei" w:eastAsia="Microsoft YaHei" w:hAnsi="Microsoft YaHei"/>
          <w:b/>
          <w:bCs/>
          <w:color w:val="2E75B6"/>
          <w:sz w:val="30"/>
          <w:szCs w:val="30"/>
        </w:rPr>
        <w:t xml:space="preserve">C.2 弹窗关闭语义:forced vs optional</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800"/>
        <w:gridCol w:w="1800"/>
        <w:gridCol w:w="1960"/>
      </w:tblGrid>
      <w:tr>
        <w:trPr>
          <w:tblHeader/>
        </w:trPr>
        <w:tc>
          <w:tcPr>
            <w:tcW w:type="dxa" w:w="2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场景</w:t>
            </w:r>
          </w:p>
        </w:tc>
        <w:tc>
          <w:tcPr>
            <w:tcW w:type="dxa" w:w="2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入口</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 / 取消</w:t>
            </w:r>
          </w:p>
        </w:tc>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确认成功</w:t>
            </w:r>
          </w:p>
        </w:tc>
        <w:tc>
          <w:tcPr>
            <w:tcW w:type="dxa" w:w="1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错误 / 后端异常</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首次登录 forced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系统强制弹出,非用户主动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清除会话,跳登录页(不改密码无法继续使用)</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清除会话,跳登录页</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弹窗保持打开,允许重试,不登出</w:t>
            </w:r>
          </w:p>
        </w:tc>
      </w:tr>
      <w:tr>
        <w:tc>
          <w:tcPr>
            <w:tcW w:type="dxa" w:w="2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页内 optional</w:t>
            </w:r>
          </w:p>
        </w:tc>
        <w:tc>
          <w:tcPr>
            <w:tcW w:type="dxa" w:w="2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用户主动点菜单</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普通关闭,会话保持</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清除会话,跳登录页(防旧会话残留)</w:t>
            </w:r>
          </w:p>
        </w:tc>
        <w:tc>
          <w:tcPr>
            <w:tcW w:type="dxa" w:w="1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弹窗保持打开,允许重试,不登出</w:t>
            </w:r>
          </w:p>
        </w:tc>
      </w:tr>
    </w:tbl>
    <w:p>
      <w:pPr>
        <w:pStyle w:val="Heading2"/>
        <w:spacing w:after="140" w:before="280"/>
      </w:pPr>
      <w:r>
        <w:rPr>
          <w:rFonts w:ascii="Microsoft YaHei" w:cs="Microsoft YaHei" w:eastAsia="Microsoft YaHei" w:hAnsi="Microsoft YaHei"/>
          <w:b/>
          <w:bCs/>
          <w:color w:val="2E75B6"/>
          <w:sz w:val="30"/>
          <w:szCs w:val="30"/>
        </w:rPr>
        <w:t xml:space="preserve">C.3 高敏感字段触发操作密码(FN-ACC-05)</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高敏感字段发生修改才插入“操作密码”输入区;字段未变化不插入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高敏感字段范围:显示佣金率、重置登录密码、账号状态、交收方案、上分/下分金额</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操作密码 = 登录密码;Mock 值 123456;错误提示“操作密码错误”就地红字</w:t>
      </w:r>
    </w:p>
    <w:p>
      <w:pPr>
        <w:pStyle w:val="Heading2"/>
        <w:spacing w:after="140" w:before="280"/>
      </w:pPr>
      <w:r>
        <w:rPr>
          <w:rFonts w:ascii="Microsoft YaHei" w:cs="Microsoft YaHei" w:eastAsia="Microsoft YaHei" w:hAnsi="Microsoft YaHei"/>
          <w:b/>
          <w:bCs/>
          <w:color w:val="2E75B6"/>
          <w:sz w:val="30"/>
          <w:szCs w:val="30"/>
        </w:rPr>
        <w:t xml:space="preserve">C.4 表格行为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首屏默认:仅展示当前登录代理(顶代 qweqwe)的直属下线(parentId = 登录账号);孙级及以下默认收起,点击 ▶ 按需加载一层</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系统户口号单元格:仅展示户口号本身,不展示昵称副行;搜索命中 ★ 紧随户口号右侧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搜索:单一输入框同时匹配“系统户口号”和“用户账号”两字段的 OR 语义,大小写不敏感,contains 模式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搜索模式下:扁平渲染命中节点,不按层级嵌套;每条命中都可独立展开其子树</w:t>
      </w:r>
    </w:p>
    <w:p>
      <w:pPr>
        <w:pStyle w:val="Heading2"/>
        <w:spacing w:after="140" w:before="280"/>
      </w:pPr>
      <w:r>
        <w:rPr>
          <w:rFonts w:ascii="Microsoft YaHei" w:cs="Microsoft YaHei" w:eastAsia="Microsoft YaHei" w:hAnsi="Microsoft YaHei"/>
          <w:b/>
          <w:bCs/>
          <w:color w:val="2E75B6"/>
          <w:sz w:val="30"/>
          <w:szCs w:val="30"/>
        </w:rPr>
        <w:t xml:space="preserve">C.5 金额显示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统一走 fmtAmount(value, lang);禁止在业务层手工拼接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zh-CN:value / 10000,最多 4 位小数,末位去零,加空格 + “万”(不满 1 万也换算,如 8000 → 0.8 万、300 → 0.03 万、0 → 0 万)</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en / ko:value.toLocaleString() + 空格 + 币种(USD / PHP / CNY),不换算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负数前缀减号 + 红色 #FF4D4F</w:t>
      </w:r>
    </w:p>
    <w:p>
      <w:pPr>
        <w:pStyle w:val="Heading2"/>
        <w:spacing w:after="140" w:before="280"/>
      </w:pPr>
      <w:r>
        <w:rPr>
          <w:rFonts w:ascii="Microsoft YaHei" w:cs="Microsoft YaHei" w:eastAsia="Microsoft YaHei" w:hAnsi="Microsoft YaHei"/>
          <w:b/>
          <w:bCs/>
          <w:color w:val="2E75B6"/>
          <w:sz w:val="30"/>
          <w:szCs w:val="30"/>
        </w:rPr>
        <w:t xml:space="preserve">C.6 总线余额聚合</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每个账号的 totalBalance = 自身 balance + Σ(直属下线的 totalBalance)(递归一层即可,因下线的 totalBalance 自身已经递归过)</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币种汇总表按 schemeId 分组;总线余额跨币种不换算,每币种独立一行显示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禁止把“全子树所有 totalBalance 平铺求和”当作顶代的总线余额(会重复计祖孙链)</w:t>
      </w:r>
    </w:p>
    <w:p>
      <w:pPr>
        <w:pStyle w:val="Heading2"/>
        <w:spacing w:after="140" w:before="280"/>
      </w:pPr>
      <w:r>
        <w:rPr>
          <w:rFonts w:ascii="Microsoft YaHei" w:cs="Microsoft YaHei" w:eastAsia="Microsoft YaHei" w:hAnsi="Microsoft YaHei"/>
          <w:b/>
          <w:bCs/>
          <w:color w:val="2E75B6"/>
          <w:sz w:val="30"/>
          <w:szCs w:val="30"/>
        </w:rPr>
        <w:t xml:space="preserve">C.7 操作按钮顺序</w:t>
      </w:r>
    </w:p>
    <w:p>
      <w:pPr>
        <w:spacing w:after="40" w:before="40"/>
      </w:pPr>
      <w:r>
        <w:rPr>
          <w:rFonts w:ascii="Microsoft YaHei" w:cs="Microsoft YaHei" w:eastAsia="Microsoft YaHei" w:hAnsi="Microsoft YaHei"/>
          <w:b w:val="false"/>
          <w:bCs w:val="false"/>
          <w:i w:val="false"/>
          <w:iCs w:val="false"/>
          <w:color w:val="262626"/>
          <w:sz w:val="22"/>
          <w:szCs w:val="22"/>
        </w:rPr>
        <w:t xml:space="preserve">表格行尾的动作按钮排列顺序(从左到右)固定为:</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新增下线(仅代理行显示,玩家行不显示)</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修改资料</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上分</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下分</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更多 ▾(折叠 启用/禁用、修改交收方案)</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“修改交收方案”刻意折叠在 “更多 ▾” 下,且仅对顶代直属下线(parentId === 顶代 id)可见 —— 高危 + 不可撤销,防止误触</w:t>
      </w:r>
    </w:p>
    <w:p>
      <w:r>
        <w:br w:type="page"/>
      </w:r>
    </w:p>
    <w:p>
      <w:pPr>
        <w:pStyle w:val="Heading1"/>
        <w:spacing w:after="180" w:before="360"/>
      </w:pPr>
      <w:r>
        <w:rPr>
          <w:rFonts w:ascii="Microsoft YaHei" w:cs="Microsoft YaHei" w:eastAsia="Microsoft YaHei" w:hAnsi="Microsoft YaHei"/>
          <w:b/>
          <w:bCs/>
          <w:color w:val="1F3864"/>
          <w:sz w:val="36"/>
          <w:szCs w:val="36"/>
        </w:rPr>
        <w:t xml:space="preserve">附录 D. 核心算法(伪代码)</w:t>
      </w:r>
    </w:p>
    <w:p>
      <w:pPr>
        <w:pStyle w:val="Heading2"/>
        <w:spacing w:after="140" w:before="280"/>
      </w:pPr>
      <w:r>
        <w:rPr>
          <w:rFonts w:ascii="Microsoft YaHei" w:cs="Microsoft YaHei" w:eastAsia="Microsoft YaHei" w:hAnsi="Microsoft YaHei"/>
          <w:b/>
          <w:bCs/>
          <w:color w:val="2E75B6"/>
          <w:sz w:val="30"/>
          <w:szCs w:val="30"/>
        </w:rPr>
        <w:t xml:space="preserve">D.1 fmtAmount(value, lang)</w:t>
      </w:r>
    </w:p>
    <w:p>
      <w:pPr>
        <w:shd w:fill="F5F5F5" w:val="clear"/>
        <w:spacing w:after="40" w:before="40"/>
      </w:pPr>
      <w:r>
        <w:rPr>
          <w:rFonts w:ascii="Consolas" w:cs="Consolas" w:eastAsia="Consolas" w:hAnsi="Consolas"/>
          <w:color w:val="1F1F1F"/>
          <w:sz w:val="20"/>
          <w:szCs w:val="20"/>
        </w:rPr>
        <w:t xml:space="preserve">function fmtAmount(lang, n) {</w:t>
      </w:r>
    </w:p>
    <w:p>
      <w:pPr>
        <w:shd w:fill="F5F5F5" w:val="clear"/>
        <w:spacing w:after="40" w:before="40"/>
      </w:pPr>
      <w:r>
        <w:rPr>
          <w:rFonts w:ascii="Consolas" w:cs="Consolas" w:eastAsia="Consolas" w:hAnsi="Consolas"/>
          <w:color w:val="1F1F1F"/>
          <w:sz w:val="20"/>
          <w:szCs w:val="20"/>
        </w:rPr>
        <w:t xml:space="preserve">  if (n == null || isNaN(n)) return "-";</w:t>
      </w:r>
    </w:p>
    <w:p>
      <w:pPr>
        <w:shd w:fill="F5F5F5" w:val="clear"/>
        <w:spacing w:after="40" w:before="40"/>
      </w:pPr>
      <w:r>
        <w:rPr>
          <w:rFonts w:ascii="Consolas" w:cs="Consolas" w:eastAsia="Consolas" w:hAnsi="Consolas"/>
          <w:color w:val="1F1F1F"/>
          <w:sz w:val="20"/>
          <w:szCs w:val="20"/>
        </w:rPr>
        <w:t xml:space="preserve">  if (lang === "zh-CN") {</w:t>
      </w:r>
    </w:p>
    <w:p>
      <w:pPr>
        <w:shd w:fill="F5F5F5" w:val="clear"/>
        <w:spacing w:after="40" w:before="40"/>
      </w:pPr>
      <w:r>
        <w:rPr>
          <w:rFonts w:ascii="Consolas" w:cs="Consolas" w:eastAsia="Consolas" w:hAnsi="Consolas"/>
          <w:color w:val="1F1F1F"/>
          <w:sz w:val="20"/>
          <w:szCs w:val="20"/>
        </w:rPr>
        <w:t xml:space="preserve">    const v = n / 10000;</w:t>
      </w:r>
    </w:p>
    <w:p>
      <w:pPr>
        <w:shd w:fill="F5F5F5" w:val="clear"/>
        <w:spacing w:after="40" w:before="40"/>
      </w:pPr>
      <w:r>
        <w:rPr>
          <w:rFonts w:ascii="Consolas" w:cs="Consolas" w:eastAsia="Consolas" w:hAnsi="Consolas"/>
          <w:color w:val="1F1F1F"/>
          <w:sz w:val="20"/>
          <w:szCs w:val="20"/>
        </w:rPr>
        <w:t xml:space="preserve">    // 保留最多 4 位小数,去末位零</w:t>
      </w:r>
    </w:p>
    <w:p>
      <w:pPr>
        <w:shd w:fill="F5F5F5" w:val="clear"/>
        <w:spacing w:after="40" w:before="40"/>
      </w:pPr>
      <w:r>
        <w:rPr>
          <w:rFonts w:ascii="Consolas" w:cs="Consolas" w:eastAsia="Consolas" w:hAnsi="Consolas"/>
          <w:color w:val="1F1F1F"/>
          <w:sz w:val="20"/>
          <w:szCs w:val="20"/>
        </w:rPr>
        <w:t xml:space="preserve">    const s = parseFloat(v.toFixed(4)).toString();</w:t>
      </w:r>
    </w:p>
    <w:p>
      <w:pPr>
        <w:shd w:fill="F5F5F5" w:val="clear"/>
        <w:spacing w:after="40" w:before="40"/>
      </w:pPr>
      <w:r>
        <w:rPr>
          <w:rFonts w:ascii="Consolas" w:cs="Consolas" w:eastAsia="Consolas" w:hAnsi="Consolas"/>
          <w:color w:val="1F1F1F"/>
          <w:sz w:val="20"/>
          <w:szCs w:val="20"/>
        </w:rPr>
        <w:t xml:space="preserve">    return s + " 万";</w:t>
      </w:r>
    </w:p>
    <w:p>
      <w:pPr>
        <w:shd w:fill="F5F5F5" w:val="clear"/>
        <w:spacing w:after="40" w:before="40"/>
      </w:pPr>
      <w:r>
        <w:rPr>
          <w:rFonts w:ascii="Consolas" w:cs="Consolas" w:eastAsia="Consolas" w:hAnsi="Consolas"/>
          <w:color w:val="1F1F1F"/>
          <w:sz w:val="20"/>
          <w:szCs w:val="20"/>
        </w:rPr>
        <w:t xml:space="preserve">  }</w:t>
      </w:r>
    </w:p>
    <w:p>
      <w:pPr>
        <w:shd w:fill="F5F5F5" w:val="clear"/>
        <w:spacing w:after="40" w:before="40"/>
      </w:pPr>
      <w:r>
        <w:rPr>
          <w:rFonts w:ascii="Consolas" w:cs="Consolas" w:eastAsia="Consolas" w:hAnsi="Consolas"/>
          <w:color w:val="1F1F1F"/>
          <w:sz w:val="20"/>
          <w:szCs w:val="20"/>
        </w:rPr>
        <w:t xml:space="preserve">  return n.toLocaleString();</w:t>
      </w:r>
    </w:p>
    <w:p>
      <w:pPr>
        <w:shd w:fill="F5F5F5" w:val="clear"/>
        <w:spacing w:after="40" w:before="40"/>
      </w:pPr>
      <w:r>
        <w:rPr>
          <w:rFonts w:ascii="Consolas" w:cs="Consolas" w:eastAsia="Consolas" w:hAnsi="Consolas"/>
          <w:color w:val="1F1F1F"/>
          <w:sz w:val="20"/>
          <w:szCs w:val="20"/>
        </w:rPr>
        <w:t xml:space="preserve">}</w:t>
      </w:r>
    </w:p>
    <w:p>
      <w:pPr>
        <w:pStyle w:val="Heading2"/>
        <w:spacing w:after="140" w:before="280"/>
      </w:pPr>
      <w:r>
        <w:rPr>
          <w:rFonts w:ascii="Microsoft YaHei" w:cs="Microsoft YaHei" w:eastAsia="Microsoft YaHei" w:hAnsi="Microsoft YaHei"/>
          <w:b/>
          <w:bCs/>
          <w:color w:val="2E75B6"/>
          <w:sz w:val="30"/>
          <w:szCs w:val="30"/>
        </w:rPr>
        <w:t xml:space="preserve">D.2 computeTotalBalance(id, accounts)</w:t>
      </w:r>
    </w:p>
    <w:p>
      <w:pPr>
        <w:shd w:fill="F5F5F5" w:val="clear"/>
        <w:spacing w:after="40" w:before="40"/>
      </w:pPr>
      <w:r>
        <w:rPr>
          <w:rFonts w:ascii="Consolas" w:cs="Consolas" w:eastAsia="Consolas" w:hAnsi="Consolas"/>
          <w:color w:val="1F1F1F"/>
          <w:sz w:val="20"/>
          <w:szCs w:val="20"/>
        </w:rPr>
        <w:t xml:space="preserve">function computeTotalBalance(id, accounts) {</w:t>
      </w:r>
    </w:p>
    <w:p>
      <w:pPr>
        <w:shd w:fill="F5F5F5" w:val="clear"/>
        <w:spacing w:after="40" w:before="40"/>
      </w:pPr>
      <w:r>
        <w:rPr>
          <w:rFonts w:ascii="Consolas" w:cs="Consolas" w:eastAsia="Consolas" w:hAnsi="Consolas"/>
          <w:color w:val="1F1F1F"/>
          <w:sz w:val="20"/>
          <w:szCs w:val="20"/>
        </w:rPr>
        <w:t xml:space="preserve">  const self = accounts.find(a =&gt; a.id === id);</w:t>
      </w:r>
    </w:p>
    <w:p>
      <w:pPr>
        <w:shd w:fill="F5F5F5" w:val="clear"/>
        <w:spacing w:after="40" w:before="40"/>
      </w:pPr>
      <w:r>
        <w:rPr>
          <w:rFonts w:ascii="Consolas" w:cs="Consolas" w:eastAsia="Consolas" w:hAnsi="Consolas"/>
          <w:color w:val="1F1F1F"/>
          <w:sz w:val="20"/>
          <w:szCs w:val="20"/>
        </w:rPr>
        <w:t xml:space="preserve">  const directSubs = accounts.filter(a =&gt; a.parentId === id);</w:t>
      </w:r>
    </w:p>
    <w:p>
      <w:pPr>
        <w:shd w:fill="F5F5F5" w:val="clear"/>
        <w:spacing w:after="40" w:before="40"/>
      </w:pPr>
      <w:r>
        <w:rPr>
          <w:rFonts w:ascii="Consolas" w:cs="Consolas" w:eastAsia="Consolas" w:hAnsi="Consolas"/>
          <w:color w:val="1F1F1F"/>
          <w:sz w:val="20"/>
          <w:szCs w:val="20"/>
        </w:rPr>
        <w:t xml:space="preserve">  return self.balance + directSubs.reduce(</w:t>
      </w:r>
    </w:p>
    <w:p>
      <w:pPr>
        <w:shd w:fill="F5F5F5" w:val="clear"/>
        <w:spacing w:after="40" w:before="40"/>
      </w:pPr>
      <w:r>
        <w:rPr>
          <w:rFonts w:ascii="Consolas" w:cs="Consolas" w:eastAsia="Consolas" w:hAnsi="Consolas"/>
          <w:color w:val="1F1F1F"/>
          <w:sz w:val="20"/>
          <w:szCs w:val="20"/>
        </w:rPr>
        <w:t xml:space="preserve">    (sum, sub) =&gt; sum + computeTotalBalance(sub.id, accounts), 0);</w:t>
      </w:r>
    </w:p>
    <w:p>
      <w:pPr>
        <w:shd w:fill="F5F5F5" w:val="clear"/>
        <w:spacing w:after="40" w:before="40"/>
      </w:pPr>
      <w:r>
        <w:rPr>
          <w:rFonts w:ascii="Consolas" w:cs="Consolas" w:eastAsia="Consolas" w:hAnsi="Consolas"/>
          <w:color w:val="1F1F1F"/>
          <w:sz w:val="20"/>
          <w:szCs w:val="20"/>
        </w:rPr>
        <w:t xml:space="preserve">}</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注:mock 数据里的 totalBalance 字段已预先按此算法计算好;真实后端需要服务端聚合返回,前端不重算</w:t>
      </w:r>
    </w:p>
    <w:p>
      <w:pPr>
        <w:pStyle w:val="Heading2"/>
        <w:spacing w:after="140" w:before="280"/>
      </w:pPr>
      <w:r>
        <w:rPr>
          <w:rFonts w:ascii="Microsoft YaHei" w:cs="Microsoft YaHei" w:eastAsia="Microsoft YaHei" w:hAnsi="Microsoft YaHei"/>
          <w:b/>
          <w:bCs/>
          <w:color w:val="2E75B6"/>
          <w:sz w:val="30"/>
          <w:szCs w:val="30"/>
        </w:rPr>
        <w:t xml:space="preserve">D.3 generateSystemId(parentId, accounts)</w:t>
      </w:r>
    </w:p>
    <w:p>
      <w:pPr>
        <w:shd w:fill="F5F5F5" w:val="clear"/>
        <w:spacing w:after="40" w:before="40"/>
      </w:pPr>
      <w:r>
        <w:rPr>
          <w:rFonts w:ascii="Consolas" w:cs="Consolas" w:eastAsia="Consolas" w:hAnsi="Consolas"/>
          <w:color w:val="1F1F1F"/>
          <w:sz w:val="20"/>
          <w:szCs w:val="20"/>
        </w:rPr>
        <w:t xml:space="preserve">function generateSystemId(parentId, accounts) {</w:t>
      </w:r>
    </w:p>
    <w:p>
      <w:pPr>
        <w:shd w:fill="F5F5F5" w:val="clear"/>
        <w:spacing w:after="40" w:before="40"/>
      </w:pPr>
      <w:r>
        <w:rPr>
          <w:rFonts w:ascii="Consolas" w:cs="Consolas" w:eastAsia="Consolas" w:hAnsi="Consolas"/>
          <w:color w:val="1F1F1F"/>
          <w:sz w:val="20"/>
          <w:szCs w:val="20"/>
        </w:rPr>
        <w:t xml:space="preserve">  const siblings = accounts.filter(a =&gt; a.parentId === parentId);</w:t>
      </w:r>
    </w:p>
    <w:p>
      <w:pPr>
        <w:shd w:fill="F5F5F5" w:val="clear"/>
        <w:spacing w:after="40" w:before="40"/>
      </w:pPr>
      <w:r>
        <w:rPr>
          <w:rFonts w:ascii="Consolas" w:cs="Consolas" w:eastAsia="Consolas" w:hAnsi="Consolas"/>
          <w:color w:val="1F1F1F"/>
          <w:sz w:val="20"/>
          <w:szCs w:val="20"/>
        </w:rPr>
        <w:t xml:space="preserve">  const usedSeqs = new Set(siblings.map(a =&gt; {</w:t>
      </w:r>
    </w:p>
    <w:p>
      <w:pPr>
        <w:shd w:fill="F5F5F5" w:val="clear"/>
        <w:spacing w:after="40" w:before="40"/>
      </w:pPr>
      <w:r>
        <w:rPr>
          <w:rFonts w:ascii="Consolas" w:cs="Consolas" w:eastAsia="Consolas" w:hAnsi="Consolas"/>
          <w:color w:val="1F1F1F"/>
          <w:sz w:val="20"/>
          <w:szCs w:val="20"/>
        </w:rPr>
        <w:t xml:space="preserve">    const m = a.id.match(/-(\d+)$/);</w:t>
      </w:r>
    </w:p>
    <w:p>
      <w:pPr>
        <w:shd w:fill="F5F5F5" w:val="clear"/>
        <w:spacing w:after="40" w:before="40"/>
      </w:pPr>
      <w:r>
        <w:rPr>
          <w:rFonts w:ascii="Consolas" w:cs="Consolas" w:eastAsia="Consolas" w:hAnsi="Consolas"/>
          <w:color w:val="1F1F1F"/>
          <w:sz w:val="20"/>
          <w:szCs w:val="20"/>
        </w:rPr>
        <w:t xml:space="preserve">    return m ? parseInt(m[1], 10) : 0;</w:t>
      </w:r>
    </w:p>
    <w:p>
      <w:pPr>
        <w:shd w:fill="F5F5F5" w:val="clear"/>
        <w:spacing w:after="40" w:before="40"/>
      </w:pPr>
      <w:r>
        <w:rPr>
          <w:rFonts w:ascii="Consolas" w:cs="Consolas" w:eastAsia="Consolas" w:hAnsi="Consolas"/>
          <w:color w:val="1F1F1F"/>
          <w:sz w:val="20"/>
          <w:szCs w:val="20"/>
        </w:rPr>
        <w:t xml:space="preserve">  }));</w:t>
      </w:r>
    </w:p>
    <w:p>
      <w:pPr>
        <w:shd w:fill="F5F5F5" w:val="clear"/>
        <w:spacing w:after="40" w:before="40"/>
      </w:pPr>
      <w:r>
        <w:rPr>
          <w:rFonts w:ascii="Consolas" w:cs="Consolas" w:eastAsia="Consolas" w:hAnsi="Consolas"/>
          <w:color w:val="1F1F1F"/>
          <w:sz w:val="20"/>
          <w:szCs w:val="20"/>
        </w:rPr>
        <w:t xml:space="preserve">  let n = 1;</w:t>
      </w:r>
    </w:p>
    <w:p>
      <w:pPr>
        <w:shd w:fill="F5F5F5" w:val="clear"/>
        <w:spacing w:after="40" w:before="40"/>
      </w:pPr>
      <w:r>
        <w:rPr>
          <w:rFonts w:ascii="Consolas" w:cs="Consolas" w:eastAsia="Consolas" w:hAnsi="Consolas"/>
          <w:color w:val="1F1F1F"/>
          <w:sz w:val="20"/>
          <w:szCs w:val="20"/>
        </w:rPr>
        <w:t xml:space="preserve">  while (usedSeqs.has(n)) n++;  // 永不回收旧序号</w:t>
      </w:r>
    </w:p>
    <w:p>
      <w:pPr>
        <w:shd w:fill="F5F5F5" w:val="clear"/>
        <w:spacing w:after="40" w:before="40"/>
      </w:pPr>
      <w:r>
        <w:rPr>
          <w:rFonts w:ascii="Consolas" w:cs="Consolas" w:eastAsia="Consolas" w:hAnsi="Consolas"/>
          <w:color w:val="1F1F1F"/>
          <w:sz w:val="20"/>
          <w:szCs w:val="20"/>
        </w:rPr>
        <w:t xml:space="preserve">  return parentId + "-" + n;</w:t>
      </w:r>
    </w:p>
    <w:p>
      <w:pPr>
        <w:shd w:fill="F5F5F5" w:val="clear"/>
        <w:spacing w:after="40" w:before="40"/>
      </w:pPr>
      <w:r>
        <w:rPr>
          <w:rFonts w:ascii="Consolas" w:cs="Consolas" w:eastAsia="Consolas" w:hAnsi="Consolas"/>
          <w:color w:val="1F1F1F"/>
          <w:sz w:val="20"/>
          <w:szCs w:val="20"/>
        </w:rPr>
        <w:t xml:space="preserve">}</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关键约束:即使某子账号被软删除,其 id 永不回收、永不复用,下一个序号取历史最大值 + 1</w:t>
      </w:r>
    </w:p>
    <w:p>
      <w:pPr>
        <w:pStyle w:val="Heading2"/>
        <w:spacing w:after="140" w:before="280"/>
      </w:pPr>
      <w:r>
        <w:rPr>
          <w:rFonts w:ascii="Microsoft YaHei" w:cs="Microsoft YaHei" w:eastAsia="Microsoft YaHei" w:hAnsi="Microsoft YaHei"/>
          <w:b/>
          <w:bCs/>
          <w:color w:val="2E75B6"/>
          <w:sz w:val="30"/>
          <w:szCs w:val="30"/>
        </w:rPr>
        <w:t xml:space="preserve">D.4 canChangeScheme(accountId, accounts)</w:t>
      </w:r>
    </w:p>
    <w:p>
      <w:pPr>
        <w:shd w:fill="F5F5F5" w:val="clear"/>
        <w:spacing w:after="40" w:before="40"/>
      </w:pPr>
      <w:r>
        <w:rPr>
          <w:rFonts w:ascii="Consolas" w:cs="Consolas" w:eastAsia="Consolas" w:hAnsi="Consolas"/>
          <w:color w:val="1F1F1F"/>
          <w:sz w:val="20"/>
          <w:szCs w:val="20"/>
        </w:rPr>
        <w:t xml:space="preserve">function canChangeScheme(accountId, accounts) {</w:t>
      </w:r>
    </w:p>
    <w:p>
      <w:pPr>
        <w:shd w:fill="F5F5F5" w:val="clear"/>
        <w:spacing w:after="40" w:before="40"/>
      </w:pPr>
      <w:r>
        <w:rPr>
          <w:rFonts w:ascii="Consolas" w:cs="Consolas" w:eastAsia="Consolas" w:hAnsi="Consolas"/>
          <w:color w:val="1F1F1F"/>
          <w:sz w:val="20"/>
          <w:szCs w:val="20"/>
        </w:rPr>
        <w:t xml:space="preserve">  // 子树(含自身)余额全部为 0,才允许换交收方案</w:t>
      </w:r>
    </w:p>
    <w:p>
      <w:pPr>
        <w:shd w:fill="F5F5F5" w:val="clear"/>
        <w:spacing w:after="40" w:before="40"/>
      </w:pPr>
      <w:r>
        <w:rPr>
          <w:rFonts w:ascii="Consolas" w:cs="Consolas" w:eastAsia="Consolas" w:hAnsi="Consolas"/>
          <w:color w:val="1F1F1F"/>
          <w:sz w:val="20"/>
          <w:szCs w:val="20"/>
        </w:rPr>
        <w:t xml:space="preserve">  const subtree = collectSubtree(accountId, accounts);</w:t>
      </w:r>
    </w:p>
    <w:p>
      <w:pPr>
        <w:shd w:fill="F5F5F5" w:val="clear"/>
        <w:spacing w:after="40" w:before="40"/>
      </w:pPr>
      <w:r>
        <w:rPr>
          <w:rFonts w:ascii="Consolas" w:cs="Consolas" w:eastAsia="Consolas" w:hAnsi="Consolas"/>
          <w:color w:val="1F1F1F"/>
          <w:sz w:val="20"/>
          <w:szCs w:val="20"/>
        </w:rPr>
        <w:t xml:space="preserve">  return subtree.every(a =&gt; a.balance === 0);</w:t>
      </w:r>
    </w:p>
    <w:p>
      <w:pPr>
        <w:shd w:fill="F5F5F5" w:val="clear"/>
        <w:spacing w:after="40" w:before="40"/>
      </w:pPr>
      <w:r>
        <w:rPr>
          <w:rFonts w:ascii="Consolas" w:cs="Consolas" w:eastAsia="Consolas" w:hAnsi="Consolas"/>
          <w:color w:val="1F1F1F"/>
          <w:sz w:val="20"/>
          <w:szCs w:val="20"/>
        </w:rPr>
        <w:t xml:space="preserve">}</w:t>
      </w:r>
    </w:p>
    <w:p>
      <w:pPr>
        <w:pStyle w:val="Heading2"/>
        <w:spacing w:after="140" w:before="280"/>
      </w:pPr>
      <w:r>
        <w:rPr>
          <w:rFonts w:ascii="Microsoft YaHei" w:cs="Microsoft YaHei" w:eastAsia="Microsoft YaHei" w:hAnsi="Microsoft YaHei"/>
          <w:b/>
          <w:bCs/>
          <w:color w:val="2E75B6"/>
          <w:sz w:val="30"/>
          <w:szCs w:val="30"/>
        </w:rPr>
        <w:t xml:space="preserve">D.5 validateDisplayRate(newRate, parentRate, maxSubRate)</w:t>
      </w:r>
    </w:p>
    <w:p>
      <w:pPr>
        <w:shd w:fill="F5F5F5" w:val="clear"/>
        <w:spacing w:after="40" w:before="40"/>
      </w:pPr>
      <w:r>
        <w:rPr>
          <w:rFonts w:ascii="Consolas" w:cs="Consolas" w:eastAsia="Consolas" w:hAnsi="Consolas"/>
          <w:color w:val="1F1F1F"/>
          <w:sz w:val="20"/>
          <w:szCs w:val="20"/>
        </w:rPr>
        <w:t xml:space="preserve">// 双向级联:不能超过上级;不能低于已存在的最大子级</w:t>
      </w:r>
    </w:p>
    <w:p>
      <w:pPr>
        <w:shd w:fill="F5F5F5" w:val="clear"/>
        <w:spacing w:after="40" w:before="40"/>
      </w:pPr>
      <w:r>
        <w:rPr>
          <w:rFonts w:ascii="Consolas" w:cs="Consolas" w:eastAsia="Consolas" w:hAnsi="Consolas"/>
          <w:color w:val="1F1F1F"/>
          <w:sz w:val="20"/>
          <w:szCs w:val="20"/>
        </w:rPr>
        <w:t xml:space="preserve">if (newRate &gt; parentRate) return "不可超过上级上限 " + parentRate + "%";</w:t>
      </w:r>
    </w:p>
    <w:p>
      <w:pPr>
        <w:shd w:fill="F5F5F5" w:val="clear"/>
        <w:spacing w:after="40" w:before="40"/>
      </w:pPr>
      <w:r>
        <w:rPr>
          <w:rFonts w:ascii="Consolas" w:cs="Consolas" w:eastAsia="Consolas" w:hAnsi="Consolas"/>
          <w:color w:val="1F1F1F"/>
          <w:sz w:val="20"/>
          <w:szCs w:val="20"/>
        </w:rPr>
        <w:t xml:space="preserve">if (newRate &lt; maxSubRate) return "不可低于下线已设置的最大值 " + maxSubRate + "%";</w:t>
      </w:r>
    </w:p>
    <w:p>
      <w:pPr>
        <w:pStyle w:val="Heading2"/>
        <w:spacing w:after="140" w:before="280"/>
      </w:pPr>
      <w:r>
        <w:rPr>
          <w:rFonts w:ascii="Microsoft YaHei" w:cs="Microsoft YaHei" w:eastAsia="Microsoft YaHei" w:hAnsi="Microsoft YaHei"/>
          <w:b/>
          <w:bCs/>
          <w:color w:val="2E75B6"/>
          <w:sz w:val="30"/>
          <w:szCs w:val="30"/>
        </w:rPr>
        <w:t xml:space="preserve">D.6 aggregateBySchemeId(accounts, schemes)</w:t>
      </w:r>
    </w:p>
    <w:p>
      <w:pPr>
        <w:shd w:fill="F5F5F5" w:val="clear"/>
        <w:spacing w:after="40" w:before="40"/>
      </w:pPr>
      <w:r>
        <w:rPr>
          <w:rFonts w:ascii="Consolas" w:cs="Consolas" w:eastAsia="Consolas" w:hAnsi="Consolas"/>
          <w:color w:val="1F1F1F"/>
          <w:sz w:val="20"/>
          <w:szCs w:val="20"/>
        </w:rPr>
        <w:t xml:space="preserve">// 币种汇总表的每一行:</w:t>
      </w:r>
    </w:p>
    <w:p>
      <w:pPr>
        <w:shd w:fill="F5F5F5" w:val="clear"/>
        <w:spacing w:after="40" w:before="40"/>
      </w:pPr>
      <w:r>
        <w:rPr>
          <w:rFonts w:ascii="Consolas" w:cs="Consolas" w:eastAsia="Consolas" w:hAnsi="Consolas"/>
          <w:color w:val="1F1F1F"/>
          <w:sz w:val="20"/>
          <w:szCs w:val="20"/>
        </w:rPr>
        <w:t xml:space="preserve">schemes.map(s =&gt; {</w:t>
      </w:r>
    </w:p>
    <w:p>
      <w:pPr>
        <w:shd w:fill="F5F5F5" w:val="clear"/>
        <w:spacing w:after="40" w:before="40"/>
      </w:pPr>
      <w:r>
        <w:rPr>
          <w:rFonts w:ascii="Consolas" w:cs="Consolas" w:eastAsia="Consolas" w:hAnsi="Consolas"/>
          <w:color w:val="1F1F1F"/>
          <w:sz w:val="20"/>
          <w:szCs w:val="20"/>
        </w:rPr>
        <w:t xml:space="preserve">  const list = accounts.filter(a =&gt; a.schemeId === s.id);</w:t>
      </w:r>
    </w:p>
    <w:p>
      <w:pPr>
        <w:shd w:fill="F5F5F5" w:val="clear"/>
        <w:spacing w:after="40" w:before="40"/>
      </w:pPr>
      <w:r>
        <w:rPr>
          <w:rFonts w:ascii="Consolas" w:cs="Consolas" w:eastAsia="Consolas" w:hAnsi="Consolas"/>
          <w:color w:val="1F1F1F"/>
          <w:sz w:val="20"/>
          <w:szCs w:val="20"/>
        </w:rPr>
        <w:t xml:space="preserve">  const directSubs = list.filter(a =&gt; a.parentId === "qweqwe");</w:t>
      </w:r>
    </w:p>
    <w:p>
      <w:pPr>
        <w:shd w:fill="F5F5F5" w:val="clear"/>
        <w:spacing w:after="40" w:before="40"/>
      </w:pPr>
      <w:r>
        <w:rPr>
          <w:rFonts w:ascii="Consolas" w:cs="Consolas" w:eastAsia="Consolas" w:hAnsi="Consolas"/>
          <w:color w:val="1F1F1F"/>
          <w:sz w:val="20"/>
          <w:szCs w:val="20"/>
        </w:rPr>
        <w:t xml:space="preserve">  const totalBalance = s.balance</w:t>
      </w:r>
    </w:p>
    <w:p>
      <w:pPr>
        <w:shd w:fill="F5F5F5" w:val="clear"/>
        <w:spacing w:after="40" w:before="40"/>
      </w:pPr>
      <w:r>
        <w:rPr>
          <w:rFonts w:ascii="Consolas" w:cs="Consolas" w:eastAsia="Consolas" w:hAnsi="Consolas"/>
          <w:color w:val="1F1F1F"/>
          <w:sz w:val="20"/>
          <w:szCs w:val="20"/>
        </w:rPr>
        <w:t xml:space="preserve">    + directSubs.reduce((n, a) =&gt; n + (a.totalBalance || 0), 0);</w:t>
      </w:r>
    </w:p>
    <w:p>
      <w:pPr>
        <w:shd w:fill="F5F5F5" w:val="clear"/>
        <w:spacing w:after="40" w:before="40"/>
      </w:pPr>
      <w:r>
        <w:rPr>
          <w:rFonts w:ascii="Consolas" w:cs="Consolas" w:eastAsia="Consolas" w:hAnsi="Consolas"/>
          <w:color w:val="1F1F1F"/>
          <w:sz w:val="20"/>
          <w:szCs w:val="20"/>
        </w:rPr>
        <w:t xml:space="preserve">  return { currency: s.currency, rate: s.rate, balance: s.balance, totalBalance };</w:t>
      </w:r>
    </w:p>
    <w:p>
      <w:pPr>
        <w:shd w:fill="F5F5F5" w:val="clear"/>
        <w:spacing w:after="40" w:before="40"/>
      </w:pPr>
      <w:r>
        <w:rPr>
          <w:rFonts w:ascii="Consolas" w:cs="Consolas" w:eastAsia="Consolas" w:hAnsi="Consolas"/>
          <w:color w:val="1F1F1F"/>
          <w:sz w:val="20"/>
          <w:szCs w:val="20"/>
        </w:rPr>
        <w:t xml:space="preserve">});</w:t>
      </w:r>
    </w:p>
    <w:p>
      <w:r>
        <w:br w:type="page"/>
      </w:r>
    </w:p>
    <w:p>
      <w:pPr>
        <w:pStyle w:val="Heading1"/>
        <w:spacing w:after="180" w:before="360"/>
      </w:pPr>
      <w:r>
        <w:rPr>
          <w:rFonts w:ascii="Microsoft YaHei" w:cs="Microsoft YaHei" w:eastAsia="Microsoft YaHei" w:hAnsi="Microsoft YaHei"/>
          <w:b/>
          <w:bCs/>
          <w:color w:val="1F3864"/>
          <w:sz w:val="36"/>
          <w:szCs w:val="36"/>
        </w:rPr>
        <w:t xml:space="preserve">附录 E. Mock 数据契约</w:t>
      </w:r>
    </w:p>
    <w:p>
      <w:pPr>
        <w:spacing w:after="40" w:before="40"/>
      </w:pPr>
      <w:r>
        <w:rPr>
          <w:rFonts w:ascii="Microsoft YaHei" w:cs="Microsoft YaHei" w:eastAsia="Microsoft YaHei" w:hAnsi="Microsoft YaHei"/>
          <w:b w:val="false"/>
          <w:bCs w:val="false"/>
          <w:i w:val="false"/>
          <w:iCs w:val="false"/>
          <w:color w:val="262626"/>
          <w:sz w:val="22"/>
          <w:szCs w:val="22"/>
        </w:rPr>
        <w:t xml:space="preserve">以下 Mock 数据是本期原型的完整输入,复现时可照搬,以保证汇总数、展开层级、搜索测试用例一致。</w:t>
      </w:r>
    </w:p>
    <w:p>
      <w:pPr>
        <w:pStyle w:val="Heading2"/>
        <w:spacing w:after="140" w:before="280"/>
      </w:pPr>
      <w:r>
        <w:rPr>
          <w:rFonts w:ascii="Microsoft YaHei" w:cs="Microsoft YaHei" w:eastAsia="Microsoft YaHei" w:hAnsi="Microsoft YaHei"/>
          <w:b/>
          <w:bCs/>
          <w:color w:val="2E75B6"/>
          <w:sz w:val="30"/>
          <w:szCs w:val="30"/>
        </w:rPr>
        <w:t xml:space="preserve">E.1 TOP_AGENT</w:t>
      </w:r>
    </w:p>
    <w:p>
      <w:pPr>
        <w:shd w:fill="F5F5F5" w:val="clear"/>
        <w:spacing w:after="40" w:before="40"/>
      </w:pPr>
      <w:r>
        <w:rPr>
          <w:rFonts w:ascii="Consolas" w:cs="Consolas" w:eastAsia="Consolas" w:hAnsi="Consolas"/>
          <w:color w:val="1F1F1F"/>
          <w:sz w:val="20"/>
          <w:szCs w:val="20"/>
        </w:rPr>
        <w:t xml:space="preserve">const TOP_AGENT = { id: "qweqwe", nick: "qweqwe", type: "agent", topAgent: true };</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id === nick:顶代 “系统户口号 = 用户账号”,示例字面量为 qweqwe</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topAgent: true 仅顶代为 true,其他账号无此字段或为 false</w:t>
      </w:r>
    </w:p>
    <w:p>
      <w:pPr>
        <w:pStyle w:val="Heading2"/>
        <w:spacing w:after="140" w:before="280"/>
      </w:pPr>
      <w:r>
        <w:rPr>
          <w:rFonts w:ascii="Microsoft YaHei" w:cs="Microsoft YaHei" w:eastAsia="Microsoft YaHei" w:hAnsi="Microsoft YaHei"/>
          <w:b/>
          <w:bCs/>
          <w:color w:val="2E75B6"/>
          <w:sz w:val="30"/>
          <w:szCs w:val="30"/>
        </w:rPr>
        <w:t xml:space="preserve">E.2 TOP_SCHEMES(顶代持有的交收方案)</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3000"/>
        <w:gridCol w:w="35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id</w:t>
            </w:r>
          </w:p>
        </w:tc>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currency</w:t>
            </w:r>
          </w:p>
        </w:tc>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rate(%)</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balance(本位币原值)</w:t>
            </w:r>
          </w:p>
        </w:tc>
        <w:tc>
          <w:tcPr>
            <w:tcW w:type="dxa" w:w="3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额度(万,zh-CN 展示)</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PHP</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6000000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600 万</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S_USD</w:t>
            </w:r>
          </w:p>
        </w:tc>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USD</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0.8</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120000</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 万</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S_CNY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CNY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800000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 万</w:t>
            </w:r>
          </w:p>
        </w:tc>
      </w:tr>
    </w:tbl>
    <w:p>
      <w:pPr>
        <w:pStyle w:val="Heading2"/>
        <w:spacing w:after="140" w:before="280"/>
      </w:pPr>
      <w:r>
        <w:rPr>
          <w:rFonts w:ascii="Microsoft YaHei" w:cs="Microsoft YaHei" w:eastAsia="Microsoft YaHei" w:hAnsi="Microsoft YaHei"/>
          <w:b/>
          <w:bCs/>
          <w:color w:val="2E75B6"/>
          <w:sz w:val="30"/>
          <w:szCs w:val="30"/>
        </w:rPr>
        <w:t xml:space="preserve">E.3 INIT_ACCOUNTS(初始下线树平铺)</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700"/>
        <w:gridCol w:w="900"/>
        <w:gridCol w:w="700"/>
        <w:gridCol w:w="900"/>
        <w:gridCol w:w="600"/>
        <w:gridCol w:w="900"/>
        <w:gridCol w:w="1060"/>
        <w:gridCol w:w="600"/>
      </w:tblGrid>
      <w:tr>
        <w:trPr>
          <w:tblHeader/>
        </w:trPr>
        <w:tc>
          <w:tcPr>
            <w:tcW w:type="dxa" w:w="13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id</w:t>
            </w:r>
          </w:p>
        </w:tc>
        <w:tc>
          <w:tcPr>
            <w:tcW w:type="dxa" w:w="1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parentId</w:t>
            </w:r>
          </w:p>
        </w:tc>
        <w:tc>
          <w:tcPr>
            <w:tcW w:type="dxa" w:w="7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nick</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user</w:t>
            </w:r>
          </w:p>
        </w:tc>
        <w:tc>
          <w:tcPr>
            <w:tcW w:type="dxa" w:w="7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type</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schemeId</w:t>
            </w:r>
          </w:p>
        </w:tc>
        <w:tc>
          <w:tcPr>
            <w:tcW w:type="dxa" w:w="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rate</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balance</w:t>
            </w:r>
          </w:p>
        </w:tc>
        <w:tc>
          <w:tcPr>
            <w:tcW w:type="dxa" w:w="10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totalBalance</w:t>
            </w:r>
          </w:p>
        </w:tc>
        <w:tc>
          <w:tcPr>
            <w:tcW w:type="dxa" w:w="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status</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Carry</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carry01</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agent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500000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708000</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qweqwe-1-1</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Alice</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alice88</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agent</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0.3</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200000</w:t>
            </w:r>
          </w:p>
        </w:tc>
        <w:tc>
          <w:tcPr>
            <w:tcW w:type="dxa" w:w="1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205000</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qweqwe-1-1-1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qweqwe-1-1</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Bob</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bob_hi</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5000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5000</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qweqwe-1-2</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Dave</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dave_y</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0.2</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3000</w:t>
            </w:r>
          </w:p>
        </w:tc>
        <w:tc>
          <w:tcPr>
            <w:tcW w:type="dxa" w:w="1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3000</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Zoe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zoe_ph</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off</w:t>
            </w:r>
          </w:p>
        </w:tc>
      </w:tr>
      <w:tr>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qweqwe-2</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Eva</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eva_ph</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0.3</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8000</w:t>
            </w:r>
          </w:p>
        </w:tc>
        <w:tc>
          <w:tcPr>
            <w:tcW w:type="dxa" w:w="1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8000</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Frank</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frank_us</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agent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S_USD</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50000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58000</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qweqwe-3-1</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qweqwe-3</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Gina</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gina_us</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S_USD</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0.2</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8000</w:t>
            </w:r>
          </w:p>
        </w:tc>
        <w:tc>
          <w:tcPr>
            <w:tcW w:type="dxa" w:w="1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8000</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Hana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hana_cn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S_CNY</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12000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12000</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复现时请逐字保留 id / parentId / schemeId 三字段,以保证展开层级与币种汇总的数值预期一致。</w:t>
      </w:r>
    </w:p>
    <w:p>
      <w:pPr>
        <w:pStyle w:val="Heading2"/>
        <w:spacing w:after="140" w:before="280"/>
      </w:pPr>
      <w:r>
        <w:rPr>
          <w:rFonts w:ascii="Microsoft YaHei" w:cs="Microsoft YaHei" w:eastAsia="Microsoft YaHei" w:hAnsi="Microsoft YaHei"/>
          <w:b/>
          <w:bCs/>
          <w:color w:val="2E75B6"/>
          <w:sz w:val="30"/>
          <w:szCs w:val="30"/>
        </w:rPr>
        <w:t xml:space="preserve">E.4 关键派生值预期(用于自测)</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3360"/>
      </w:tblGrid>
      <w:tr>
        <w:trPr>
          <w:tblHeader/>
        </w:trPr>
        <w:tc>
          <w:tcPr>
            <w:tcW w:type="dxa" w:w="2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派生量</w:t>
            </w:r>
          </w:p>
        </w:tc>
        <w:tc>
          <w:tcPr>
            <w:tcW w:type="dxa" w:w="5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计算式</w:t>
            </w:r>
          </w:p>
        </w:tc>
        <w:tc>
          <w:tcPr>
            <w:tcW w:type="dxa" w:w="3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预期值(zh-CN)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 PHP 总线余额</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6,000,000 + (Carry.totalBalance 708,000 + Eva.totalBalance 8,000)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671.6 万</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 USD 总线余额</w:t>
            </w:r>
          </w:p>
        </w:tc>
        <w:tc>
          <w:tcPr>
            <w:tcW w:type="dxa" w:w="5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120,000 + Frank.totalBalance 58,000</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17.8 万</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 CNY 总线余额</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800,000 + Hana.totalBalance 12,000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81.2 万</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Carry 的总线余额</w:t>
            </w:r>
          </w:p>
        </w:tc>
        <w:tc>
          <w:tcPr>
            <w:tcW w:type="dxa" w:w="5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自身 500,000 + Alice 205,000 + Dave 3,000 + Zoe 0</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70.8 万</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Alice 的总线余额</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自身 200,000 + Bob 5,000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20.5 万</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附录 F. I18N 键清单(三语全量)</w:t>
      </w:r>
    </w:p>
    <w:p>
      <w:pPr>
        <w:spacing w:after="40" w:before="40"/>
      </w:pPr>
      <w:r>
        <w:rPr>
          <w:rFonts w:ascii="Microsoft YaHei" w:cs="Microsoft YaHei" w:eastAsia="Microsoft YaHei" w:hAnsi="Microsoft YaHei"/>
          <w:b w:val="false"/>
          <w:bCs w:val="false"/>
          <w:i w:val="false"/>
          <w:iCs w:val="false"/>
          <w:color w:val="262626"/>
          <w:sz w:val="22"/>
          <w:szCs w:val="22"/>
        </w:rPr>
        <w:t xml:space="preserve">以下为必须翻译的全部键,复现时缺任何一键必须在构建前补齐(阻断 CI)。键名固定为英文 snake_case。</w:t>
      </w:r>
    </w:p>
    <w:p>
      <w:pPr>
        <w:pStyle w:val="Heading2"/>
        <w:spacing w:after="140" w:before="280"/>
      </w:pPr>
      <w:r>
        <w:rPr>
          <w:rFonts w:ascii="Microsoft YaHei" w:cs="Microsoft YaHei" w:eastAsia="Microsoft YaHei" w:hAnsi="Microsoft YaHei"/>
          <w:b/>
          <w:bCs/>
          <w:color w:val="2E75B6"/>
          <w:sz w:val="30"/>
          <w:szCs w:val="30"/>
        </w:rPr>
        <w:t xml:space="preserve">F.1 顶部 Bar / 通用</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960"/>
        <w:gridCol w:w="300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key</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zh-CN</w:t>
            </w:r>
          </w:p>
        </w:tc>
        <w:tc>
          <w:tcPr>
            <w:tcW w:type="dxa" w:w="2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en</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page_title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Account Management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계정 관리</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top_logged</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当前登录:qweqwe(qweqwe) · 顶级代理</w:t>
            </w:r>
          </w:p>
        </w:tc>
        <w:tc>
          <w:tcPr>
            <w:tcW w:type="dxa" w:w="2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Logged in: qweqwe (qweqwe) · Top Agent</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로그인 중: qweqwe(qweqwe) · 최상위 대리</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top_pwd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修改密码</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Change Password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비밀번호 변경</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top_logout</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退出系统</w:t>
            </w:r>
          </w:p>
        </w:tc>
        <w:tc>
          <w:tcPr>
            <w:tcW w:type="dxa" w:w="2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Log Out</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로그아웃</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hotline_vip</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VIP专线</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VIP Hotline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VIP 전용</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hotline_agent</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代理专线</w:t>
            </w:r>
          </w:p>
        </w:tc>
        <w:tc>
          <w:tcPr>
            <w:tcW w:type="dxa" w:w="2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Agent Hotline</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대리 전용</w:t>
            </w:r>
          </w:p>
        </w:tc>
      </w:tr>
    </w:tbl>
    <w:p>
      <w:pPr>
        <w:pStyle w:val="Heading2"/>
        <w:spacing w:after="140" w:before="280"/>
      </w:pPr>
      <w:r>
        <w:rPr>
          <w:rFonts w:ascii="Microsoft YaHei" w:cs="Microsoft YaHei" w:eastAsia="Microsoft YaHei" w:hAnsi="Microsoft YaHei"/>
          <w:b/>
          <w:bCs/>
          <w:color w:val="2E75B6"/>
          <w:sz w:val="30"/>
          <w:szCs w:val="30"/>
        </w:rPr>
        <w:t xml:space="preserve">F.2 侧边栏导航</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960"/>
        <w:gridCol w:w="300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key</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zh-CN</w:t>
            </w:r>
          </w:p>
        </w:tc>
        <w:tc>
          <w:tcPr>
            <w:tcW w:type="dxa" w:w="2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en</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header_menu</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菜单</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Menu</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메뉴</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nav_account</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2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Account Mgmt</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계정 관리</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nav_report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数据报表</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Reports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보고서</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nav_finance</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财务中心</w:t>
            </w:r>
          </w:p>
        </w:tc>
        <w:tc>
          <w:tcPr>
            <w:tcW w:type="dxa" w:w="2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Finance</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재무</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nav_notice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公告中心</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Notices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공지</w:t>
            </w:r>
          </w:p>
        </w:tc>
      </w:tr>
    </w:tbl>
    <w:p>
      <w:pPr>
        <w:pStyle w:val="Heading2"/>
        <w:spacing w:after="140" w:before="280"/>
      </w:pPr>
      <w:r>
        <w:rPr>
          <w:rFonts w:ascii="Microsoft YaHei" w:cs="Microsoft YaHei" w:eastAsia="Microsoft YaHei" w:hAnsi="Microsoft YaHei"/>
          <w:b/>
          <w:bCs/>
          <w:color w:val="2E75B6"/>
          <w:sz w:val="30"/>
          <w:szCs w:val="30"/>
        </w:rPr>
        <w:t xml:space="preserve">F.3 表格 / 列头 / 按钮</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5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key</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zh-CN</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en</w:t>
            </w:r>
          </w:p>
        </w:tc>
        <w:tc>
          <w:tcPr>
            <w:tcW w:type="dxa" w:w="2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col_sys_id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System ID</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시스템 ID</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col_username</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Username</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사용자 계정</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col_currency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Currency</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통화</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col_rate</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佣金率</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Rate</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커미션 %</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col_balance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可用余额</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Available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가용 잔액</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col_total_balance</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总线余额</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Total Balance</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총 잔액</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col_child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下线数</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Subs</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하위 수</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col_status</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状态</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Status</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상태</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col_type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类型</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Type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유형</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col_action</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Actions</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작업</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btn_edit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修改资料</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Edit</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정보 수정</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btn_add</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新增下线</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Add Sub</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하위 추가</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btn_credit_up</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Top Up</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포인트 지급</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btn_credit_down</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下分</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Top Down</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포인트 회수</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btn_more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更多</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More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더보기</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btn_add_main</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 新增下线</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 Add Sub</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 하위 추가</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act_enable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启用账号</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Enable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계정 활성</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act_disable</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禁用账号</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Disable</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계정 비활성</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act_scheme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修改交收方案</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Change Scheme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정산 방안 변경</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st_on</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활성</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st_off</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禁用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Off</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비활성</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type_agent</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Agent</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대리</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type_player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玩家</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플레이어</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empty</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暂无数据</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No data</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데이터 없음</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附录 G. 技术栈与交付规格</w:t>
      </w:r>
    </w:p>
    <w:p>
      <w:pPr>
        <w:pStyle w:val="Heading2"/>
        <w:spacing w:after="140" w:before="280"/>
      </w:pPr>
      <w:r>
        <w:rPr>
          <w:rFonts w:ascii="Microsoft YaHei" w:cs="Microsoft YaHei" w:eastAsia="Microsoft YaHei" w:hAnsi="Microsoft YaHei"/>
          <w:b/>
          <w:bCs/>
          <w:color w:val="2E75B6"/>
          <w:sz w:val="30"/>
          <w:szCs w:val="30"/>
        </w:rPr>
        <w:t xml:space="preserve">G.1 依赖栈(全部走 CDN)</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360"/>
      </w:tblGrid>
      <w:tr>
        <w:trPr>
          <w:tblHeader/>
        </w:trPr>
        <w:tc>
          <w:tcPr>
            <w:tcW w:type="dxa" w:w="2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依赖</w:t>
            </w:r>
          </w:p>
        </w:tc>
        <w:tc>
          <w:tcPr>
            <w:tcW w:type="dxa" w:w="2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版本</w:t>
            </w:r>
          </w:p>
        </w:tc>
        <w:tc>
          <w:tcPr>
            <w:tcW w:type="dxa" w:w="5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CDN URL(本期原型实际使用)</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React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18.x UMD 生产版</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https://unpkg.com/react@18/umd/react.production.min.js</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ReactDOM</w:t>
            </w:r>
          </w:p>
        </w:tc>
        <w:tc>
          <w:tcPr>
            <w:tcW w:type="dxa" w:w="2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18.x UMD 生产版</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https://unpkg.com/react-dom@18/umd/react-dom.production.min.js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Babel Standalone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latest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https://unpkg.com/@babel/standalone/babel.min.js</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Tailwind CSS</w:t>
            </w:r>
          </w:p>
        </w:tc>
        <w:tc>
          <w:tcPr>
            <w:tcW w:type="dxa" w:w="2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3.x Play CDN</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https://cdn.tailwindcss.com</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Play CDN 适用于原型;生产环境建议改为本地编译 + PurgeCSS,避免运行时 JIT 与未使用样式带来的体积。</w:t>
      </w:r>
    </w:p>
    <w:p>
      <w:pPr>
        <w:pStyle w:val="Heading2"/>
        <w:spacing w:after="140" w:before="280"/>
      </w:pPr>
      <w:r>
        <w:rPr>
          <w:rFonts w:ascii="Microsoft YaHei" w:cs="Microsoft YaHei" w:eastAsia="Microsoft YaHei" w:hAnsi="Microsoft YaHei"/>
          <w:b/>
          <w:bCs/>
          <w:color w:val="2E75B6"/>
          <w:sz w:val="30"/>
          <w:szCs w:val="30"/>
        </w:rPr>
        <w:t xml:space="preserve">G.2 单文件 HTML 结构骨架</w:t>
      </w:r>
    </w:p>
    <w:p>
      <w:pPr>
        <w:shd w:fill="F5F5F5" w:val="clear"/>
        <w:spacing w:after="40" w:before="40"/>
      </w:pPr>
      <w:r>
        <w:rPr>
          <w:rFonts w:ascii="Consolas" w:cs="Consolas" w:eastAsia="Consolas" w:hAnsi="Consolas"/>
          <w:color w:val="1F1F1F"/>
          <w:sz w:val="20"/>
          <w:szCs w:val="20"/>
        </w:rPr>
        <w:t xml:space="preserve">&lt;!DOCTYPE html&gt;</w:t>
      </w:r>
    </w:p>
    <w:p>
      <w:pPr>
        <w:shd w:fill="F5F5F5" w:val="clear"/>
        <w:spacing w:after="40" w:before="40"/>
      </w:pPr>
      <w:r>
        <w:rPr>
          <w:rFonts w:ascii="Consolas" w:cs="Consolas" w:eastAsia="Consolas" w:hAnsi="Consolas"/>
          <w:color w:val="1F1F1F"/>
          <w:sz w:val="20"/>
          <w:szCs w:val="20"/>
        </w:rPr>
        <w:t xml:space="preserve">&lt;html lang="zh-CN"&gt;</w:t>
      </w:r>
    </w:p>
    <w:p>
      <w:pPr>
        <w:shd w:fill="F5F5F5" w:val="clear"/>
        <w:spacing w:after="40" w:before="40"/>
      </w:pPr>
      <w:r>
        <w:rPr>
          <w:rFonts w:ascii="Consolas" w:cs="Consolas" w:eastAsia="Consolas" w:hAnsi="Consolas"/>
          <w:color w:val="1F1F1F"/>
          <w:sz w:val="20"/>
          <w:szCs w:val="20"/>
        </w:rPr>
        <w:t xml:space="preserve">&lt;head&gt;</w:t>
      </w:r>
    </w:p>
    <w:p>
      <w:pPr>
        <w:shd w:fill="F5F5F5" w:val="clear"/>
        <w:spacing w:after="40" w:before="40"/>
      </w:pPr>
      <w:r>
        <w:rPr>
          <w:rFonts w:ascii="Consolas" w:cs="Consolas" w:eastAsia="Consolas" w:hAnsi="Consolas"/>
          <w:color w:val="1F1F1F"/>
          <w:sz w:val="20"/>
          <w:szCs w:val="20"/>
        </w:rPr>
        <w:t xml:space="preserve">  &lt;meta charset="UTF-8" /&gt;</w:t>
      </w:r>
    </w:p>
    <w:p>
      <w:pPr>
        <w:shd w:fill="F5F5F5" w:val="clear"/>
        <w:spacing w:after="40" w:before="40"/>
      </w:pPr>
      <w:r>
        <w:rPr>
          <w:rFonts w:ascii="Consolas" w:cs="Consolas" w:eastAsia="Consolas" w:hAnsi="Consolas"/>
          <w:color w:val="1F1F1F"/>
          <w:sz w:val="20"/>
          <w:szCs w:val="20"/>
        </w:rPr>
        <w:t xml:space="preserve">  &lt;meta name="viewport" content="width=device-width,initial-scale=1" /&gt;</w:t>
      </w:r>
    </w:p>
    <w:p>
      <w:pPr>
        <w:shd w:fill="F5F5F5" w:val="clear"/>
        <w:spacing w:after="40" w:before="40"/>
      </w:pPr>
      <w:r>
        <w:rPr>
          <w:rFonts w:ascii="Consolas" w:cs="Consolas" w:eastAsia="Consolas" w:hAnsi="Consolas"/>
          <w:color w:val="1F1F1F"/>
          <w:sz w:val="20"/>
          <w:szCs w:val="20"/>
        </w:rPr>
        <w:t xml:space="preserve">  &lt;title&gt;体育代理后台 - 账号管理&lt;/title&gt;</w:t>
      </w:r>
    </w:p>
    <w:p>
      <w:pPr>
        <w:shd w:fill="F5F5F5" w:val="clear"/>
        <w:spacing w:after="40" w:before="40"/>
      </w:pPr>
      <w:r>
        <w:rPr>
          <w:rFonts w:ascii="Consolas" w:cs="Consolas" w:eastAsia="Consolas" w:hAnsi="Consolas"/>
          <w:color w:val="1F1F1F"/>
          <w:sz w:val="20"/>
          <w:szCs w:val="20"/>
        </w:rPr>
        <w:t xml:space="preserve">  &lt;script src="https://cdn.tailwindcss.com"&gt;&lt;/script&gt;</w:t>
      </w:r>
    </w:p>
    <w:p>
      <w:pPr>
        <w:shd w:fill="F5F5F5" w:val="clear"/>
        <w:spacing w:after="40" w:before="40"/>
      </w:pPr>
      <w:r>
        <w:rPr>
          <w:rFonts w:ascii="Consolas" w:cs="Consolas" w:eastAsia="Consolas" w:hAnsi="Consolas"/>
          <w:color w:val="1F1F1F"/>
          <w:sz w:val="20"/>
          <w:szCs w:val="20"/>
        </w:rPr>
        <w:t xml:space="preserve">  &lt;script crossorigin src=".../react@18/umd/react.production.min.js"&gt;&lt;/script&gt;</w:t>
      </w:r>
    </w:p>
    <w:p>
      <w:pPr>
        <w:shd w:fill="F5F5F5" w:val="clear"/>
        <w:spacing w:after="40" w:before="40"/>
      </w:pPr>
      <w:r>
        <w:rPr>
          <w:rFonts w:ascii="Consolas" w:cs="Consolas" w:eastAsia="Consolas" w:hAnsi="Consolas"/>
          <w:color w:val="1F1F1F"/>
          <w:sz w:val="20"/>
          <w:szCs w:val="20"/>
        </w:rPr>
        <w:t xml:space="preserve">  &lt;script crossorigin src=".../react-dom@18/umd/react-dom.production.min.js"&gt;&lt;/script&gt;</w:t>
      </w:r>
    </w:p>
    <w:p>
      <w:pPr>
        <w:shd w:fill="F5F5F5" w:val="clear"/>
        <w:spacing w:after="40" w:before="40"/>
      </w:pPr>
      <w:r>
        <w:rPr>
          <w:rFonts w:ascii="Consolas" w:cs="Consolas" w:eastAsia="Consolas" w:hAnsi="Consolas"/>
          <w:color w:val="1F1F1F"/>
          <w:sz w:val="20"/>
          <w:szCs w:val="20"/>
        </w:rPr>
        <w:t xml:space="preserve">  &lt;script src=".../@babel/standalone/babel.min.js"&gt;&lt;/script&gt;</w:t>
      </w:r>
    </w:p>
    <w:p>
      <w:pPr>
        <w:shd w:fill="F5F5F5" w:val="clear"/>
        <w:spacing w:after="40" w:before="40"/>
      </w:pPr>
      <w:r>
        <w:rPr>
          <w:rFonts w:ascii="Consolas" w:cs="Consolas" w:eastAsia="Consolas" w:hAnsi="Consolas"/>
          <w:color w:val="1F1F1F"/>
          <w:sz w:val="20"/>
          <w:szCs w:val="20"/>
        </w:rPr>
        <w:t xml:space="preserve">  &lt;style&gt; /* 自定义 CSS 令牌实现见附录 A */ &lt;/style&gt;</w:t>
      </w:r>
    </w:p>
    <w:p>
      <w:pPr>
        <w:shd w:fill="F5F5F5" w:val="clear"/>
        <w:spacing w:after="40" w:before="40"/>
      </w:pPr>
      <w:r>
        <w:rPr>
          <w:rFonts w:ascii="Consolas" w:cs="Consolas" w:eastAsia="Consolas" w:hAnsi="Consolas"/>
          <w:color w:val="1F1F1F"/>
          <w:sz w:val="20"/>
          <w:szCs w:val="20"/>
        </w:rPr>
        <w:t xml:space="preserve">&lt;/head&gt;</w:t>
      </w:r>
    </w:p>
    <w:p>
      <w:pPr>
        <w:shd w:fill="F5F5F5" w:val="clear"/>
        <w:spacing w:after="40" w:before="40"/>
      </w:pPr>
      <w:r>
        <w:rPr>
          <w:rFonts w:ascii="Consolas" w:cs="Consolas" w:eastAsia="Consolas" w:hAnsi="Consolas"/>
          <w:color w:val="1F1F1F"/>
          <w:sz w:val="20"/>
          <w:szCs w:val="20"/>
        </w:rPr>
        <w:t xml:space="preserve">&lt;body&gt;</w:t>
      </w:r>
    </w:p>
    <w:p>
      <w:pPr>
        <w:shd w:fill="F5F5F5" w:val="clear"/>
        <w:spacing w:after="40" w:before="40"/>
      </w:pPr>
      <w:r>
        <w:rPr>
          <w:rFonts w:ascii="Consolas" w:cs="Consolas" w:eastAsia="Consolas" w:hAnsi="Consolas"/>
          <w:color w:val="1F1F1F"/>
          <w:sz w:val="20"/>
          <w:szCs w:val="20"/>
        </w:rPr>
        <w:t xml:space="preserve">  &lt;div id="root"&gt;&lt;/div&gt;</w:t>
      </w:r>
    </w:p>
    <w:p>
      <w:pPr>
        <w:shd w:fill="F5F5F5" w:val="clear"/>
        <w:spacing w:after="40" w:before="40"/>
      </w:pPr>
      <w:r>
        <w:rPr>
          <w:rFonts w:ascii="Consolas" w:cs="Consolas" w:eastAsia="Consolas" w:hAnsi="Consolas"/>
          <w:color w:val="1F1F1F"/>
          <w:sz w:val="20"/>
          <w:szCs w:val="20"/>
        </w:rPr>
        <w:t xml:space="preserve">  &lt;script type="text/babel" data-presets="react"&gt;</w:t>
      </w:r>
    </w:p>
    <w:p>
      <w:pPr>
        <w:shd w:fill="F5F5F5" w:val="clear"/>
        <w:spacing w:after="40" w:before="40"/>
      </w:pPr>
      <w:r>
        <w:rPr>
          <w:rFonts w:ascii="Consolas" w:cs="Consolas" w:eastAsia="Consolas" w:hAnsi="Consolas"/>
          <w:color w:val="1F1F1F"/>
          <w:sz w:val="20"/>
          <w:szCs w:val="20"/>
        </w:rPr>
        <w:t xml:space="preserve">    const { useState, useMemo, useEffect, useCallback, useRef, Fragment } = React;</w:t>
      </w:r>
    </w:p>
    <w:p>
      <w:pPr>
        <w:shd w:fill="F5F5F5" w:val="clear"/>
        <w:spacing w:after="40" w:before="40"/>
      </w:pPr>
      <w:r>
        <w:rPr>
          <w:rFonts w:ascii="Consolas" w:cs="Consolas" w:eastAsia="Consolas" w:hAnsi="Consolas"/>
          <w:color w:val="1F1F1F"/>
          <w:sz w:val="20"/>
          <w:szCs w:val="20"/>
        </w:rPr>
        <w:t xml:space="preserve">    // ... 业务代码 ...</w:t>
      </w:r>
    </w:p>
    <w:p>
      <w:pPr>
        <w:shd w:fill="F5F5F5" w:val="clear"/>
        <w:spacing w:after="40" w:before="40"/>
      </w:pPr>
      <w:r>
        <w:rPr>
          <w:rFonts w:ascii="Consolas" w:cs="Consolas" w:eastAsia="Consolas" w:hAnsi="Consolas"/>
          <w:color w:val="1F1F1F"/>
          <w:sz w:val="20"/>
          <w:szCs w:val="20"/>
        </w:rPr>
        <w:t xml:space="preserve">    ReactDOM.createRoot(document.getElementById("root")).render(&lt;App/&gt;);</w:t>
      </w:r>
    </w:p>
    <w:p>
      <w:pPr>
        <w:shd w:fill="F5F5F5" w:val="clear"/>
        <w:spacing w:after="40" w:before="40"/>
      </w:pPr>
      <w:r>
        <w:rPr>
          <w:rFonts w:ascii="Consolas" w:cs="Consolas" w:eastAsia="Consolas" w:hAnsi="Consolas"/>
          <w:color w:val="1F1F1F"/>
          <w:sz w:val="20"/>
          <w:szCs w:val="20"/>
        </w:rPr>
        <w:t xml:space="preserve">  &lt;/script&gt;</w:t>
      </w:r>
    </w:p>
    <w:p>
      <w:pPr>
        <w:shd w:fill="F5F5F5" w:val="clear"/>
        <w:spacing w:after="40" w:before="40"/>
      </w:pPr>
      <w:r>
        <w:rPr>
          <w:rFonts w:ascii="Consolas" w:cs="Consolas" w:eastAsia="Consolas" w:hAnsi="Consolas"/>
          <w:color w:val="1F1F1F"/>
          <w:sz w:val="20"/>
          <w:szCs w:val="20"/>
        </w:rPr>
        <w:t xml:space="preserve">&lt;/body&gt;</w:t>
      </w:r>
    </w:p>
    <w:p>
      <w:pPr>
        <w:shd w:fill="F5F5F5" w:val="clear"/>
        <w:spacing w:after="40" w:before="40"/>
      </w:pPr>
      <w:r>
        <w:rPr>
          <w:rFonts w:ascii="Consolas" w:cs="Consolas" w:eastAsia="Consolas" w:hAnsi="Consolas"/>
          <w:color w:val="1F1F1F"/>
          <w:sz w:val="20"/>
          <w:szCs w:val="20"/>
        </w:rPr>
        <w:t xml:space="preserve">&lt;/html&gt;</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&lt;script type="text/babel" data-presets="react"&gt; 的 data-presets 属性必须写,否则 Babel 不转译 JSX</w:t>
      </w:r>
    </w:p>
    <w:p>
      <w:pPr>
        <w:pStyle w:val="Heading2"/>
        <w:spacing w:after="140" w:before="280"/>
      </w:pPr>
      <w:r>
        <w:rPr>
          <w:rFonts w:ascii="Microsoft YaHei" w:cs="Microsoft YaHei" w:eastAsia="Microsoft YaHei" w:hAnsi="Microsoft YaHei"/>
          <w:b/>
          <w:bCs/>
          <w:color w:val="2E75B6"/>
          <w:sz w:val="30"/>
          <w:szCs w:val="30"/>
        </w:rPr>
        <w:t xml:space="preserve">G.3 React Context(useT)模式</w:t>
      </w:r>
    </w:p>
    <w:p>
      <w:pPr>
        <w:shd w:fill="F5F5F5" w:val="clear"/>
        <w:spacing w:after="40" w:before="40"/>
      </w:pPr>
      <w:r>
        <w:rPr>
          <w:rFonts w:ascii="Consolas" w:cs="Consolas" w:eastAsia="Consolas" w:hAnsi="Consolas"/>
          <w:color w:val="1F1F1F"/>
          <w:sz w:val="20"/>
          <w:szCs w:val="20"/>
        </w:rPr>
        <w:t xml:space="preserve">const I18N = { "zh-CN": {...}, en: {...}, ko: {...} };</w:t>
      </w:r>
    </w:p>
    <w:p>
      <w:pPr>
        <w:shd w:fill="F5F5F5" w:val="clear"/>
        <w:spacing w:after="40" w:before="40"/>
      </w:pPr>
      <w:r>
        <w:rPr>
          <w:rFonts w:ascii="Consolas" w:cs="Consolas" w:eastAsia="Consolas" w:hAnsi="Consolas"/>
          <w:color w:val="1F1F1F"/>
          <w:sz w:val="20"/>
          <w:szCs w:val="20"/>
        </w:rPr>
        <w:t xml:space="preserve">const LangContext = React.createContext({ lang: "zh-CN", setLang: ()=&gt;{} });</w:t>
      </w:r>
    </w:p>
    <w:p>
      <w:pPr>
        <w:shd w:fill="F5F5F5" w:val="clear"/>
        <w:spacing w:after="40" w:before="40"/>
      </w:pPr>
      <w:r>
        <w:rPr>
          <w:rFonts w:ascii="Consolas" w:cs="Consolas" w:eastAsia="Consolas" w:hAnsi="Consolas"/>
          <w:color w:val="1F1F1F"/>
          <w:sz w:val="20"/>
          <w:szCs w:val="20"/>
        </w:rPr>
        <w:t xml:space="preserve">function useT() {</w:t>
      </w:r>
    </w:p>
    <w:p>
      <w:pPr>
        <w:shd w:fill="F5F5F5" w:val="clear"/>
        <w:spacing w:after="40" w:before="40"/>
      </w:pPr>
      <w:r>
        <w:rPr>
          <w:rFonts w:ascii="Consolas" w:cs="Consolas" w:eastAsia="Consolas" w:hAnsi="Consolas"/>
          <w:color w:val="1F1F1F"/>
          <w:sz w:val="20"/>
          <w:szCs w:val="20"/>
        </w:rPr>
        <w:t xml:space="preserve">  const { lang, setLang } = React.useContext(LangContext);</w:t>
      </w:r>
    </w:p>
    <w:p>
      <w:pPr>
        <w:shd w:fill="F5F5F5" w:val="clear"/>
        <w:spacing w:after="40" w:before="40"/>
      </w:pPr>
      <w:r>
        <w:rPr>
          <w:rFonts w:ascii="Consolas" w:cs="Consolas" w:eastAsia="Consolas" w:hAnsi="Consolas"/>
          <w:color w:val="1F1F1F"/>
          <w:sz w:val="20"/>
          <w:szCs w:val="20"/>
        </w:rPr>
        <w:t xml:space="preserve">  return { t: I18N[lang], lang, setLang };</w:t>
      </w:r>
    </w:p>
    <w:p>
      <w:pPr>
        <w:shd w:fill="F5F5F5" w:val="clear"/>
        <w:spacing w:after="40" w:before="40"/>
      </w:pPr>
      <w:r>
        <w:rPr>
          <w:rFonts w:ascii="Consolas" w:cs="Consolas" w:eastAsia="Consolas" w:hAnsi="Consolas"/>
          <w:color w:val="1F1F1F"/>
          <w:sz w:val="20"/>
          <w:szCs w:val="20"/>
        </w:rPr>
        <w:t xml:space="preserve">}</w:t>
      </w:r>
    </w:p>
    <w:p>
      <w:pPr>
        <w:pStyle w:val="Heading2"/>
        <w:spacing w:after="140" w:before="280"/>
      </w:pPr>
      <w:r>
        <w:rPr>
          <w:rFonts w:ascii="Microsoft YaHei" w:cs="Microsoft YaHei" w:eastAsia="Microsoft YaHei" w:hAnsi="Microsoft YaHei"/>
          <w:b/>
          <w:bCs/>
          <w:color w:val="2E75B6"/>
          <w:sz w:val="30"/>
          <w:szCs w:val="30"/>
        </w:rPr>
        <w:t xml:space="preserve">G.4 useClickOutside hook(下拉点外部关闭)</w:t>
      </w:r>
    </w:p>
    <w:p>
      <w:pPr>
        <w:shd w:fill="F5F5F5" w:val="clear"/>
        <w:spacing w:after="40" w:before="40"/>
      </w:pPr>
      <w:r>
        <w:rPr>
          <w:rFonts w:ascii="Consolas" w:cs="Consolas" w:eastAsia="Consolas" w:hAnsi="Consolas"/>
          <w:color w:val="1F1F1F"/>
          <w:sz w:val="20"/>
          <w:szCs w:val="20"/>
        </w:rPr>
        <w:t xml:space="preserve">function useClickOutside(ref, onClose, active){</w:t>
      </w:r>
    </w:p>
    <w:p>
      <w:pPr>
        <w:shd w:fill="F5F5F5" w:val="clear"/>
        <w:spacing w:after="40" w:before="40"/>
      </w:pPr>
      <w:r>
        <w:rPr>
          <w:rFonts w:ascii="Consolas" w:cs="Consolas" w:eastAsia="Consolas" w:hAnsi="Consolas"/>
          <w:color w:val="1F1F1F"/>
          <w:sz w:val="20"/>
          <w:szCs w:val="20"/>
        </w:rPr>
        <w:t xml:space="preserve">  useEffect(()=&gt;{</w:t>
      </w:r>
    </w:p>
    <w:p>
      <w:pPr>
        <w:shd w:fill="F5F5F5" w:val="clear"/>
        <w:spacing w:after="40" w:before="40"/>
      </w:pPr>
      <w:r>
        <w:rPr>
          <w:rFonts w:ascii="Consolas" w:cs="Consolas" w:eastAsia="Consolas" w:hAnsi="Consolas"/>
          <w:color w:val="1F1F1F"/>
          <w:sz w:val="20"/>
          <w:szCs w:val="20"/>
        </w:rPr>
        <w:t xml:space="preserve">    if (!active) return;</w:t>
      </w:r>
    </w:p>
    <w:p>
      <w:pPr>
        <w:shd w:fill="F5F5F5" w:val="clear"/>
        <w:spacing w:after="40" w:before="40"/>
      </w:pPr>
      <w:r>
        <w:rPr>
          <w:rFonts w:ascii="Consolas" w:cs="Consolas" w:eastAsia="Consolas" w:hAnsi="Consolas"/>
          <w:color w:val="1F1F1F"/>
          <w:sz w:val="20"/>
          <w:szCs w:val="20"/>
        </w:rPr>
        <w:t xml:space="preserve">    const handler = e =&gt; {</w:t>
      </w:r>
    </w:p>
    <w:p>
      <w:pPr>
        <w:shd w:fill="F5F5F5" w:val="clear"/>
        <w:spacing w:after="40" w:before="40"/>
      </w:pPr>
      <w:r>
        <w:rPr>
          <w:rFonts w:ascii="Consolas" w:cs="Consolas" w:eastAsia="Consolas" w:hAnsi="Consolas"/>
          <w:color w:val="1F1F1F"/>
          <w:sz w:val="20"/>
          <w:szCs w:val="20"/>
        </w:rPr>
        <w:t xml:space="preserve">      if (ref.current &amp;&amp; !ref.current.contains(e.target)) onClose();</w:t>
      </w:r>
    </w:p>
    <w:p>
      <w:pPr>
        <w:shd w:fill="F5F5F5" w:val="clear"/>
        <w:spacing w:after="40" w:before="40"/>
      </w:pPr>
      <w:r>
        <w:rPr>
          <w:rFonts w:ascii="Consolas" w:cs="Consolas" w:eastAsia="Consolas" w:hAnsi="Consolas"/>
          <w:color w:val="1F1F1F"/>
          <w:sz w:val="20"/>
          <w:szCs w:val="20"/>
        </w:rPr>
        <w:t xml:space="preserve">    };</w:t>
      </w:r>
    </w:p>
    <w:p>
      <w:pPr>
        <w:shd w:fill="F5F5F5" w:val="clear"/>
        <w:spacing w:after="40" w:before="40"/>
      </w:pPr>
      <w:r>
        <w:rPr>
          <w:rFonts w:ascii="Consolas" w:cs="Consolas" w:eastAsia="Consolas" w:hAnsi="Consolas"/>
          <w:color w:val="1F1F1F"/>
          <w:sz w:val="20"/>
          <w:szCs w:val="20"/>
        </w:rPr>
        <w:t xml:space="preserve">    document.addEventListener("mousedown", handler);</w:t>
      </w:r>
    </w:p>
    <w:p>
      <w:pPr>
        <w:shd w:fill="F5F5F5" w:val="clear"/>
        <w:spacing w:after="40" w:before="40"/>
      </w:pPr>
      <w:r>
        <w:rPr>
          <w:rFonts w:ascii="Consolas" w:cs="Consolas" w:eastAsia="Consolas" w:hAnsi="Consolas"/>
          <w:color w:val="1F1F1F"/>
          <w:sz w:val="20"/>
          <w:szCs w:val="20"/>
        </w:rPr>
        <w:t xml:space="preserve">    return () =&gt; document.removeEventListener("mousedown", handler);</w:t>
      </w:r>
    </w:p>
    <w:p>
      <w:pPr>
        <w:shd w:fill="F5F5F5" w:val="clear"/>
        <w:spacing w:after="40" w:before="40"/>
      </w:pPr>
      <w:r>
        <w:rPr>
          <w:rFonts w:ascii="Consolas" w:cs="Consolas" w:eastAsia="Consolas" w:hAnsi="Consolas"/>
          <w:color w:val="1F1F1F"/>
          <w:sz w:val="20"/>
          <w:szCs w:val="20"/>
        </w:rPr>
        <w:t xml:space="preserve">  }, [active, onClose]);</w:t>
      </w:r>
    </w:p>
    <w:p>
      <w:pPr>
        <w:shd w:fill="F5F5F5" w:val="clear"/>
        <w:spacing w:after="40" w:before="40"/>
      </w:pPr>
      <w:r>
        <w:rPr>
          <w:rFonts w:ascii="Consolas" w:cs="Consolas" w:eastAsia="Consolas" w:hAnsi="Consolas"/>
          <w:color w:val="1F1F1F"/>
          <w:sz w:val="20"/>
          <w:szCs w:val="20"/>
        </w:rPr>
        <w:t xml:space="preserve">}</w:t>
      </w:r>
    </w:p>
    <w:p>
      <w:r>
        <w:br w:type="page"/>
      </w:r>
    </w:p>
    <w:p>
      <w:pPr>
        <w:pStyle w:val="Heading1"/>
        <w:spacing w:after="180" w:before="360"/>
      </w:pPr>
      <w:r>
        <w:rPr>
          <w:rFonts w:ascii="Microsoft YaHei" w:cs="Microsoft YaHei" w:eastAsia="Microsoft YaHei" w:hAnsi="Microsoft YaHei"/>
          <w:b/>
          <w:bCs/>
          <w:color w:val="1F3864"/>
          <w:sz w:val="36"/>
          <w:szCs w:val="36"/>
        </w:rPr>
        <w:t xml:space="preserve">附录 H. 已知陷阱与调试约定</w:t>
      </w:r>
    </w:p>
    <w:p>
      <w:pPr>
        <w:spacing w:after="40" w:before="40"/>
      </w:pPr>
      <w:r>
        <w:rPr>
          <w:rFonts w:ascii="Microsoft YaHei" w:cs="Microsoft YaHei" w:eastAsia="Microsoft YaHei" w:hAnsi="Microsoft YaHei"/>
          <w:b w:val="false"/>
          <w:bCs w:val="false"/>
          <w:i w:val="false"/>
          <w:iCs w:val="false"/>
          <w:color w:val="262626"/>
          <w:sz w:val="22"/>
          <w:szCs w:val="22"/>
        </w:rPr>
        <w:t xml:space="preserve">以下是本期开发过程中踩过的具体坑,直接作为复现者的“避雷清单”。</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400"/>
        <w:gridCol w:w="2560"/>
      </w:tblGrid>
      <w:tr>
        <w:trPr>
          <w:tblHeader/>
        </w:trPr>
        <w:tc>
          <w:tcPr>
            <w:tcW w:type="dxa" w:w="1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陷阱编号</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现象</w:t>
            </w:r>
          </w:p>
        </w:tc>
        <w:tc>
          <w:tcPr>
            <w:tcW w:type="dxa" w:w="3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根因</w:t>
            </w:r>
          </w:p>
        </w:tc>
        <w:tc>
          <w:tcPr>
            <w:tcW w:type="dxa" w:w="2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修复 / 规避</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页面黑屏,Console 报 SyntaxError</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i18n 字典中文值里用了 ASCII 双引号(如 以"万"为单位),与包裹字符串的 " 冲突</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所有 CJK 内容内部的引号一律用中文弯引号“”或「」;或者最外层字符串改用单引号</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H-02</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下拉菜单横向展开,两项并排到屏幕外</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td 上挂了 whitespace-nowrap,被 absolute 子元素继承,强制单行</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下拉容器显式 style={{whiteSpace:"normal"}} + 子项用 block w-full 替代默认 inline-block</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下拉展开后不可见</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外层卡片容器 overflow-hidden 裁掉了 absolute 定位的下拉面板</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卡片外层改 overflow:visible;若需要保留圆角,用单独的 clipPath 或接受面板跨越圆角</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H-04</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&lt;details&gt; 打开后,点空白处不收起</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HTML &lt;details&gt; 原生仅响应 summary 的点击,不响应外部点击</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改为 React 受控 + useClickOutside,见附录 G.4</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币种汇总“总线余额”数值异常偏小</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把 directSubs 过滤成“按 schemeId 匹配的所有账号”,相当于把孙子也算进直属</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directSubs = 严格 parentId === 顶代 id,只取一层</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H-06</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 id 与直属下线的编号规则冲突(顶代 qweqwe-1,子又叫 qweqwe-1-1 看起来像孙子)</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 id 前缀设置不当,违反 child_id = parent_id-N 规则</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 id 必须是最短前缀(本期为 qweqwe),直属下线自动 qweqwe-1 / -2 / ...</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H-07</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awk 提取 &lt;script type="text/babel"&gt; 失败产生空文件,导致语法校验误判为 OK</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babel 标签带 data-presets 属性不匹配简单 awk 模式</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改用 sed -n '起行,止行p' 按行号范围抽取,或用完整正则</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H-08</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金额小于 1 万时 zh-CN 仍显示“8000”而非“0.8 万”</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早期 fmtAmount 带 Math.abs(n) &gt;= 10000 阈值</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去阈值,全量按 n/10000 格式化</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附录 I. PRD 与原型的权威性声明</w:t>
      </w:r>
    </w:p>
    <w:p>
      <w:pPr>
        <w:spacing w:after="40" w:before="40"/>
      </w:pPr>
      <w:r>
        <w:rPr>
          <w:rFonts w:ascii="Microsoft YaHei" w:cs="Microsoft YaHei" w:eastAsia="Microsoft YaHei" w:hAnsi="Microsoft YaHei"/>
          <w:b w:val="false"/>
          <w:bCs w:val="false"/>
          <w:i w:val="false"/>
          <w:iCs w:val="false"/>
          <w:color w:val="262626"/>
          <w:sz w:val="22"/>
          <w:szCs w:val="22"/>
        </w:rPr>
        <w:t xml:space="preserve">本期交付包含三份物料:PRD 正文(本 Word 文档)、原型(单文件 HTML)、附录 A ~ I(本部分)。三者在工程交接 / 评审 / 发版场景下的权威顺序如下。</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560"/>
      </w:tblGrid>
      <w:tr>
        <w:trPr>
          <w:tblHeader/>
        </w:trPr>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场景</w:t>
            </w:r>
          </w:p>
        </w:tc>
        <w:tc>
          <w:tcPr>
            <w:tcW w:type="dxa" w:w="3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权威物料优先级</w:t>
            </w:r>
          </w:p>
        </w:tc>
        <w:tc>
          <w:tcPr>
            <w:tcW w:type="dxa" w:w="3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理由</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视觉 · 交互 · 动效细节</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原型 &gt; 附录 A~C &gt; PRD 正文</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正文无法承载像素级视觉与交互细节;原型是真实可交互的客观事实</w:t>
            </w:r>
          </w:p>
        </w:tc>
      </w:tr>
      <w:tr>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业务规则 · 数据契约 · 边界</w:t>
            </w:r>
          </w:p>
        </w:tc>
        <w:tc>
          <w:tcPr>
            <w:tcW w:type="dxa" w:w="3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PRD 正文 &gt; 附录 D~F &gt; 原型</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原型里的业务逻辑是 mock 简化版;规则以正文表述为准</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技术实现约束(版本 / 陷阱)</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附录 G~H &gt; 原型 &gt; PRD 正文</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技术栈细节和踩坑结论不在正文内,附录是单一信源</w:t>
            </w:r>
          </w:p>
        </w:tc>
      </w:tr>
      <w:tr>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 / 变更功能的工作流</w:t>
            </w:r>
          </w:p>
        </w:tc>
        <w:tc>
          <w:tcPr>
            <w:tcW w:type="dxa" w:w="3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先改原型 → 再回灌 PRD → 最后同步附录 D~F</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原型是验收物料;PRD 与附录是基线文档,滞后一步以原型验收通过为前提</w:t>
            </w:r>
          </w:p>
        </w:tc>
      </w:tr>
    </w:tbl>
    <w:p>
      <w:pPr>
        <w:pStyle w:val="Heading2"/>
        <w:spacing w:after="140" w:before="280"/>
      </w:pPr>
      <w:r>
        <w:rPr>
          <w:rFonts w:ascii="Microsoft YaHei" w:cs="Microsoft YaHei" w:eastAsia="Microsoft YaHei" w:hAnsi="Microsoft YaHei"/>
          <w:b/>
          <w:bCs/>
          <w:color w:val="2E75B6"/>
          <w:sz w:val="30"/>
          <w:szCs w:val="30"/>
        </w:rPr>
        <w:t xml:space="preserve">I.1 命名与版本号约定</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PRD Word 文件名:体育代理后台-账号管理模块-PRD-V{X.Y}.docx;版本号随每一次评审通过或重大变更递增</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原型 HTML 文件名:体育代理后台-账号管理-原型.html(不带版本号,永远指向最新一版);若需保留历史版本由 Git 或文件版本控制负责</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Vercel 发布:短链接 sports-agent-prototype.vercel.app 永远指向 main 分支最新部署;带 hash 的快照链接对应每一次提交</w:t>
      </w:r>
    </w:p>
    <w:p>
      <w:pPr>
        <w:pStyle w:val="Heading2"/>
        <w:spacing w:after="140" w:before="280"/>
      </w:pPr>
      <w:r>
        <w:rPr>
          <w:rFonts w:ascii="Microsoft YaHei" w:cs="Microsoft YaHei" w:eastAsia="Microsoft YaHei" w:hAnsi="Microsoft YaHei"/>
          <w:b/>
          <w:bCs/>
          <w:color w:val="2E75B6"/>
          <w:sz w:val="30"/>
          <w:szCs w:val="30"/>
        </w:rPr>
        <w:t xml:space="preserve">I.2 AI 复现本期原型的标准步骤</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 PRD 第 1 ~ 10 章(业务背景 · 术语 · 功能结构 · 字段 · 验收)</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A ~ B(视觉与组件)→ 抄 Tailwind class 与 CSS 令牌</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C(交互)→ 落实 useClickOutside / forced modal / 高敏感字段逻辑</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D(算法)→ 实现 fmtAmount / totalBalance / 聚合 / 级联校验</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E(Mock 数据)→ 照抄 9 条 INIT_ACCOUNTS 与 3 条 TOP_SCHEMES</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F(I18N)→ 组装三语字典</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G(技术栈)→ 搭建单文件 HTML + CDN 骨架</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H(陷阱)→ 预防已知问题</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自测附录 E.4 的预期派生值 → 验证还原度</w:t>
      </w:r>
    </w:p>
    <w:p>
      <w:pPr>
        <w:spacing w:after="40" w:before="40"/>
      </w:pPr>
      <w:r>
        <w:rPr>
          <w:rFonts w:ascii="Microsoft YaHei" w:cs="Microsoft YaHei" w:eastAsia="Microsoft YaHei" w:hAnsi="Microsoft YaHei"/>
          <w:b w:val="false"/>
          <w:bCs w:val="false"/>
          <w:i w:val="false"/>
          <w:iCs w:val="false"/>
          <w:color w:val="262626"/>
          <w:sz w:val="22"/>
          <w:szCs w:val="22"/>
        </w:rPr>
        <w:t xml:space="preserve">符合以上流程的输出,应与本期原型在结构、视觉、交互、业务规则上达成 90% 以上的一致。</w:t>
      </w:r>
    </w:p>
    <w:p>
      <w:pPr>
        <w:spacing w:before="600"/>
        <w:jc w:val="center"/>
      </w:pPr>
      <w:r>
        <w:rPr>
          <w:rFonts w:ascii="Microsoft YaHei" w:cs="Microsoft YaHei" w:eastAsia="Microsoft YaHei" w:hAnsi="Microsoft YaHei"/>
          <w:i/>
          <w:iCs/>
          <w:color w:val="8A8A8A"/>
          <w:sz w:val="22"/>
          <w:szCs w:val="22"/>
        </w:rPr>
        <w:t xml:space="preserve">—— 文档结束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A8A8A"/>
        <w:sz w:val="18"/>
        <w:szCs w:val="18"/>
      </w:rPr>
      <w:t xml:space="preserve">第 </w:t>
    </w:r>
    <w:r>
      <w:rPr>
        <w:rFonts w:ascii="Microsoft YaHei" w:cs="Microsoft YaHei" w:eastAsia="Microsoft YaHei" w:hAnsi="Microsoft YaHei"/>
        <w:color w:val="8A8A8A"/>
        <w:sz w:val="18"/>
        <w:szCs w:val="18"/>
      </w:rPr>
      <w:fldChar w:fldCharType="begin"/>
      <w:instrText xml:space="preserve">PAGE</w:instrText>
      <w:fldChar w:fldCharType="separate"/>
      <w:fldChar w:fldCharType="end"/>
    </w:r>
    <w:r>
      <w:rPr>
        <w:rFonts w:ascii="Microsoft YaHei" w:cs="Microsoft YaHei" w:eastAsia="Microsoft YaHei" w:hAnsi="Microsoft YaHei"/>
        <w:color w:val="8A8A8A"/>
        <w:sz w:val="18"/>
        <w:szCs w:val="18"/>
      </w:rPr>
      <w:t xml:space="preserve"> 页 / 共 </w:t>
    </w:r>
    <w:r>
      <w:rPr>
        <w:rFonts w:ascii="Microsoft YaHei" w:cs="Microsoft YaHei" w:eastAsia="Microsoft YaHei" w:hAnsi="Microsoft YaHei"/>
        <w:color w:val="8A8A8A"/>
        <w:sz w:val="18"/>
        <w:szCs w:val="18"/>
      </w:rPr>
      <w:fldChar w:fldCharType="begin"/>
      <w:instrText xml:space="preserve">NUMPAGES</w:instrText>
      <w:fldChar w:fldCharType="separate"/>
      <w:fldChar w:fldCharType="end"/>
    </w:r>
    <w:r>
      <w:rPr>
        <w:rFonts w:ascii="Microsoft YaHei" w:cs="Microsoft YaHei" w:eastAsia="Microsoft YaHei" w:hAnsi="Microsoft YaHei"/>
        <w:color w:val="8A8A8A"/>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A8A8A"/>
        <w:sz w:val="18"/>
        <w:szCs w:val="18"/>
      </w:rPr>
      <w:t xml:space="preserve">体育代理后台 · 账号管理 PRD  V1.10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icrosoft YaHei" w:cs="Microsoft YaHei" w:eastAsia="Microsoft YaHei" w:hAnsi="Microsoft YaHei"/>
      <w:b/>
      <w:bCs/>
      <w:color w:val="1F3864"/>
      <w:sz w:val="36"/>
      <w:szCs w:val="36"/>
    </w:rPr>
  </w:style>
  <w:style w:type="paragraph" w:styleId="Heading2">
    <w:name w:val="Heading 2"/>
    <w:basedOn w:val="Normal"/>
    <w:next w:val="Normal"/>
    <w:qFormat/>
    <w:pPr>
      <w:spacing w:after="140" w:before="280"/>
      <w:outlineLvl w:val="1"/>
    </w:pPr>
    <w:rPr>
      <w:rFonts w:ascii="Microsoft YaHei" w:cs="Microsoft YaHei" w:eastAsia="Microsoft YaHei" w:hAnsi="Microsoft YaHei"/>
      <w:b/>
      <w:bCs/>
      <w:color w:val="2E75B6"/>
      <w:sz w:val="30"/>
      <w:szCs w:val="30"/>
    </w:rPr>
  </w:style>
  <w:style w:type="paragraph" w:styleId="Heading3">
    <w:name w:val="Heading 3"/>
    <w:basedOn w:val="Normal"/>
    <w:next w:val="Normal"/>
    <w:qFormat/>
    <w:pPr>
      <w:spacing w:after="100" w:before="220"/>
      <w:outlineLvl w:val="2"/>
    </w:pPr>
    <w:rPr>
      <w:rFonts w:ascii="Microsoft YaHei" w:cs="Microsoft YaHei" w:eastAsia="Microsoft YaHei" w:hAnsi="Microsoft YaHei"/>
      <w:b/>
      <w:bCs/>
      <w:color w:val="333F50"/>
      <w:sz w:val="26"/>
      <w:szCs w:val="26"/>
    </w:rPr>
  </w:style>
  <w:style w:type="paragraph" w:styleId="Heading4">
    <w:name w:val="Heading 4"/>
    <w:basedOn w:val="Normal"/>
    <w:next w:val="Normal"/>
    <w:qFormat/>
    <w:pPr>
      <w:spacing w:after="80" w:before="160"/>
      <w:outlineLvl w:val="3"/>
    </w:pPr>
    <w:rPr>
      <w:rFonts w:ascii="Microsoft YaHei" w:cs="Microsoft YaHei" w:eastAsia="Microsoft YaHei" w:hAnsi="Microsoft YaHei"/>
      <w:b/>
      <w:bCs/>
      <w:color w:val="333F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体育代理后台 - 账号管理模块 PRD</dc:title>
  <dc:creator>Sammy</dc:creator>
  <cp:lastModifiedBy>Un-named</cp:lastModifiedBy>
  <cp:revision>1</cp:revision>
  <dcterms:created xsi:type="dcterms:W3CDTF">2026-04-20T06:27:23.469Z</dcterms:created>
  <dcterms:modified xsi:type="dcterms:W3CDTF">2026-04-20T06:27:23.469Z</dcterms:modified>
</cp:coreProperties>
</file>

<file path=docProps/custom.xml><?xml version="1.0" encoding="utf-8"?>
<Properties xmlns="http://schemas.openxmlformats.org/officeDocument/2006/custom-properties" xmlns:vt="http://schemas.openxmlformats.org/officeDocument/2006/docPropsVTypes"/>
</file>