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B7280"/>
          <w:sz w:val="18"/>
          <w:szCs w:val="18"/>
        </w:rPr>
        <w:t xml:space="preserve">UNIVERSITY OF GHANA — DEPARTMENT OF COMPUTER SCIENCE</w:t>
      </w:r>
    </w:p>
    <w:p>
      <w:pPr>
        <w:spacing w:after="20"/>
      </w:pPr>
      <w:r>
        <w:rPr>
          <w:rFonts w:ascii="Calibri" w:cs="Calibri" w:eastAsia="Calibri" w:hAnsi="Calibri"/>
          <w:color w:val="6B7280"/>
          <w:sz w:val="18"/>
          <w:szCs w:val="18"/>
        </w:rPr>
        <w:t xml:space="preserve">CSCD602: Advanced Software Engineering — Individual Project-Based Examination</w:t>
      </w:r>
    </w:p>
    <w:p>
      <w:pPr>
        <w:spacing w:after="60" w:before="200"/>
      </w:pPr>
      <w:r>
        <w:rPr>
          <w:rFonts w:ascii="Calibri" w:cs="Calibri" w:eastAsia="Calibri" w:hAnsi="Calibri"/>
          <w:b/>
          <w:bCs/>
          <w:color w:val="1F2A3D"/>
          <w:sz w:val="38"/>
          <w:szCs w:val="38"/>
        </w:rPr>
        <w:t xml:space="preserve">System Architecture &amp; Technology Stack</w:t>
      </w:r>
    </w:p>
    <w:p>
      <w:pPr>
        <w:spacing w:after="260"/>
      </w:pPr>
      <w:r>
        <w:rPr>
          <w:rFonts w:ascii="Calibri" w:cs="Calibri" w:eastAsia="Calibri" w:hAnsi="Calibri"/>
          <w:b/>
          <w:bCs/>
          <w:color w:val="2F5D62"/>
          <w:sz w:val="26"/>
          <w:szCs w:val="26"/>
        </w:rPr>
        <w:t xml:space="preserve">Volunteer Shift Scheduler</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2200"/>
        <w:gridCol w:w="6740"/>
      </w:tblGrid>
      <w:tr>
        <w:tc>
          <w:tcPr>
            <w:tcW w:type="dxa" w:w="2200"/>
            <w:tcBorders>
              <w:top w:val="single" w:color="CBD2D9" w:sz="4"/>
              <w:left w:val="single" w:color="CBD2D9" w:sz="4"/>
              <w:bottom w:val="single" w:color="CBD2D9" w:sz="4"/>
              <w:right w:val="single" w:color="CBD2D9" w:sz="4"/>
            </w:tcBorders>
            <w:shd w:fill="1F2A3D" w:color="auto"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Field</w:t>
            </w:r>
          </w:p>
        </w:tc>
        <w:tc>
          <w:tcPr>
            <w:tcW w:type="dxa" w:w="6740"/>
            <w:tcBorders>
              <w:top w:val="single" w:color="CBD2D9" w:sz="4"/>
              <w:left w:val="single" w:color="CBD2D9" w:sz="4"/>
              <w:bottom w:val="single" w:color="CBD2D9" w:sz="4"/>
              <w:right w:val="single" w:color="CBD2D9" w:sz="4"/>
            </w:tcBorders>
            <w:shd w:fill="1F2A3D" w:color="auto"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Detail</w:t>
            </w:r>
          </w:p>
        </w:tc>
      </w:tr>
      <w:tr>
        <w:tc>
          <w:tcPr>
            <w:tcW w:type="dxa" w:w="22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Student Name</w:t>
            </w:r>
          </w:p>
        </w:tc>
        <w:tc>
          <w:tcPr>
            <w:tcW w:type="dxa" w:w="674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Samuel Owusu Ampadu</w:t>
            </w:r>
          </w:p>
        </w:tc>
      </w:tr>
      <w:tr>
        <w:tc>
          <w:tcPr>
            <w:tcW w:type="dxa" w:w="220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Student ID</w:t>
            </w:r>
          </w:p>
        </w:tc>
        <w:tc>
          <w:tcPr>
            <w:tcW w:type="dxa" w:w="674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22424245</w:t>
            </w:r>
          </w:p>
        </w:tc>
      </w:tr>
      <w:tr>
        <w:tc>
          <w:tcPr>
            <w:tcW w:type="dxa" w:w="22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Date</w:t>
            </w:r>
          </w:p>
        </w:tc>
        <w:tc>
          <w:tcPr>
            <w:tcW w:type="dxa" w:w="674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13 August 2026</w:t>
            </w:r>
          </w:p>
        </w:tc>
      </w:tr>
    </w:tbl>
    <w:p>
      <w:pPr>
        <w:spacing w:after="200"/>
      </w:pPr>
      <w:r>
        <w:br w:type="page"/>
      </w:r>
    </w:p>
    <w:p>
      <w:pPr>
        <w:pStyle w:val="Heading1"/>
        <w:pBdr>
          <w:bottom w:val="single" w:color="2F5D62" w:sz="6" w:space="4"/>
        </w:pBdr>
        <w:spacing w:after="130" w:before="300"/>
      </w:pPr>
      <w:r>
        <w:rPr>
          <w:rFonts w:ascii="Calibri" w:cs="Calibri" w:eastAsia="Calibri" w:hAnsi="Calibri"/>
          <w:b/>
          <w:bCs/>
          <w:color w:val="1F2A3D"/>
          <w:sz w:val="26"/>
          <w:szCs w:val="26"/>
        </w:rPr>
        <w:t xml:space="preserve">1. Architecture Overview</w:t>
      </w:r>
    </w:p>
    <w:p>
      <w:pPr>
        <w:spacing w:after="130" w:line="268"/>
      </w:pPr>
      <w:r>
        <w:rPr>
          <w:rFonts w:ascii="Calibri" w:cs="Calibri" w:eastAsia="Calibri" w:hAnsi="Calibri"/>
          <w:sz w:val="20"/>
          <w:szCs w:val="20"/>
        </w:rPr>
        <w:t xml:space="preserve">The Volunteer Shift Scheduler follows a three-layer architecture: a client-side single-page application, a managed backend-as-a-service providing authentication and data access, and a static hosting/CDN layer. No custom server or API layer is hand-built — Supabase's auto-generated PostgREST API and Row-Level Security (RLS) policies serve as the application's data-access and authorisation layer directly.</w:t>
      </w:r>
    </w:p>
    <w:p>
      <w:pPr>
        <w:spacing w:after="130" w:line="268"/>
      </w:pPr>
      <w:r>
        <w:rPr>
          <w:rFonts w:ascii="Calibri" w:cs="Calibri" w:eastAsia="Calibri" w:hAnsi="Calibri"/>
          <w:sz w:val="20"/>
          <w:szCs w:val="20"/>
        </w:rPr>
        <w:t xml:space="preserve">The browser communicates with Supabase over HTTPS using the supabase-js client library: authentication requests go through Supabase Auth, which issues a JWT session token, and all subsequent data queries carry that token so RLS policies can evaluate the caller's role before returning or modifying any row. The React bundle itself is served from Vercel's CDN, with deployment triggered automatically on every push to the GitHub repository.</w:t>
      </w:r>
    </w:p>
    <w:p>
      <w:pPr>
        <w:spacing w:after="180" w:before="60"/>
      </w:pPr>
      <w:r>
        <w:rPr>
          <w:rFonts w:ascii="Calibri" w:cs="Calibri" w:eastAsia="Calibri" w:hAnsi="Calibri"/>
          <w:i/>
          <w:iCs/>
          <w:color w:val="6B7280"/>
          <w:sz w:val="17"/>
          <w:szCs w:val="17"/>
        </w:rPr>
        <w:t xml:space="preserve">See the accompanying System Architecture diagram (rendered separately) for the full request flow between Browser, Vercel, and Supabase.</w:t>
      </w:r>
    </w:p>
    <w:p>
      <w:pPr>
        <w:pStyle w:val="Heading1"/>
        <w:pBdr>
          <w:bottom w:val="single" w:color="2F5D62" w:sz="6" w:space="4"/>
        </w:pBdr>
        <w:spacing w:after="130" w:before="300"/>
      </w:pPr>
      <w:r>
        <w:rPr>
          <w:rFonts w:ascii="Calibri" w:cs="Calibri" w:eastAsia="Calibri" w:hAnsi="Calibri"/>
          <w:b/>
          <w:bCs/>
          <w:color w:val="1F2A3D"/>
          <w:sz w:val="26"/>
          <w:szCs w:val="26"/>
        </w:rPr>
        <w:t xml:space="preserve">2. Layer Responsibilities</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240"/>
      </w:tblGrid>
      <w:tr>
        <w:tc>
          <w:tcPr>
            <w:tcW w:type="dxa" w:w="2100"/>
            <w:tcBorders>
              <w:top w:val="single" w:color="CBD2D9" w:sz="4"/>
              <w:left w:val="single" w:color="CBD2D9" w:sz="4"/>
              <w:bottom w:val="single" w:color="CBD2D9" w:sz="4"/>
              <w:right w:val="single" w:color="CBD2D9" w:sz="4"/>
            </w:tcBorders>
            <w:shd w:fill="1F2A3D" w:color="auto"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Layer</w:t>
            </w:r>
          </w:p>
        </w:tc>
        <w:tc>
          <w:tcPr>
            <w:tcW w:type="dxa" w:w="4600"/>
            <w:tcBorders>
              <w:top w:val="single" w:color="CBD2D9" w:sz="4"/>
              <w:left w:val="single" w:color="CBD2D9" w:sz="4"/>
              <w:bottom w:val="single" w:color="CBD2D9" w:sz="4"/>
              <w:right w:val="single" w:color="CBD2D9" w:sz="4"/>
            </w:tcBorders>
            <w:shd w:fill="1F2A3D" w:color="auto"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Responsibility</w:t>
            </w:r>
          </w:p>
        </w:tc>
        <w:tc>
          <w:tcPr>
            <w:tcW w:type="dxa" w:w="2240"/>
            <w:tcBorders>
              <w:top w:val="single" w:color="CBD2D9" w:sz="4"/>
              <w:left w:val="single" w:color="CBD2D9" w:sz="4"/>
              <w:bottom w:val="single" w:color="CBD2D9" w:sz="4"/>
              <w:right w:val="single" w:color="CBD2D9" w:sz="4"/>
            </w:tcBorders>
            <w:shd w:fill="1F2A3D" w:color="auto"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Technology</w:t>
            </w:r>
          </w:p>
        </w:tc>
      </w:tr>
      <w:tr>
        <w:tc>
          <w:tcPr>
            <w:tcW w:type="dxa" w:w="21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Presentation</w:t>
            </w:r>
          </w:p>
        </w:tc>
        <w:tc>
          <w:tcPr>
            <w:tcW w:type="dxa" w:w="46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Renders UI, handles client-side routing and form validation, calls the Supabase client SDK</w:t>
            </w:r>
          </w:p>
        </w:tc>
        <w:tc>
          <w:tcPr>
            <w:tcW w:type="dxa" w:w="224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React 18, Vite, Tailwind CSS</w:t>
            </w:r>
          </w:p>
        </w:tc>
      </w:tr>
      <w:tr>
        <w:tc>
          <w:tcPr>
            <w:tcW w:type="dxa" w:w="210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API / Data Access</w:t>
            </w:r>
          </w:p>
        </w:tc>
        <w:tc>
          <w:tcPr>
            <w:tcW w:type="dxa" w:w="460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Auto-generated REST and realtime endpoints; validates the caller's auth token on every request</w:t>
            </w:r>
          </w:p>
        </w:tc>
        <w:tc>
          <w:tcPr>
            <w:tcW w:type="dxa" w:w="224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Supabase client library (supabase-js), PostgREST</w:t>
            </w:r>
          </w:p>
        </w:tc>
      </w:tr>
      <w:tr>
        <w:tc>
          <w:tcPr>
            <w:tcW w:type="dxa" w:w="21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Business Logic &amp; Security</w:t>
            </w:r>
          </w:p>
        </w:tc>
        <w:tc>
          <w:tcPr>
            <w:tcW w:type="dxa" w:w="46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Enforces role-based access, shift-capacity limits, and sign-up overlap rules at the database level</w:t>
            </w:r>
          </w:p>
        </w:tc>
        <w:tc>
          <w:tcPr>
            <w:tcW w:type="dxa" w:w="224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Supabase Row-Level Security, Postgres constraints/functions</w:t>
            </w:r>
          </w:p>
        </w:tc>
      </w:tr>
      <w:tr>
        <w:tc>
          <w:tcPr>
            <w:tcW w:type="dxa" w:w="210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Data Persistence</w:t>
            </w:r>
          </w:p>
        </w:tc>
        <w:tc>
          <w:tcPr>
            <w:tcW w:type="dxa" w:w="460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Stores profiles, shifts, and sign-ups; enforces relational integrity via foreign keys</w:t>
            </w:r>
          </w:p>
        </w:tc>
        <w:tc>
          <w:tcPr>
            <w:tcW w:type="dxa" w:w="224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Supabase-managed PostgreSQL</w:t>
            </w:r>
          </w:p>
        </w:tc>
      </w:tr>
      <w:tr>
        <w:tc>
          <w:tcPr>
            <w:tcW w:type="dxa" w:w="21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Hosting &amp; Delivery</w:t>
            </w:r>
          </w:p>
        </w:tc>
        <w:tc>
          <w:tcPr>
            <w:tcW w:type="dxa" w:w="46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Serves the built SPA bundle globally via CDN; rebuilds and redeploys automatically on git push</w:t>
            </w:r>
          </w:p>
        </w:tc>
        <w:tc>
          <w:tcPr>
            <w:tcW w:type="dxa" w:w="224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Vercel</w:t>
            </w:r>
          </w:p>
        </w:tc>
      </w:tr>
    </w:tbl>
    <w:p>
      <w:pPr>
        <w:pStyle w:val="Heading1"/>
        <w:pBdr>
          <w:bottom w:val="single" w:color="2F5D62" w:sz="6" w:space="4"/>
        </w:pBdr>
        <w:spacing w:after="130" w:before="300"/>
      </w:pPr>
      <w:r>
        <w:rPr>
          <w:rFonts w:ascii="Calibri" w:cs="Calibri" w:eastAsia="Calibri" w:hAnsi="Calibri"/>
          <w:b/>
          <w:bCs/>
          <w:color w:val="1F2A3D"/>
          <w:sz w:val="26"/>
          <w:szCs w:val="26"/>
        </w:rPr>
        <w:t xml:space="preserve">3. Technology Stack and Justification</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840"/>
      </w:tblGrid>
      <w:tr>
        <w:tc>
          <w:tcPr>
            <w:tcW w:type="dxa" w:w="1700"/>
            <w:tcBorders>
              <w:top w:val="single" w:color="CBD2D9" w:sz="4"/>
              <w:left w:val="single" w:color="CBD2D9" w:sz="4"/>
              <w:bottom w:val="single" w:color="CBD2D9" w:sz="4"/>
              <w:right w:val="single" w:color="CBD2D9" w:sz="4"/>
            </w:tcBorders>
            <w:shd w:fill="1F2A3D" w:color="auto"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Component</w:t>
            </w:r>
          </w:p>
        </w:tc>
        <w:tc>
          <w:tcPr>
            <w:tcW w:type="dxa" w:w="2400"/>
            <w:tcBorders>
              <w:top w:val="single" w:color="CBD2D9" w:sz="4"/>
              <w:left w:val="single" w:color="CBD2D9" w:sz="4"/>
              <w:bottom w:val="single" w:color="CBD2D9" w:sz="4"/>
              <w:right w:val="single" w:color="CBD2D9" w:sz="4"/>
            </w:tcBorders>
            <w:shd w:fill="1F2A3D" w:color="auto"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Choice</w:t>
            </w:r>
          </w:p>
        </w:tc>
        <w:tc>
          <w:tcPr>
            <w:tcW w:type="dxa" w:w="4840"/>
            <w:tcBorders>
              <w:top w:val="single" w:color="CBD2D9" w:sz="4"/>
              <w:left w:val="single" w:color="CBD2D9" w:sz="4"/>
              <w:bottom w:val="single" w:color="CBD2D9" w:sz="4"/>
              <w:right w:val="single" w:color="CBD2D9" w:sz="4"/>
            </w:tcBorders>
            <w:shd w:fill="1F2A3D" w:color="auto"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Justification</w:t>
            </w:r>
          </w:p>
        </w:tc>
      </w:tr>
      <w:tr>
        <w:tc>
          <w:tcPr>
            <w:tcW w:type="dxa" w:w="17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Frontend framework</w:t>
            </w:r>
          </w:p>
        </w:tc>
        <w:tc>
          <w:tcPr>
            <w:tcW w:type="dxa" w:w="24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React 18 + Vite</w:t>
            </w:r>
          </w:p>
        </w:tc>
        <w:tc>
          <w:tcPr>
            <w:tcW w:type="dxa" w:w="484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Fast dev server and hot reload suit the time-boxed build; prior hands-on familiarity removes ramp-up time</w:t>
            </w:r>
          </w:p>
        </w:tc>
      </w:tr>
      <w:tr>
        <w:tc>
          <w:tcPr>
            <w:tcW w:type="dxa" w:w="170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Styling</w:t>
            </w:r>
          </w:p>
        </w:tc>
        <w:tc>
          <w:tcPr>
            <w:tcW w:type="dxa" w:w="240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Tailwind CSS</w:t>
            </w:r>
          </w:p>
        </w:tc>
        <w:tc>
          <w:tcPr>
            <w:tcW w:type="dxa" w:w="484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Utility-first classes allow a responsive interface to be built directly in markup, without a separate CSS architecture</w:t>
            </w:r>
          </w:p>
        </w:tc>
      </w:tr>
      <w:tr>
        <w:tc>
          <w:tcPr>
            <w:tcW w:type="dxa" w:w="17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Backend / Database</w:t>
            </w:r>
          </w:p>
        </w:tc>
        <w:tc>
          <w:tcPr>
            <w:tcW w:type="dxa" w:w="24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Supabase (PostgreSQL)</w:t>
            </w:r>
          </w:p>
        </w:tc>
        <w:tc>
          <w:tcPr>
            <w:tcW w:type="dxa" w:w="484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Managed Postgres with built-in Auth and RLS eliminates the need to hand-build an API layer or session system, which is the single largest time saving in the stack</w:t>
            </w:r>
          </w:p>
        </w:tc>
      </w:tr>
      <w:tr>
        <w:tc>
          <w:tcPr>
            <w:tcW w:type="dxa" w:w="170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Authentication</w:t>
            </w:r>
          </w:p>
        </w:tc>
        <w:tc>
          <w:tcPr>
            <w:tcW w:type="dxa" w:w="240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Supabase Auth (email/password)</w:t>
            </w:r>
          </w:p>
        </w:tc>
        <w:tc>
          <w:tcPr>
            <w:tcW w:type="dxa" w:w="484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Integrates directly with RLS policies for role enforcement; avoids custom password handling or session logic</w:t>
            </w:r>
          </w:p>
        </w:tc>
      </w:tr>
      <w:tr>
        <w:tc>
          <w:tcPr>
            <w:tcW w:type="dxa" w:w="17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Hosting</w:t>
            </w:r>
          </w:p>
        </w:tc>
        <w:tc>
          <w:tcPr>
            <w:tcW w:type="dxa" w:w="240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Vercel</w:t>
            </w:r>
          </w:p>
        </w:tc>
        <w:tc>
          <w:tcPr>
            <w:tcW w:type="dxa" w:w="4840"/>
            <w:tcBorders>
              <w:top w:val="single" w:color="CBD2D9" w:sz="4"/>
              <w:left w:val="single" w:color="CBD2D9" w:sz="4"/>
              <w:bottom w:val="single" w:color="CBD2D9" w:sz="4"/>
              <w:right w:val="single" w:color="CBD2D9" w:sz="4"/>
            </w:tcBorders>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Zero-config deployment from GitHub with automatic HTTPS, satisfying the deployment requirement with minimal setup time</w:t>
            </w:r>
          </w:p>
        </w:tc>
      </w:tr>
      <w:tr>
        <w:tc>
          <w:tcPr>
            <w:tcW w:type="dxa" w:w="170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Version control</w:t>
            </w:r>
          </w:p>
        </w:tc>
        <w:tc>
          <w:tcPr>
            <w:tcW w:type="dxa" w:w="240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GitHub</w:t>
            </w:r>
          </w:p>
        </w:tc>
        <w:tc>
          <w:tcPr>
            <w:tcW w:type="dxa" w:w="4840"/>
            <w:tcBorders>
              <w:top w:val="single" w:color="CBD2D9" w:sz="4"/>
              <w:left w:val="single" w:color="CBD2D9" w:sz="4"/>
              <w:bottom w:val="single" w:color="CBD2D9" w:sz="4"/>
              <w:right w:val="single" w:color="CBD2D9" w:sz="4"/>
            </w:tcBorders>
            <w:shd w:fill="EFF3F2" w:color="auto"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8"/>
                <w:szCs w:val="18"/>
              </w:rPr>
              <w:t xml:space="preserve">Required for the source-code repository submission; commit history provides evidence of iterative development</w:t>
            </w:r>
          </w:p>
        </w:tc>
      </w:tr>
    </w:tbl>
    <w:p>
      <w:pPr>
        <w:pStyle w:val="Heading1"/>
        <w:pBdr>
          <w:bottom w:val="single" w:color="2F5D62" w:sz="6" w:space="4"/>
        </w:pBdr>
        <w:spacing w:after="130" w:before="300"/>
      </w:pPr>
      <w:r>
        <w:rPr>
          <w:rFonts w:ascii="Calibri" w:cs="Calibri" w:eastAsia="Calibri" w:hAnsi="Calibri"/>
          <w:b/>
          <w:bCs/>
          <w:color w:val="1F2A3D"/>
          <w:sz w:val="26"/>
          <w:szCs w:val="26"/>
        </w:rPr>
        <w:t xml:space="preserve">4. Data and Security Architecture</w:t>
      </w:r>
    </w:p>
    <w:p>
      <w:pPr>
        <w:spacing w:after="130" w:line="268"/>
      </w:pPr>
      <w:r>
        <w:rPr>
          <w:rFonts w:ascii="Calibri" w:cs="Calibri" w:eastAsia="Calibri" w:hAnsi="Calibri"/>
          <w:sz w:val="20"/>
          <w:szCs w:val="20"/>
        </w:rPr>
        <w:t xml:space="preserve">Access control is enforced at the database level, not solely in the client, satisfying NFR-02 in the SRS. Two RLS policy groups govern the three tables:</w:t>
      </w:r>
    </w:p>
    <w:p>
      <w:pPr>
        <w:pStyle w:val="ListParagraph"/>
        <w:numPr>
          <w:ilvl w:val="0"/>
          <w:numId w:val="1"/>
        </w:numPr>
        <w:spacing w:after="50" w:line="256"/>
      </w:pPr>
      <w:r>
        <w:rPr>
          <w:rFonts w:ascii="Calibri" w:cs="Calibri" w:eastAsia="Calibri" w:hAnsi="Calibri"/>
          <w:sz w:val="20"/>
          <w:szCs w:val="20"/>
        </w:rPr>
        <w:t xml:space="preserve">Volunteers may read all shifts, but may only read, insert, or cancel rows in signups where volunteer_id matches their own authenticated user ID.</w:t>
      </w:r>
    </w:p>
    <w:p>
      <w:pPr>
        <w:pStyle w:val="ListParagraph"/>
        <w:numPr>
          <w:ilvl w:val="0"/>
          <w:numId w:val="1"/>
        </w:numPr>
        <w:spacing w:after="50" w:line="256"/>
      </w:pPr>
      <w:r>
        <w:rPr>
          <w:rFonts w:ascii="Calibri" w:cs="Calibri" w:eastAsia="Calibri" w:hAnsi="Calibri"/>
          <w:sz w:val="20"/>
          <w:szCs w:val="20"/>
        </w:rPr>
        <w:t xml:space="preserve">Coordinators (identified via the role column on profiles) may create and edit rows in shifts, and may read and update all rows in signups, to support roster management and attendance marking.</w:t>
      </w:r>
    </w:p>
    <w:p>
      <w:pPr>
        <w:spacing w:after="130" w:line="268"/>
      </w:pPr>
      <w:r>
        <w:rPr>
          <w:rFonts w:ascii="Calibri" w:cs="Calibri" w:eastAsia="Calibri" w:hAnsi="Calibri"/>
          <w:sz w:val="20"/>
          <w:szCs w:val="20"/>
        </w:rPr>
        <w:t xml:space="preserve">Because these rules live in Postgres policies rather than in application code, a malicious or buggy client request cannot bypass them — a deliberate mitigation against the class of vulnerability where authorisation is checked only in the UI.</w:t>
      </w:r>
    </w:p>
    <w:p>
      <w:pPr>
        <w:pStyle w:val="Heading1"/>
        <w:pBdr>
          <w:bottom w:val="single" w:color="2F5D62" w:sz="6" w:space="4"/>
        </w:pBdr>
        <w:spacing w:after="130" w:before="300"/>
      </w:pPr>
      <w:r>
        <w:rPr>
          <w:rFonts w:ascii="Calibri" w:cs="Calibri" w:eastAsia="Calibri" w:hAnsi="Calibri"/>
          <w:b/>
          <w:bCs/>
          <w:color w:val="1F2A3D"/>
          <w:sz w:val="26"/>
          <w:szCs w:val="26"/>
        </w:rPr>
        <w:t xml:space="preserve">5. Deployment Topology</w:t>
      </w:r>
    </w:p>
    <w:p>
      <w:pPr>
        <w:spacing w:after="130" w:line="268"/>
      </w:pPr>
      <w:r>
        <w:rPr>
          <w:rFonts w:ascii="Calibri" w:cs="Calibri" w:eastAsia="Calibri" w:hAnsi="Calibri"/>
          <w:sz w:val="20"/>
          <w:szCs w:val="20"/>
        </w:rPr>
        <w:t xml:space="preserve">The GitHub repository is connected to a Vercel project; every push to the main branch triggers an automatic build and deployment, with Supabase connection details (project URL and anonymous key) supplied as Vercel environment variables rather than committed to source control. Supabase itself is a separately hosted managed service — its database, Auth, and RLS policies are provisioned and version-controlled through SQL migration files kept in the same repository, so the schema can be reproduced from a clean Supabase project if needed.</w:t>
      </w:r>
    </w:p>
    <w:p>
      <w:pPr>
        <w:pStyle w:val="Heading1"/>
        <w:pBdr>
          <w:bottom w:val="single" w:color="2F5D62" w:sz="6" w:space="4"/>
        </w:pBdr>
        <w:spacing w:after="130" w:before="300"/>
      </w:pPr>
      <w:r>
        <w:rPr>
          <w:rFonts w:ascii="Calibri" w:cs="Calibri" w:eastAsia="Calibri" w:hAnsi="Calibri"/>
          <w:b/>
          <w:bCs/>
          <w:color w:val="1F2A3D"/>
          <w:sz w:val="26"/>
          <w:szCs w:val="26"/>
        </w:rPr>
        <w:t xml:space="preserve">6. Mapping to Design Artefacts</w:t>
      </w:r>
    </w:p>
    <w:p>
      <w:pPr>
        <w:spacing w:after="130" w:line="268"/>
      </w:pPr>
      <w:r>
        <w:rPr>
          <w:rFonts w:ascii="Calibri" w:cs="Calibri" w:eastAsia="Calibri" w:hAnsi="Calibri"/>
          <w:sz w:val="20"/>
          <w:szCs w:val="20"/>
        </w:rPr>
        <w:t xml:space="preserve">This architecture directly supports the System Design artefacts produced separately: the use case diagram's eight Must-have use cases are each implemented as Presentation-layer components calling the Supabase client; the ER diagram's three entities (profiles, shifts, signups) are the physical schema in the Data Persistence layer; and the sign-up sequence diagram traces the exact Browser-to-Supabase request path described in Section 1, including the capacity and overlap checks enforced jointly by client-side validation and RLS policy.</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2026-08-13T19:09:21.649Z</dcterms:created>
  <dcterms:modified xsi:type="dcterms:W3CDTF">2026-08-13T19:09:21.650Z</dcterms:modified>
</cp:coreProperties>
</file>

<file path=docProps/custom.xml><?xml version="1.0" encoding="utf-8"?>
<Properties xmlns="http://schemas.openxmlformats.org/officeDocument/2006/custom-properties" xmlns:vt="http://schemas.openxmlformats.org/officeDocument/2006/docPropsVTypes"/>
</file>