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UNIVERSITY OF GHANA — DEPARTMENT OF COMPUTER SCIENCE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CSCD602: Advanced Software Engineering — Individual Project-Based Examination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2A3D"/>
          <w:sz w:val="40"/>
          <w:szCs w:val="40"/>
        </w:rPr>
        <w:t xml:space="preserve">Software Effort Estimation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2F5D62"/>
          <w:sz w:val="26"/>
          <w:szCs w:val="26"/>
        </w:rPr>
        <w:t xml:space="preserve">Volunteer Shift Scheduler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40"/>
      </w:tblGrid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Student Name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Samuel Owusu Ampadu</w:t>
            </w:r>
          </w:p>
        </w:tc>
      </w:tr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Student ID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22424245</w:t>
            </w:r>
          </w:p>
        </w:tc>
      </w:tr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Technique Applied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 Case Points (UCP)</w:t>
            </w:r>
          </w:p>
        </w:tc>
      </w:tr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 August 2026</w:t>
            </w:r>
          </w:p>
        </w:tc>
      </w:tr>
    </w:tbl>
    <w:p>
      <w:pPr>
        <w:spacing w:after="200"/>
      </w:pPr>
      <w:r>
        <w:br w:type="page"/>
      </w:r>
    </w:p>
    <w:p>
      <w:pPr>
        <w:pStyle w:val="Heading1"/>
        <w:pBdr>
          <w:bottom w:val="single" w:color="2F5D62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1. Technique Selection and Justification</w:t>
      </w:r>
    </w:p>
    <w:p>
      <w:pPr>
        <w:spacing w:after="120" w:line="268"/>
      </w:pPr>
      <w:r>
        <w:rPr>
          <w:rFonts w:ascii="Calibri" w:cs="Calibri" w:eastAsia="Calibri" w:hAnsi="Calibri"/>
          <w:sz w:val="19"/>
          <w:szCs w:val="19"/>
        </w:rPr>
        <w:t xml:space="preserve">Use Case Points (UCP) was selected as the effort estimation technique for this project, in preference to COCOMO II, Function Point Analysis, and Story Points, for the following reasons: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UCP estimates directly from use cases and actors, which the SRS already defines — no additional artefact is needed before estimation can begin.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COCOMO II requires a KLOC (lines-of-code) size proxy, which cannot be honestly estimated before any code exists; UCP avoids this circularity.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Function Point Analysis requires classifying every input, output, and file against 14 General System Characteristics — a heavier process than the exam's Phase 1 time budget (Hours 0–4) justifies.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Story Points require a team velocity baseline from prior sprints, which does not exist for a solo, one-off 48-hour build.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UCP is specifically calibrated for object-oriented, GUI-driven systems, matching this project's React/Supabase architecture and actor-based use cases.</w:t>
      </w:r>
    </w:p>
    <w:p>
      <w:pPr>
        <w:pStyle w:val="Heading1"/>
        <w:pBdr>
          <w:bottom w:val="single" w:color="2F5D62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2. Use Case Points Calculation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F5D62"/>
          <w:sz w:val="21"/>
          <w:szCs w:val="21"/>
        </w:rPr>
        <w:t xml:space="preserve">2.1 Unadjusted Use Case Weight (UUCW)</w:t>
      </w:r>
    </w:p>
    <w:p>
      <w:pPr>
        <w:spacing w:after="120" w:line="268"/>
      </w:pPr>
      <w:r>
        <w:rPr>
          <w:rFonts w:ascii="Calibri" w:cs="Calibri" w:eastAsia="Calibri" w:hAnsi="Calibri"/>
          <w:sz w:val="19"/>
          <w:szCs w:val="19"/>
        </w:rPr>
        <w:t xml:space="preserve">Only Must-have use cases (see SRS Section 3) are scored, since Should/Could items are not guaranteed within scope.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540"/>
      </w:tblGrid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Complexity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</w:tr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Register / Log In (Volunteer)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Simple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Log In (Coordinator)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Simple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Create Shift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Average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 Open Shifts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Simple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Sign Up for Shift (capacity + overlap check)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Complex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Cancel Sign-Up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Simple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 Roster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Average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Mark Attendance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Simple</w:t>
            </w:r>
          </w:p>
        </w:tc>
        <w:tc>
          <w:tcPr>
            <w:tcW w:type="dxa" w:w="25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</w:tr>
    </w:tbl>
    <w:p>
      <w:pPr>
        <w:spacing w:after="160" w:before="100"/>
      </w:pPr>
      <w:r>
        <w:rPr>
          <w:rFonts w:ascii="Calibri" w:cs="Calibri" w:eastAsia="Calibri" w:hAnsi="Calibri"/>
          <w:b/>
          <w:bCs/>
          <w:color w:val="1F2A3D"/>
          <w:sz w:val="19"/>
          <w:szCs w:val="19"/>
        </w:rPr>
        <w:t xml:space="preserve">UUCW = 5+5+10+5+15+5+10+5 = 60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F5D62"/>
          <w:sz w:val="21"/>
          <w:szCs w:val="21"/>
        </w:rPr>
        <w:t xml:space="preserve">2.2 Unadjusted Actor Weight (UAW)</w:t>
      </w:r>
    </w:p>
    <w:p>
      <w:pPr>
        <w:spacing w:after="120" w:line="268"/>
      </w:pPr>
      <w:r>
        <w:rPr>
          <w:rFonts w:ascii="Calibri" w:cs="Calibri" w:eastAsia="Calibri" w:hAnsi="Calibri"/>
          <w:sz w:val="19"/>
          <w:szCs w:val="19"/>
        </w:rPr>
        <w:t xml:space="preserve">Both actors (Volunteer, Coordinator) interact through a GUI and are classified as Complex (weight 3 each).</w:t>
      </w:r>
    </w:p>
    <w:p>
      <w:pPr>
        <w:spacing w:after="140" w:before="80"/>
        <w:ind w:left="300"/>
      </w:pPr>
      <w:r>
        <w:rPr>
          <w:rFonts w:ascii="Consolas" w:cs="Consolas" w:eastAsia="Consolas" w:hAnsi="Consolas"/>
          <w:i/>
          <w:iCs/>
          <w:color w:val="1F2A3D"/>
          <w:sz w:val="19"/>
          <w:szCs w:val="19"/>
        </w:rPr>
        <w:t xml:space="preserve">UAW = 2 actors × 3 = 6      UUCP = UUCW + UAW = 60 + 6 = 66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F5D62"/>
          <w:sz w:val="21"/>
          <w:szCs w:val="21"/>
        </w:rPr>
        <w:t xml:space="preserve">2.3 Technical Complexity Factor (TCF)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100"/>
        <w:gridCol w:w="1100"/>
        <w:gridCol w:w="1340"/>
      </w:tblGrid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Factor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Rating (0–5)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TF1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Distributed system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TF2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Response time / performance objectives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TF3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End-user efficiency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TF4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Complex internal processing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TF5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Code reusability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TF6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Easy to install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TF7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Easy to use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TF8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Portability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TF9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Easy to change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TF10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Concurrent use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TF11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Security features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TF12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Third-party access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TF13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Special user training required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</w:tr>
    </w:tbl>
    <w:p>
      <w:pPr>
        <w:spacing w:after="140" w:before="80"/>
        <w:ind w:left="300"/>
      </w:pPr>
      <w:r>
        <w:rPr>
          <w:rFonts w:ascii="Consolas" w:cs="Consolas" w:eastAsia="Consolas" w:hAnsi="Consolas"/>
          <w:i/>
          <w:iCs/>
          <w:color w:val="1F2A3D"/>
          <w:sz w:val="19"/>
          <w:szCs w:val="19"/>
        </w:rPr>
        <w:t xml:space="preserve">ΣTFactor = 33.5      TCF = 0.6 + (0.01 × 33.5) = 0.935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F5D62"/>
          <w:sz w:val="21"/>
          <w:szCs w:val="21"/>
        </w:rPr>
        <w:t xml:space="preserve">2.4 Environmental Factor (EF)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100"/>
        <w:gridCol w:w="1100"/>
        <w:gridCol w:w="1340"/>
      </w:tblGrid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Factor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Rating (0–5)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EF1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Familiarity with UCP / use-case modelling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1.5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4.5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EF2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Application (domain) experience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EF3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Object-oriented experience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EF4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Lead analyst capability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EF5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Motivation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EF6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Stable requirements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EF7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Part-time staff (negative factor)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-1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EF8</w:t>
            </w:r>
          </w:p>
        </w:tc>
        <w:tc>
          <w:tcPr>
            <w:tcW w:type="dxa" w:w="4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Difficult programming language (negative factor)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-1</w:t>
            </w:r>
          </w:p>
        </w:tc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-1</w:t>
            </w:r>
          </w:p>
        </w:tc>
      </w:tr>
    </w:tbl>
    <w:p>
      <w:pPr>
        <w:spacing w:after="140" w:before="80"/>
        <w:ind w:left="300"/>
      </w:pPr>
      <w:r>
        <w:rPr>
          <w:rFonts w:ascii="Consolas" w:cs="Consolas" w:eastAsia="Consolas" w:hAnsi="Consolas"/>
          <w:i/>
          <w:iCs/>
          <w:color w:val="1F2A3D"/>
          <w:sz w:val="19"/>
          <w:szCs w:val="19"/>
        </w:rPr>
        <w:t xml:space="preserve">ΣEFactor = 22.5      EF = 1.4 − (0.03 × 22.5) = 0.725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F5D62"/>
          <w:sz w:val="21"/>
          <w:szCs w:val="21"/>
        </w:rPr>
        <w:t xml:space="preserve">2.5 Adjusted Use Case Points</w:t>
      </w:r>
    </w:p>
    <w:p>
      <w:pPr>
        <w:spacing w:after="140" w:before="80"/>
        <w:ind w:left="300"/>
      </w:pPr>
      <w:r>
        <w:rPr>
          <w:rFonts w:ascii="Consolas" w:cs="Consolas" w:eastAsia="Consolas" w:hAnsi="Consolas"/>
          <w:i/>
          <w:iCs/>
          <w:color w:val="1F2A3D"/>
          <w:sz w:val="19"/>
          <w:szCs w:val="19"/>
        </w:rPr>
        <w:t xml:space="preserve">Adjusted UCP = UUCP × TCF × EF = 66 × 0.935 × 0.725 ≈ 45 UCP</w:t>
      </w:r>
    </w:p>
    <w:p>
      <w:pPr>
        <w:pStyle w:val="Heading1"/>
        <w:pBdr>
          <w:bottom w:val="single" w:color="2F5D62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3. Theoretical Effort vs. the 48-Hour Time-Box</w:t>
      </w:r>
    </w:p>
    <w:p>
      <w:pPr>
        <w:spacing w:after="120" w:line="268"/>
      </w:pPr>
      <w:r>
        <w:rPr>
          <w:rFonts w:ascii="Calibri" w:cs="Calibri" w:eastAsia="Calibri" w:hAnsi="Calibri"/>
          <w:sz w:val="19"/>
          <w:szCs w:val="19"/>
        </w:rPr>
        <w:t xml:space="preserve">At the standard industry ratio of 20 person-hours per UCP, 45 Adjusted UCP implies approximately 900 person-hours of effort — a figure calibrated for professional software delivery, including formal QA cycles, team coordination overhead, and full non-functional rigor.</w:t>
      </w:r>
    </w:p>
    <w:p>
      <w:pPr>
        <w:spacing w:after="120" w:line="268"/>
      </w:pPr>
      <w:r>
        <w:rPr>
          <w:rFonts w:ascii="Calibri" w:cs="Calibri" w:eastAsia="Calibri" w:hAnsi="Calibri"/>
          <w:sz w:val="19"/>
          <w:szCs w:val="19"/>
        </w:rPr>
        <w:t xml:space="preserve">This is obviously infeasible within 48 hours, and that gap is the central input to scoping this project: it is the quantitative justification for building only the Must-have requirements and explicitly deferring every Should- and Could-have item (see Section 6, Influence on Scope).</w:t>
      </w:r>
    </w:p>
    <w:p>
      <w:pPr>
        <w:pStyle w:val="Heading1"/>
        <w:pBdr>
          <w:bottom w:val="single" w:color="2F5D62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4. Practical Implementation Budget</w:t>
      </w:r>
    </w:p>
    <w:p>
      <w:pPr>
        <w:spacing w:after="120" w:line="268"/>
      </w:pPr>
      <w:r>
        <w:rPr>
          <w:rFonts w:ascii="Calibri" w:cs="Calibri" w:eastAsia="Calibri" w:hAnsi="Calibri"/>
          <w:sz w:val="19"/>
          <w:szCs w:val="19"/>
        </w:rPr>
        <w:t xml:space="preserve">The 20 hours/UCP industry ratio is not used directly for the build plan, because it embeds professional-process overhead (formal documentation cycles, team communication, extended QA) that does not apply to a solo developer already fluent in the chosen stack. Instead, each Must-have use case is budgeted individually by expert judgement, cross-checked against its UCP weight:</w:t>
      </w:r>
    </w:p>
    <w:tbl>
      <w:tblPr>
        <w:tblW w:type="dxa" w:w="7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0"/>
        <w:gridCol w:w="1600"/>
        <w:gridCol w:w="1500"/>
      </w:tblGrid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UCP Weight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Hours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Register / Log In (Volunteer)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Log In (Coordinator)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Create Shift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 Open Shifts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Sign Up for Shift (capacity + overlap check)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5.0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Cancel Sign-Up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 Roster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Mark Attendance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Project scaffolding, Supabase wiring, base styling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4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DCE7E5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DCE7E5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DCE7E5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18.0</w:t>
            </w:r>
          </w:p>
        </w:tc>
      </w:tr>
    </w:tbl>
    <w:p>
      <w:pPr>
        <w:pStyle w:val="Heading1"/>
        <w:pBdr>
          <w:bottom w:val="single" w:color="2F5D62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5. Estimated Development Duration</w:t>
      </w:r>
    </w:p>
    <w:p>
      <w:pPr>
        <w:spacing w:after="120" w:line="268"/>
      </w:pPr>
      <w:r>
        <w:rPr>
          <w:rFonts w:ascii="Calibri" w:cs="Calibri" w:eastAsia="Calibri" w:hAnsi="Calibri"/>
          <w:sz w:val="19"/>
          <w:szCs w:val="19"/>
        </w:rPr>
        <w:t xml:space="preserve">The 18-hour implementation budget from Section 4 is allocated within the wider 48-hour lifecycle as follows:</w:t>
      </w:r>
    </w:p>
    <w:tbl>
      <w:tblPr>
        <w:tblW w:type="dxa" w:w="7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300"/>
        <w:gridCol w:w="1440"/>
      </w:tblGrid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&amp; Requirements</w:t>
            </w:r>
          </w:p>
        </w:tc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Hours 0–4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Analysis &amp; Design</w:t>
            </w:r>
          </w:p>
        </w:tc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Hours 4–8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Hours 8–26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Testing &amp; Refinement</w:t>
            </w:r>
          </w:p>
        </w:tc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Hours 26–32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Hours 32–36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Documentation &amp; Submission</w:t>
            </w:r>
          </w:p>
        </w:tc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Hours 36–48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DCE7E5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DCE7E5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DCE7E5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DCE7E5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48</w:t>
            </w:r>
          </w:p>
        </w:tc>
      </w:tr>
    </w:tbl>
    <w:p>
      <w:pPr>
        <w:pStyle w:val="Heading1"/>
        <w:pBdr>
          <w:bottom w:val="single" w:color="2F5D62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6. Assumptions, Constraints, and Influence on Scope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F5D62"/>
          <w:sz w:val="21"/>
          <w:szCs w:val="21"/>
        </w:rPr>
        <w:t xml:space="preserve">6.1 Assumptions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The developer's existing familiarity with React, Supabase, and Vercel (from prior coursework) is representative of actual delivery speed.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No significant tooling, environment, or account-setup failures occur during the 48-hour window.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Requirements, once locked at the end of Phase 1, remain stable for the remainder of the build.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F5D62"/>
          <w:sz w:val="21"/>
          <w:szCs w:val="21"/>
        </w:rPr>
        <w:t xml:space="preserve">6.2 Constraints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Total elapsed time is fixed at 48 hours, including planning, design, testing, deployment, and documentation — not just coding.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The work must be completed individually, with no code, SRS, or design collaboration with other students.</w:t>
      </w:r>
    </w:p>
    <w:p>
      <w:pPr>
        <w:pStyle w:val="ListParagraph"/>
        <w:numPr>
          <w:ilvl w:val="0"/>
          <w:numId w:val="1"/>
        </w:numPr>
        <w:spacing w:after="50" w:line="256"/>
      </w:pPr>
      <w:r>
        <w:rPr>
          <w:rFonts w:ascii="Calibri" w:cs="Calibri" w:eastAsia="Calibri" w:hAnsi="Calibri"/>
          <w:sz w:val="19"/>
          <w:szCs w:val="19"/>
        </w:rPr>
        <w:t xml:space="preserve">The deployed application must remain accessible for grading after submission.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F5D62"/>
          <w:sz w:val="21"/>
          <w:szCs w:val="21"/>
        </w:rPr>
        <w:t xml:space="preserve">6.3 Influence on Scope</w:t>
      </w:r>
    </w:p>
    <w:p>
      <w:pPr>
        <w:spacing w:after="120" w:line="268"/>
      </w:pPr>
      <w:r>
        <w:rPr>
          <w:rFonts w:ascii="Calibri" w:cs="Calibri" w:eastAsia="Calibri" w:hAnsi="Calibri"/>
          <w:sz w:val="19"/>
          <w:szCs w:val="19"/>
        </w:rPr>
        <w:t xml:space="preserve">The approximately 20x gap between the theoretical UCP-based effort (≈900 hours) and the available time directly drove the MoSCoW prioritisation in the SRS: only the eight Must-have use cases (FR-01–FR-08) are committed to the build plan. Should-have items (FR-09–FR-11) are attempted only if the Section 4 budget is not exceeded, and Could-have items (FR-12–FR-13) are documented as future work rather than built, consistent with the Technical Debt Plan.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2026-08-13T18:49:35.623Z</dcterms:created>
  <dcterms:modified xsi:type="dcterms:W3CDTF">2026-08-13T18:49:35.628Z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