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Blue"/>
      </w:pPr>
      <w:r>
        <w:t>Privacy, Confidentiality, and Customer Data Handling Policy</w:t>
      </w:r>
    </w:p>
    <w:p>
      <w:pPr>
        <w:pStyle w:val="SmallGray"/>
      </w:pPr>
      <w:r>
        <w:t>Portfolio Policy Sample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Owner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Review Cycle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Framework Lens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t>Mid-size SaaS company on AWS handling customer data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Security / GRC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Annual or after major change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SOC 2, NIST CSF 2.0, CIS Controls v8</w:t>
            </w:r>
          </w:p>
        </w:tc>
      </w:tr>
    </w:tbl>
    <w:p/>
    <w:p>
      <w:pPr>
        <w:pStyle w:val="H1Blue"/>
      </w:pPr>
      <w:r>
        <w:t>Purpose</w:t>
      </w:r>
    </w:p>
    <w:p>
      <w:r>
        <w:t>This policy sets expectations for how the company collects, uses, protects, shares, retains, and disposes of customer data and other confidential information in support of a cloud-based SaaS business.</w:t>
      </w:r>
    </w:p>
    <w:p>
      <w:pPr>
        <w:pStyle w:val="H1Blue"/>
      </w:pPr>
      <w:r>
        <w:t>Scope</w:t>
      </w:r>
    </w:p>
    <w:p>
      <w:pPr>
        <w:pStyle w:val="ListBullet"/>
      </w:pPr>
      <w:r>
        <w:t>Customer data, internal confidential information, employee information, and operational records handled in any format.</w:t>
      </w:r>
    </w:p>
    <w:p>
      <w:pPr>
        <w:pStyle w:val="ListBullet"/>
      </w:pPr>
      <w:r>
        <w:t>All personnel and approved third parties who access in-scope data.</w:t>
      </w:r>
    </w:p>
    <w:p>
      <w:pPr>
        <w:pStyle w:val="ListBullet"/>
      </w:pPr>
      <w:r>
        <w:t>Systems and services used to store, process, or transmit that data, including AWS and approved SaaS platforms.</w:t>
      </w:r>
    </w:p>
    <w:p>
      <w:pPr>
        <w:pStyle w:val="H1Blue"/>
      </w:pPr>
      <w:r>
        <w:t>Data Handling Principles</w:t>
      </w:r>
    </w:p>
    <w:p>
      <w:pPr>
        <w:pStyle w:val="ListBullet"/>
      </w:pPr>
      <w:r>
        <w:t>Collect and retain only what is needed for business, contractual, or legal purposes.</w:t>
      </w:r>
    </w:p>
    <w:p>
      <w:pPr>
        <w:pStyle w:val="ListBullet"/>
      </w:pPr>
      <w:r>
        <w:t>Restrict access based on least privilege and job responsibility.</w:t>
      </w:r>
    </w:p>
    <w:p>
      <w:pPr>
        <w:pStyle w:val="ListBullet"/>
      </w:pPr>
      <w:r>
        <w:t>Use approved systems and secure transmission methods for confidential data.</w:t>
      </w:r>
    </w:p>
    <w:p>
      <w:pPr>
        <w:pStyle w:val="ListBullet"/>
      </w:pPr>
      <w:r>
        <w:t>Do not reuse customer data for demos, marketing, or training without proper approval and de-identification where appropriate.</w:t>
      </w:r>
    </w:p>
    <w:p>
      <w:pPr>
        <w:pStyle w:val="H1Blue"/>
      </w:pPr>
      <w:r>
        <w:t>Policy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Data Ownership</w:t>
            </w:r>
          </w:p>
        </w:tc>
        <w:tc>
          <w:tcPr>
            <w:tcW w:type="dxa" w:w="4968"/>
            <w:vAlign w:val="center"/>
          </w:tcPr>
          <w:p>
            <w:r>
              <w:t>Customer data remains the customer's data. The company acts as custodian or processor based on service commitments.</w:t>
            </w:r>
          </w:p>
        </w:tc>
      </w:tr>
      <w:tr>
        <w:tc>
          <w:tcPr>
            <w:tcW w:type="dxa" w:w="4968"/>
            <w:vAlign w:val="center"/>
          </w:tcPr>
          <w:p>
            <w:r>
              <w:t>Access Control</w:t>
            </w:r>
          </w:p>
        </w:tc>
        <w:tc>
          <w:tcPr>
            <w:tcW w:type="dxa" w:w="4968"/>
            <w:vAlign w:val="center"/>
          </w:tcPr>
          <w:p>
            <w:r>
              <w:t>Access to confidential or customer data must be approved, role-based, and periodically reviewed.</w:t>
            </w:r>
          </w:p>
        </w:tc>
      </w:tr>
      <w:tr>
        <w:tc>
          <w:tcPr>
            <w:tcW w:type="dxa" w:w="4968"/>
            <w:vAlign w:val="center"/>
          </w:tcPr>
          <w:p>
            <w:r>
              <w:t>Storage and Transmission</w:t>
            </w:r>
          </w:p>
        </w:tc>
        <w:tc>
          <w:tcPr>
            <w:tcW w:type="dxa" w:w="4968"/>
            <w:vAlign w:val="center"/>
          </w:tcPr>
          <w:p>
            <w:r>
              <w:t>Sensitive data must be stored in approved locations and protected in transit and at rest using appropriate controls.</w:t>
            </w:r>
          </w:p>
        </w:tc>
      </w:tr>
      <w:tr>
        <w:tc>
          <w:tcPr>
            <w:tcW w:type="dxa" w:w="4968"/>
            <w:vAlign w:val="center"/>
          </w:tcPr>
          <w:p>
            <w:r>
              <w:t>Third-Party Sharing</w:t>
            </w:r>
          </w:p>
        </w:tc>
        <w:tc>
          <w:tcPr>
            <w:tcW w:type="dxa" w:w="4968"/>
            <w:vAlign w:val="center"/>
          </w:tcPr>
          <w:p>
            <w:r>
              <w:t>Data may be shared only with approved vendors or subprocessors that have appropriate contractual and security obligations.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Retention and Disposal</w:t>
            </w:r>
          </w:p>
        </w:tc>
        <w:tc>
          <w:tcPr>
            <w:tcW w:type="dxa" w:w="4968"/>
            <w:vAlign w:val="center"/>
          </w:tcPr>
          <w:p>
            <w:r>
              <w:t>Data must be retained according to business, legal, or contractual needs and securely deleted when no longer required.</w:t>
            </w:r>
          </w:p>
        </w:tc>
      </w:tr>
      <w:tr>
        <w:tc>
          <w:tcPr>
            <w:tcW w:type="dxa" w:w="4968"/>
            <w:vAlign w:val="center"/>
          </w:tcPr>
          <w:p>
            <w:r>
              <w:t>Incident Handling</w:t>
            </w:r>
          </w:p>
        </w:tc>
        <w:tc>
          <w:tcPr>
            <w:tcW w:type="dxa" w:w="4968"/>
            <w:vAlign w:val="center"/>
          </w:tcPr>
          <w:p>
            <w:r>
              <w:t>Suspected confidentiality or privacy issues must be reported immediately and handled through the incident response process.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Requests and Exceptions</w:t>
            </w:r>
          </w:p>
        </w:tc>
        <w:tc>
          <w:tcPr>
            <w:tcW w:type="dxa" w:w="4968"/>
            <w:vAlign w:val="center"/>
          </w:tcPr>
          <w:p>
            <w:r>
              <w:t>Requests involving access, correction, return, or deletion of data must follow documented review and approval steps.</w:t>
            </w:r>
          </w:p>
        </w:tc>
      </w:tr>
    </w:tbl>
    <w:p/>
    <w:p>
      <w:pPr>
        <w:pStyle w:val="H1Blue"/>
      </w:pPr>
      <w:r>
        <w:t>Roles and Responsibilities</w:t>
      </w:r>
    </w:p>
    <w:p>
      <w:pPr>
        <w:pStyle w:val="ListBullet"/>
      </w:pPr>
      <w:r>
        <w:t>Security / GRC owns the policy and coordinates oversight with legal or business stakeholders when needed.</w:t>
      </w:r>
    </w:p>
    <w:p>
      <w:pPr>
        <w:pStyle w:val="ListBullet"/>
      </w:pPr>
      <w:r>
        <w:t>Data owners define who should have access and how data should be classified and retained.</w:t>
      </w:r>
    </w:p>
    <w:p>
      <w:pPr>
        <w:pStyle w:val="ListBullet"/>
      </w:pPr>
      <w:r>
        <w:t>All users are responsible for protecting data and reporting suspected misuse or exposure.</w:t>
      </w:r>
    </w:p>
    <w:p>
      <w:pPr>
        <w:pStyle w:val="H1Blue"/>
      </w:pPr>
      <w:r>
        <w:t>Training and Awareness</w:t>
      </w:r>
    </w:p>
    <w:p>
      <w:r>
        <w:t>Personnel who handle customer or confidential data should receive training on secure handling, least privilege, reporting expectations, and the difference between routine use and unauthorized disclosure.</w:t>
      </w:r>
    </w:p>
    <w:p>
      <w:pPr>
        <w:pStyle w:val="H1Blue"/>
      </w:pPr>
      <w:r>
        <w:t>What Changed for Portfolio Use</w:t>
      </w:r>
    </w:p>
    <w:p>
      <w:pPr>
        <w:pStyle w:val="ListBullet"/>
      </w:pPr>
      <w:r>
        <w:t>Removed STS training-business references that made the original policy feel overly company-specific.</w:t>
      </w:r>
    </w:p>
    <w:p>
      <w:pPr>
        <w:pStyle w:val="ListBullet"/>
      </w:pPr>
      <w:r>
        <w:t>Reframed the policy around general SaaS customer data handling instead of CUI-centered compliance language.</w:t>
      </w:r>
    </w:p>
    <w:p>
      <w:pPr>
        <w:pStyle w:val="ListBullet"/>
      </w:pPr>
      <w:r>
        <w:t>Condensed the document so it reads more like a governance policy and less like a blended privacy program manual.</w:t>
      </w:r>
    </w:p>
    <w:p>
      <w:pPr>
        <w:pStyle w:val="ListBullet"/>
      </w:pPr>
      <w:r>
        <w:t>Kept the strongest practical themes: ownership, access, sharing, retention, disposal, and incident reporting.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Blue">
    <w:name w:val="TitleBlue"/>
    <w:pPr>
      <w:spacing w:after="80"/>
    </w:pPr>
    <w:rPr>
      <w:rFonts w:ascii="Aptos Display" w:hAnsi="Aptos Display"/>
      <w:b/>
      <w:color w:val="1F4E79"/>
      <w:sz w:val="40"/>
    </w:rPr>
  </w:style>
  <w:style w:type="paragraph" w:customStyle="1" w:styleId="H1Blue">
    <w:name w:val="H1Blue"/>
    <w:pPr>
      <w:keepNext/>
      <w:spacing w:before="200" w:after="80"/>
    </w:pPr>
    <w:rPr>
      <w:rFonts w:ascii="Aptos" w:hAnsi="Aptos"/>
      <w:b/>
      <w:color w:val="1F4E79"/>
      <w:sz w:val="26"/>
    </w:rPr>
  </w:style>
  <w:style w:type="paragraph" w:customStyle="1" w:styleId="SmallGray">
    <w:name w:val="SmallGray"/>
    <w:pPr>
      <w:spacing w:after="160"/>
    </w:pPr>
    <w:rPr>
      <w:rFonts w:ascii="Aptos" w:hAnsi="Aptos"/>
      <w:color w:val="60606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