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</w:pPr>
      <w:r>
        <w:t>AI Use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Scenario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Owner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Review Cycle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b/>
              </w:rPr>
              <w:t>Framework Lens</w:t>
            </w:r>
          </w:p>
        </w:tc>
      </w:tr>
      <w:tr>
        <w:tc>
          <w:tcPr>
            <w:tcW w:type="dxa" w:w="2484"/>
            <w:vAlign w:val="center"/>
          </w:tcPr>
          <w:p>
            <w:r>
              <w:t>Mid-size SaaS company on AWS handling customer data</w:t>
            </w:r>
          </w:p>
        </w:tc>
        <w:tc>
          <w:tcPr>
            <w:tcW w:type="dxa" w:w="2484"/>
            <w:vAlign w:val="center"/>
          </w:tcPr>
          <w:p>
            <w:r>
              <w:t>Security / GRC</w:t>
            </w:r>
          </w:p>
        </w:tc>
        <w:tc>
          <w:tcPr>
            <w:tcW w:type="dxa" w:w="2484"/>
            <w:vAlign w:val="center"/>
          </w:tcPr>
          <w:p>
            <w:r>
              <w:t>Annual or after major change</w:t>
            </w:r>
          </w:p>
        </w:tc>
        <w:tc>
          <w:tcPr>
            <w:tcW w:type="dxa" w:w="2484"/>
            <w:vAlign w:val="center"/>
          </w:tcPr>
          <w:p>
            <w:r>
              <w:t>NIST AI RMF 1.0, NIST GenAI Profile, ISO/IEC 42001, ISO/IEC 23894</w:t>
            </w:r>
          </w:p>
        </w:tc>
      </w:tr>
    </w:tbl>
    <w:p/>
    <w:p>
      <w:pPr>
        <w:pStyle w:val="H1Blue"/>
      </w:pPr>
      <w:r>
        <w:t>Purpose</w:t>
      </w:r>
    </w:p>
    <w:p>
      <w:r>
        <w:t>This policy defines how approved AI tools may be used to support business work while protecting customer data, confidential information, and decision quality in an AWS-based SaaS environment.</w:t>
      </w:r>
    </w:p>
    <w:p>
      <w:pPr>
        <w:pStyle w:val="H1Blue"/>
      </w:pPr>
      <w:r>
        <w:t>Scope</w:t>
      </w:r>
    </w:p>
    <w:p>
      <w:pPr>
        <w:pStyle w:val="ListBullet"/>
      </w:pPr>
      <w:r>
        <w:t>All employees, contractors, and temporary personnel who use approved generative AI tools, copilots, model APIs, or embedded AI features for company work.</w:t>
      </w:r>
    </w:p>
    <w:p>
      <w:pPr>
        <w:pStyle w:val="ListBullet"/>
      </w:pPr>
      <w:r>
        <w:t>Prompts, uploads, outputs, and automations involving support drafting, engineering assistance, internal productivity, documentation, and analysis.</w:t>
      </w:r>
    </w:p>
    <w:p>
      <w:pPr>
        <w:pStyle w:val="H1Blue"/>
      </w:pPr>
      <w:r>
        <w:t>AI Use Principles</w:t>
      </w:r>
    </w:p>
    <w:p>
      <w:pPr>
        <w:pStyle w:val="ListBullet"/>
      </w:pPr>
      <w:r>
        <w:t>Human accountability comes first. Employees remain responsible for the accuracy, appropriateness, and business impact of AI-assisted work.</w:t>
      </w:r>
    </w:p>
    <w:p>
      <w:pPr>
        <w:pStyle w:val="ListBullet"/>
      </w:pPr>
      <w:r>
        <w:t>Sensitive data, credentials, secrets, regulated information, and source code must not be entered into public or unapproved AI services.</w:t>
      </w:r>
    </w:p>
    <w:p>
      <w:pPr>
        <w:pStyle w:val="ListBullet"/>
      </w:pPr>
      <w:r>
        <w:t>Higher-risk uses such as production code, customer-facing content, security analysis, or business decisions require stronger review.</w:t>
      </w:r>
    </w:p>
    <w:p>
      <w:pPr>
        <w:pStyle w:val="H1Blue"/>
      </w:pPr>
      <w:r>
        <w:t>Policy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Approved Use Cases</w:t>
            </w:r>
          </w:p>
        </w:tc>
        <w:tc>
          <w:tcPr>
            <w:tcW w:type="dxa" w:w="4968"/>
            <w:vAlign w:val="center"/>
          </w:tcPr>
          <w:p>
            <w:r>
              <w:t>AI tools may be used only for approved business purposes such as drafting, summarization, analysis, and productivity support within documented guardrails.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Restricted Data</w:t>
            </w:r>
          </w:p>
        </w:tc>
        <w:tc>
          <w:tcPr>
            <w:tcW w:type="dxa" w:w="4968"/>
            <w:vAlign w:val="center"/>
          </w:tcPr>
          <w:p>
            <w:r>
              <w:t>Users must not enter customer data, credentials, secrets, regulated information, or other sensitive content into public or unapproved AI systems.</w:t>
            </w:r>
          </w:p>
        </w:tc>
      </w:tr>
      <w:tr>
        <w:tc>
          <w:tcPr>
            <w:tcW w:type="dxa" w:w="4968"/>
            <w:vAlign w:val="center"/>
          </w:tcPr>
          <w:p>
            <w:r>
              <w:t>Human Review</w:t>
            </w:r>
          </w:p>
        </w:tc>
        <w:tc>
          <w:tcPr>
            <w:tcW w:type="dxa" w:w="4968"/>
            <w:vAlign w:val="center"/>
          </w:tcPr>
          <w:p>
            <w:r>
              <w:t>AI-generated outputs must be reviewed by a qualified person before use in customer communications, production changes, security decisions, legal review, or other material business activity.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Code and Automation</w:t>
            </w:r>
          </w:p>
        </w:tc>
        <w:tc>
          <w:tcPr>
            <w:tcW w:type="dxa" w:w="4968"/>
            <w:vAlign w:val="center"/>
          </w:tcPr>
          <w:p>
            <w:r>
              <w:t>AI-assisted code, scripts, and automations must follow standard secure development, testing, and approval requirements before deployment.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Approved Vendors and Tools</w:t>
            </w:r>
          </w:p>
        </w:tc>
        <w:tc>
          <w:tcPr>
            <w:tcW w:type="dxa" w:w="4968"/>
            <w:vAlign w:val="center"/>
          </w:tcPr>
          <w:p>
            <w:r>
              <w:t>Only approved AI vendors, models, plugins, and embedded AI features may be used. New tools require review of data handling, retention, and contractual terms.</w:t>
            </w:r>
          </w:p>
        </w:tc>
      </w:tr>
      <w:tr>
        <w:tc>
          <w:tcPr>
            <w:tcW w:type="dxa" w:w="4968"/>
            <w:vAlign w:val="center"/>
          </w:tcPr>
          <w:p>
            <w:r>
              <w:t>Monitoring and Logging</w:t>
            </w:r>
          </w:p>
        </w:tc>
        <w:tc>
          <w:tcPr>
            <w:tcW w:type="dxa" w:w="4968"/>
            <w:vAlign w:val="center"/>
          </w:tcPr>
          <w:p>
            <w:r>
              <w:t>Where feasible, the company should maintain visibility into approved AI use, exceptions, and material incidents involving AI-assisted workflows.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Exceptions and Escalation</w:t>
            </w:r>
          </w:p>
        </w:tc>
        <w:tc>
          <w:tcPr>
            <w:tcW w:type="dxa" w:w="4968"/>
            <w:vAlign w:val="center"/>
          </w:tcPr>
          <w:p>
            <w:r>
              <w:t>Exceptions must be documented, approved, and time-bound. Suspected unsafe use, harmful outputs, or policy violations must be reported promptly through approved channels.</w:t>
            </w:r>
          </w:p>
        </w:tc>
      </w:tr>
    </w:tbl>
    <w:p/>
    <w:p>
      <w:pPr>
        <w:pStyle w:val="H1Blue"/>
      </w:pPr>
      <w:r>
        <w:t>Roles and Responsibilities</w:t>
      </w:r>
    </w:p>
    <w:p>
      <w:pPr>
        <w:pStyle w:val="ListBullet"/>
      </w:pPr>
      <w:r>
        <w:t>Security / GRC owns the policy, defines approved-use guardrails, and coordinates governance review.</w:t>
      </w:r>
    </w:p>
    <w:p>
      <w:pPr>
        <w:pStyle w:val="ListBullet"/>
      </w:pPr>
      <w:r>
        <w:t>Engineering, data owners, and system owners validate approved use and ensure outputs are reviewed before production use.</w:t>
      </w:r>
    </w:p>
    <w:p>
      <w:pPr>
        <w:pStyle w:val="ListBullet"/>
      </w:pPr>
      <w:r>
        <w:t>Managers ensure personnel understand approved use cases, escalation paths, and when human review is required.</w:t>
      </w:r>
    </w:p>
    <w:p>
      <w:pPr>
        <w:pStyle w:val="ListBullet"/>
      </w:pPr>
      <w:r>
        <w:t>All users are responsible for using approved tools, protecting data, and reporting suspected misuse or unsafe outputs.</w:t>
      </w:r>
    </w:p>
    <w:p>
      <w:pPr>
        <w:pStyle w:val="H1Blue"/>
      </w:pPr>
      <w:r>
        <w:t>Review Criteria</w:t>
      </w:r>
    </w:p>
    <w:p>
      <w:r>
        <w:t>AI use should be reviewed based on data sensitivity, output materiality, vendor data handling, whether it affects production or customer communications, and the presence of meaningful human oversight.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pPr>
      <w:spacing w:after="80"/>
    </w:pPr>
    <w:rPr>
      <w:rFonts w:ascii="Aptos Display" w:hAnsi="Aptos Display"/>
      <w:b/>
      <w:color w:val="1F4E79"/>
      <w:sz w:val="40"/>
    </w:rPr>
  </w:style>
  <w:style w:type="paragraph" w:customStyle="1" w:styleId="H1Blue">
    <w:name w:val="H1Blue"/>
    <w:pPr>
      <w:keepNext/>
      <w:spacing w:before="200" w:after="80"/>
    </w:pPr>
    <w:rPr>
      <w:rFonts w:ascii="Aptos" w:hAnsi="Aptos"/>
      <w:b/>
      <w:color w:val="1F4E79"/>
      <w:sz w:val="26"/>
    </w:rPr>
  </w:style>
  <w:style w:type="paragraph" w:customStyle="1" w:styleId="SmallGray">
    <w:name w:val="SmallGray"/>
    <w:pPr>
      <w:spacing w:after="160"/>
    </w:pPr>
    <w:rPr>
      <w:rFonts w:ascii="Aptos" w:hAnsi="Aptos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