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</w:pPr>
      <w:r>
        <w:t>Acceptable Use and Asset Management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Framework Lens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Mid-size SaaS company on AWS handling customer 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Security / GRC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Annual or after major change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SOC 2, NIST CSF 2.0, CIS Controls v8</w:t>
            </w:r>
          </w:p>
        </w:tc>
      </w:tr>
    </w:tbl>
    <w:p/>
    <w:p>
      <w:pPr>
        <w:pStyle w:val="H1Blue"/>
      </w:pPr>
      <w:r>
        <w:t>Purpose</w:t>
      </w:r>
    </w:p>
    <w:p>
      <w:r>
        <w:t>This policy defines how personnel use company systems and how technology assets are inventoried, protected, and retired. The goal is to reduce avoidable security risk while keeping the AWS-based SaaS environment reliable, supportable, and audit-ready.</w:t>
      </w:r>
    </w:p>
    <w:p>
      <w:pPr>
        <w:pStyle w:val="H1Blue"/>
      </w:pPr>
      <w:r>
        <w:t>Scope</w:t>
      </w:r>
    </w:p>
    <w:p>
      <w:pPr>
        <w:pStyle w:val="ListBullet"/>
      </w:pPr>
      <w:r>
        <w:t>All employees, contractors, and temporary personnel with access to company systems or customer data.</w:t>
      </w:r>
    </w:p>
    <w:p>
      <w:pPr>
        <w:pStyle w:val="ListBullet"/>
      </w:pPr>
      <w:r>
        <w:t>Company-owned endpoints, cloud services, production AWS resources, collaboration tools, and approved mobile devices.</w:t>
      </w:r>
    </w:p>
    <w:p>
      <w:pPr>
        <w:pStyle w:val="ListBullet"/>
      </w:pPr>
      <w:r>
        <w:t>Authorized personal devices only when they are enrolled and managed under company security requirements.</w:t>
      </w:r>
    </w:p>
    <w:p>
      <w:pPr>
        <w:pStyle w:val="H1Blue"/>
      </w:pPr>
      <w:r>
        <w:t>Key Principles</w:t>
      </w:r>
    </w:p>
    <w:p>
      <w:pPr>
        <w:pStyle w:val="ListBullet"/>
      </w:pPr>
      <w:r>
        <w:t>Business use comes first. Limited personal use must stay legal, reasonable, and low risk.</w:t>
      </w:r>
    </w:p>
    <w:p>
      <w:pPr>
        <w:pStyle w:val="ListBullet"/>
      </w:pPr>
      <w:r>
        <w:t>Access is granted on a need-to-know and least-privilege basis.</w:t>
      </w:r>
    </w:p>
    <w:p>
      <w:pPr>
        <w:pStyle w:val="ListBullet"/>
      </w:pPr>
      <w:r>
        <w:t>Assets must be inventoried, assigned an owner, and protected throughout their lifecycle.</w:t>
      </w:r>
    </w:p>
    <w:p>
      <w:pPr>
        <w:pStyle w:val="ListBullet"/>
      </w:pPr>
      <w:r>
        <w:t>Sensitive data should remain in approved systems and not be copied to personal tools or storage.</w:t>
      </w:r>
    </w:p>
    <w:p>
      <w:pPr>
        <w:pStyle w:val="H1Blue"/>
      </w:pPr>
      <w:r>
        <w:t>Policy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Authorized Use</w:t>
            </w:r>
          </w:p>
        </w:tc>
        <w:tc>
          <w:tcPr>
            <w:tcW w:type="dxa" w:w="4968"/>
            <w:vAlign w:val="center"/>
          </w:tcPr>
          <w:p>
            <w:r>
              <w:t>Systems may be used only for approved business activity. Users may not install unapproved software, disable security tools, or use company resources for outside business activity.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Credential Protection</w:t>
            </w:r>
          </w:p>
        </w:tc>
        <w:tc>
          <w:tcPr>
            <w:tcW w:type="dxa" w:w="4968"/>
            <w:vAlign w:val="center"/>
          </w:tcPr>
          <w:p>
            <w:r>
              <w:t>Users must use unique credentials, MFA where required, and approved password storage methods. Shared accounts are prohibited except where technically necessary and formally approved.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 Data Handling</w:t>
            </w:r>
          </w:p>
        </w:tc>
        <w:tc>
          <w:tcPr>
            <w:tcW w:type="dxa" w:w="4968"/>
            <w:vAlign w:val="center"/>
          </w:tcPr>
          <w:p>
            <w:r>
              <w:t>Customer data must stay in approved locations and be accessed only for assigned work. Copying data to personal email, unmanaged drives, or unapproved cloud storage is prohibited.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Remote Work</w:t>
            </w:r>
          </w:p>
        </w:tc>
        <w:tc>
          <w:tcPr>
            <w:tcW w:type="dxa" w:w="4968"/>
            <w:vAlign w:val="center"/>
          </w:tcPr>
          <w:p>
            <w:r>
              <w:t>Remote access must use approved secure methods. Devices must be patched, encrypted, and locked when unattended.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BYOD</w:t>
            </w:r>
          </w:p>
        </w:tc>
        <w:tc>
          <w:tcPr>
            <w:tcW w:type="dxa" w:w="4968"/>
            <w:vAlign w:val="center"/>
          </w:tcPr>
          <w:p>
            <w:r>
              <w:t>Personally owned devices may access company resources only if registered, secured, and subject to company control over business data.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Inventory and Ownership</w:t>
            </w:r>
          </w:p>
        </w:tc>
        <w:tc>
          <w:tcPr>
            <w:tcW w:type="dxa" w:w="4968"/>
            <w:vAlign w:val="center"/>
          </w:tcPr>
          <w:p>
            <w:r>
              <w:t>Hardware, software, and major cloud services must be recorded with an owner, purpose, and sensitivity level.</w:t>
            </w:r>
          </w:p>
        </w:tc>
      </w:tr>
      <w:tr>
        <w:tc>
          <w:tcPr>
            <w:tcW w:type="dxa" w:w="4968"/>
            <w:vAlign w:val="center"/>
          </w:tcPr>
          <w:p>
            <w:r>
              <w:t>Lifecycle Management</w:t>
            </w:r>
          </w:p>
        </w:tc>
        <w:tc>
          <w:tcPr>
            <w:tcW w:type="dxa" w:w="4968"/>
            <w:vAlign w:val="center"/>
          </w:tcPr>
          <w:p>
            <w:r>
              <w:t>New assets must meet baseline security requirements before use, and retired assets must be wiped or destroyed using approved methods.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Loss or Theft</w:t>
            </w:r>
          </w:p>
        </w:tc>
        <w:tc>
          <w:tcPr>
            <w:tcW w:type="dxa" w:w="4968"/>
            <w:vAlign w:val="center"/>
          </w:tcPr>
          <w:p>
            <w:r>
              <w:t>Lost, stolen, or potentially compromised devices must be reported immediately for containment actions such as lock, wipe, or credential reset.</w:t>
            </w:r>
          </w:p>
        </w:tc>
      </w:tr>
    </w:tbl>
    <w:p/>
    <w:p>
      <w:pPr>
        <w:pStyle w:val="H1Blue"/>
      </w:pPr>
      <w:r>
        <w:t>Roles and Responsibilities</w:t>
      </w:r>
    </w:p>
    <w:p>
      <w:pPr>
        <w:pStyle w:val="ListBullet"/>
      </w:pPr>
      <w:r>
        <w:t>Security / GRC owns the policy and reviews exceptions.</w:t>
      </w:r>
    </w:p>
    <w:p>
      <w:pPr>
        <w:pStyle w:val="ListBullet"/>
      </w:pPr>
      <w:r>
        <w:t>IT / Cloud Operations maintains inventories, baseline controls, and device management.</w:t>
      </w:r>
    </w:p>
    <w:p>
      <w:pPr>
        <w:pStyle w:val="ListBullet"/>
      </w:pPr>
      <w:r>
        <w:t>Managers ensure personnel understand acceptable use expectations.</w:t>
      </w:r>
    </w:p>
    <w:p>
      <w:pPr>
        <w:pStyle w:val="ListBullet"/>
      </w:pPr>
      <w:r>
        <w:t>All users are responsible for protecting assigned assets and reporting issues quickly.</w:t>
      </w:r>
    </w:p>
    <w:p>
      <w:pPr>
        <w:pStyle w:val="H1Blue"/>
      </w:pPr>
      <w:r>
        <w:t>Monitoring, Exceptions, and Enforcement</w:t>
      </w:r>
    </w:p>
    <w:p>
      <w:r>
        <w:t>The company may monitor use of corporate systems to verify compliance, protect customer data, and investigate potential incidents. Exceptions must be documented, approved, and time-bound. Violations may result in access removal, disciplinary action, contract action, or escalation into incident response.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pPr>
      <w:spacing w:after="80"/>
    </w:pPr>
    <w:rPr>
      <w:rFonts w:ascii="Aptos Display" w:hAnsi="Aptos Display"/>
      <w:b/>
      <w:color w:val="1F4E79"/>
      <w:sz w:val="40"/>
    </w:rPr>
  </w:style>
  <w:style w:type="paragraph" w:customStyle="1" w:styleId="H1Blue">
    <w:name w:val="H1Blue"/>
    <w:pPr>
      <w:keepNext/>
      <w:spacing w:before="200" w:after="80"/>
    </w:pPr>
    <w:rPr>
      <w:rFonts w:ascii="Aptos" w:hAnsi="Aptos"/>
      <w:b/>
      <w:color w:val="1F4E79"/>
      <w:sz w:val="26"/>
    </w:rPr>
  </w:style>
  <w:style w:type="paragraph" w:customStyle="1" w:styleId="SmallGray">
    <w:name w:val="SmallGray"/>
    <w:pPr>
      <w:spacing w:after="160"/>
    </w:pPr>
    <w:rPr>
      <w:rFonts w:ascii="Aptos" w:hAnsi="Aptos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