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Incident Response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SOC 2, NIST CSF 2.0, CIS Controls v8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establishes how the company prepares for, detects, contains, investigates, and recovers from security incidents affecting production AWS resources, business systems, or customer data.</w:t>
      </w:r>
    </w:p>
    <w:p>
      <w:pPr>
        <w:pStyle w:val="H1Blue"/>
      </w:pPr>
      <w:r>
        <w:t>Scope</w:t>
      </w:r>
    </w:p>
    <w:p>
      <w:pPr>
        <w:pStyle w:val="ListBullet"/>
      </w:pPr>
      <w:r>
        <w:t>All employees and contractors who may detect, report, or support incident response.</w:t>
      </w:r>
    </w:p>
    <w:p>
      <w:pPr>
        <w:pStyle w:val="ListBullet"/>
      </w:pPr>
      <w:r>
        <w:t>Production AWS resources, endpoints, SaaS tools, logging infrastructure, and third-party services used to deliver the platform.</w:t>
      </w:r>
    </w:p>
    <w:p>
      <w:pPr>
        <w:pStyle w:val="ListBullet"/>
      </w:pPr>
      <w:r>
        <w:t>Incidents involving customer data, service disruption, credential misuse, malware, unauthorized access, and suspicious vendor activity.</w:t>
      </w:r>
    </w:p>
    <w:p>
      <w:pPr>
        <w:pStyle w:val="H1Blue"/>
      </w:pPr>
      <w:r>
        <w:t>Incident Response Requirements</w:t>
      </w:r>
    </w:p>
    <w:p>
      <w:pPr>
        <w:pStyle w:val="ListNumber"/>
      </w:pPr>
      <w:r>
        <w:t>All suspected incidents must be reported immediately through the approved reporting channel.</w:t>
      </w:r>
    </w:p>
    <w:p>
      <w:pPr>
        <w:pStyle w:val="ListNumber"/>
      </w:pPr>
      <w:r>
        <w:t>Security personnel will triage events, assign severity, and determine whether the event meets the threshold for an incident.</w:t>
      </w:r>
    </w:p>
    <w:p>
      <w:pPr>
        <w:pStyle w:val="ListNumber"/>
      </w:pPr>
      <w:r>
        <w:t>Containment actions must balance speed with business impact and preserve evidence when possible.</w:t>
      </w:r>
    </w:p>
    <w:p>
      <w:pPr>
        <w:pStyle w:val="ListNumber"/>
      </w:pPr>
      <w:r>
        <w:t>Recovery must include validation that systems are stable, access is appropriate, and monitoring is in place for recurrence.</w:t>
      </w:r>
    </w:p>
    <w:p>
      <w:pPr>
        <w:pStyle w:val="ListNumber"/>
      </w:pPr>
      <w:r>
        <w:t>Significant incidents require a documented lessons-learned review and tracked remediation actions.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Preparation</w:t>
            </w:r>
          </w:p>
        </w:tc>
        <w:tc>
          <w:tcPr>
            <w:tcW w:type="dxa" w:w="4968"/>
            <w:vAlign w:val="center"/>
          </w:tcPr>
          <w:p>
            <w:r>
              <w:t>The company will maintain contact lists, escalation paths, logging visibility, and response procedures for common incident types.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Detection and Analysis</w:t>
            </w:r>
          </w:p>
        </w:tc>
        <w:tc>
          <w:tcPr>
            <w:tcW w:type="dxa" w:w="4968"/>
            <w:vAlign w:val="center"/>
          </w:tcPr>
          <w:p>
            <w:r>
              <w:t>Alerts, user reports, and third-party notifications must be triaged and documented with scope, timeline, and severity.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Containment and Eradication</w:t>
            </w:r>
          </w:p>
        </w:tc>
        <w:tc>
          <w:tcPr>
            <w:tcW w:type="dxa" w:w="4968"/>
            <w:vAlign w:val="center"/>
          </w:tcPr>
          <w:p>
            <w:r>
              <w:t>Compromised accounts, hosts, or integrations may be isolated, disabled, or blocked based on risk and approval paths.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Communication</w:t>
            </w:r>
          </w:p>
        </w:tc>
        <w:tc>
          <w:tcPr>
            <w:tcW w:type="dxa" w:w="4968"/>
            <w:vAlign w:val="center"/>
          </w:tcPr>
          <w:p>
            <w:r>
              <w:t>Internal stakeholders must be informed based on severity. Customer or contractual notifications must follow documented requirements.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</w:t>
            </w:r>
          </w:p>
        </w:tc>
        <w:tc>
          <w:tcPr>
            <w:tcW w:type="dxa" w:w="4968"/>
            <w:vAlign w:val="center"/>
          </w:tcPr>
          <w:p>
            <w:r>
              <w:t>Relevant logs, screenshots, tickets, and decision points must be preserved to support investigation and follow-up.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Testing</w:t>
            </w:r>
          </w:p>
        </w:tc>
        <w:tc>
          <w:tcPr>
            <w:tcW w:type="dxa" w:w="4968"/>
            <w:vAlign w:val="center"/>
          </w:tcPr>
          <w:p>
            <w:r>
              <w:t>The response process must be exercised periodically through tabletop sessions or simulations.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 and coordinates response governance.</w:t>
      </w:r>
    </w:p>
    <w:p>
      <w:pPr>
        <w:pStyle w:val="ListBullet"/>
      </w:pPr>
      <w:r>
        <w:t>Security Operations or technical responders handle triage, containment, and evidence collection.</w:t>
      </w:r>
    </w:p>
    <w:p>
      <w:pPr>
        <w:pStyle w:val="ListBullet"/>
      </w:pPr>
      <w:r>
        <w:t>Cloud / IT teams support restoration and technical remediation.</w:t>
      </w:r>
    </w:p>
    <w:p>
      <w:pPr>
        <w:pStyle w:val="ListBullet"/>
      </w:pPr>
      <w:r>
        <w:t>Leadership supports escalations, customer communication decisions, and resourcing.</w:t>
      </w:r>
    </w:p>
    <w:p>
      <w:pPr>
        <w:pStyle w:val="H1Blue"/>
      </w:pPr>
      <w:r>
        <w:t>Severity and Escalation</w:t>
      </w:r>
    </w:p>
    <w:p>
      <w:r>
        <w:t>Severity should consider business disruption, customer impact, data sensitivity, blast radius, and legal or contractual obligations. Higher-severity incidents require faster escalation, more frequent updates, and tighter documentation discipline.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