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Blue"/>
      </w:pPr>
      <w:r>
        <w:t>Vendor and Third-Party Security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Owner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Review Cycle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Framework Lens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Mid-size SaaS company on AWS handling customer data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Security / GRC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Annual or after major change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SOC 2, NIST CSF 2.0, CIS Controls v8</w:t>
            </w:r>
          </w:p>
        </w:tc>
      </w:tr>
    </w:tbl>
    <w:p/>
    <w:p>
      <w:pPr>
        <w:pStyle w:val="H1Blue"/>
      </w:pPr>
      <w:r>
        <w:t>Purpose</w:t>
      </w:r>
    </w:p>
    <w:p>
      <w:r>
        <w:t>This policy defines how the company evaluates, approves, monitors, and offboards vendors and third parties that support business operations or have access to systems, services, or customer data.</w:t>
      </w:r>
    </w:p>
    <w:p>
      <w:pPr>
        <w:pStyle w:val="H1Blue"/>
      </w:pPr>
      <w:r>
        <w:t>Scope</w:t>
      </w:r>
    </w:p>
    <w:p>
      <w:pPr>
        <w:pStyle w:val="ListBullet"/>
      </w:pPr>
      <w:r>
        <w:t>Cloud providers, SaaS vendors, subcontractors, support partners, and service providers with access to data or critical systems.</w:t>
      </w:r>
    </w:p>
    <w:p>
      <w:pPr>
        <w:pStyle w:val="ListBullet"/>
      </w:pPr>
      <w:r>
        <w:t>Business owners, procurement, security, and technical teams involved in onboarding or managing third parties.</w:t>
      </w:r>
    </w:p>
    <w:p>
      <w:pPr>
        <w:pStyle w:val="H1Blue"/>
      </w:pPr>
      <w:r>
        <w:t>Vendor Risk Principles</w:t>
      </w:r>
    </w:p>
    <w:p>
      <w:pPr>
        <w:pStyle w:val="ListBullet"/>
      </w:pPr>
      <w:r>
        <w:t>Not all vendors present the same level of risk; review depth should match data sensitivity, access, and business criticality.</w:t>
      </w:r>
    </w:p>
    <w:p>
      <w:pPr>
        <w:pStyle w:val="ListBullet"/>
      </w:pPr>
      <w:r>
        <w:t>Security expectations should be addressed before onboarding, not after a problem occurs.</w:t>
      </w:r>
    </w:p>
    <w:p>
      <w:pPr>
        <w:pStyle w:val="ListBullet"/>
      </w:pPr>
      <w:r>
        <w:t>Higher-risk vendors should be reviewed periodically and reassessed when scope changes.</w:t>
      </w:r>
    </w:p>
    <w:p>
      <w:pPr>
        <w:pStyle w:val="H1Blue"/>
      </w:pPr>
      <w:r>
        <w:t>Policy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Inventory and Classification</w:t>
            </w:r>
          </w:p>
        </w:tc>
        <w:tc>
          <w:tcPr>
            <w:tcW w:type="dxa" w:w="4968"/>
            <w:vAlign w:val="center"/>
          </w:tcPr>
          <w:p>
            <w:r>
              <w:t>The company must maintain a record of key vendors, their services, owners, access level, data types handled, and risk tier.</w:t>
            </w:r>
          </w:p>
        </w:tc>
      </w:tr>
      <w:tr>
        <w:tc>
          <w:tcPr>
            <w:tcW w:type="dxa" w:w="4968"/>
            <w:vAlign w:val="center"/>
          </w:tcPr>
          <w:p>
            <w:r>
              <w:t>Due Diligence</w:t>
            </w:r>
          </w:p>
        </w:tc>
        <w:tc>
          <w:tcPr>
            <w:tcW w:type="dxa" w:w="4968"/>
            <w:vAlign w:val="center"/>
          </w:tcPr>
          <w:p>
            <w:r>
              <w:t>In-scope vendors should be reviewed before onboarding using questionnaires, documentation review, and available assurance reports when appropriate.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Contractual Requirements</w:t>
            </w:r>
          </w:p>
        </w:tc>
        <w:tc>
          <w:tcPr>
            <w:tcW w:type="dxa" w:w="4968"/>
            <w:vAlign w:val="center"/>
          </w:tcPr>
          <w:p>
            <w:r>
              <w:t>Contracts should address security expectations, incident notification, data handling, subprocessor use, and offboarding obligations.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Access Control</w:t>
            </w:r>
          </w:p>
        </w:tc>
        <w:tc>
          <w:tcPr>
            <w:tcW w:type="dxa" w:w="4968"/>
            <w:vAlign w:val="center"/>
          </w:tcPr>
          <w:p>
            <w:r>
              <w:t>Vendor access must be limited, named where possible, protected with MFA for elevated access, and removed when no longer needed.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Ongoing Monitoring</w:t>
            </w:r>
          </w:p>
        </w:tc>
        <w:tc>
          <w:tcPr>
            <w:tcW w:type="dxa" w:w="4968"/>
            <w:vAlign w:val="center"/>
          </w:tcPr>
          <w:p>
            <w:r>
              <w:t>Higher-risk vendors should be reviewed on a defined cadence and whenever material changes or incidents occur.</w:t>
            </w:r>
          </w:p>
        </w:tc>
      </w:tr>
      <w:tr>
        <w:tc>
          <w:tcPr>
            <w:tcW w:type="dxa" w:w="4968"/>
            <w:vAlign w:val="center"/>
          </w:tcPr>
          <w:p>
            <w:r>
              <w:t>Incident Coordination</w:t>
            </w:r>
          </w:p>
        </w:tc>
        <w:tc>
          <w:tcPr>
            <w:tcW w:type="dxa" w:w="4968"/>
            <w:vAlign w:val="center"/>
          </w:tcPr>
          <w:p>
            <w:r>
              <w:t>Vendors must promptly report incidents that could affect company systems or customer data and support investigation and remediation.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Termination</w:t>
            </w:r>
          </w:p>
        </w:tc>
        <w:tc>
          <w:tcPr>
            <w:tcW w:type="dxa" w:w="4968"/>
            <w:vAlign w:val="center"/>
          </w:tcPr>
          <w:p>
            <w:r>
              <w:t>When a vendor relationship ends, access must be removed and data return or deletion steps must be completed and documented.</w:t>
            </w:r>
          </w:p>
        </w:tc>
      </w:tr>
    </w:tbl>
    <w:p/>
    <w:p>
      <w:pPr>
        <w:pStyle w:val="H1Blue"/>
      </w:pPr>
      <w:r>
        <w:t>Roles and Responsibilities</w:t>
      </w:r>
    </w:p>
    <w:p>
      <w:pPr>
        <w:pStyle w:val="ListBullet"/>
      </w:pPr>
      <w:r>
        <w:t>Security / GRC owns the policy and defines risk review expectations.</w:t>
      </w:r>
    </w:p>
    <w:p>
      <w:pPr>
        <w:pStyle w:val="ListBullet"/>
      </w:pPr>
      <w:r>
        <w:t>Business or contract owners are accountable for vendor accuracy, scope, and periodic review support.</w:t>
      </w:r>
    </w:p>
    <w:p>
      <w:pPr>
        <w:pStyle w:val="ListBullet"/>
      </w:pPr>
      <w:r>
        <w:t>Procurement and legal support contracting language where applicable.</w:t>
      </w:r>
    </w:p>
    <w:p>
      <w:pPr>
        <w:pStyle w:val="ListBullet"/>
      </w:pPr>
      <w:r>
        <w:t>IT / technical owners manage integrations, access paths, and control implications.</w:t>
      </w:r>
    </w:p>
    <w:p>
      <w:pPr>
        <w:pStyle w:val="H1Blue"/>
      </w:pPr>
      <w:r>
        <w:t>Review Criteria</w:t>
      </w:r>
    </w:p>
    <w:p>
      <w:r>
        <w:t>Vendor review should consider the type of data involved, production access, dependence on the service, incident history, resiliency expectations, and the maturity of the vendor's controls and reporting.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pPr>
      <w:spacing w:after="80"/>
    </w:pPr>
    <w:rPr>
      <w:rFonts w:ascii="Aptos Display" w:hAnsi="Aptos Display"/>
      <w:b/>
      <w:color w:val="1F4E79"/>
      <w:sz w:val="40"/>
    </w:rPr>
  </w:style>
  <w:style w:type="paragraph" w:customStyle="1" w:styleId="H1Blue">
    <w:name w:val="H1Blue"/>
    <w:pPr>
      <w:keepNext/>
      <w:spacing w:before="200" w:after="80"/>
    </w:pPr>
    <w:rPr>
      <w:rFonts w:ascii="Aptos" w:hAnsi="Aptos"/>
      <w:b/>
      <w:color w:val="1F4E79"/>
      <w:sz w:val="26"/>
    </w:rPr>
  </w:style>
  <w:style w:type="paragraph" w:customStyle="1" w:styleId="SmallGray">
    <w:name w:val="SmallGray"/>
    <w:pPr>
      <w:spacing w:after="160"/>
    </w:pPr>
    <w:rPr>
      <w:rFonts w:ascii="Aptos" w:hAnsi="Aptos"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