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w:t>
      </w:r>
      <w:r w:rsidDel="00000000" w:rsidR="00000000" w:rsidRPr="00000000">
        <w:rPr>
          <w:rtl w:val="0"/>
        </w:rPr>
        <w:t xml:space="preserve"> </w:t>
      </w:r>
      <w:r w:rsidDel="00000000" w:rsidR="00000000" w:rsidRPr="00000000">
        <w:rPr>
          <w:b w:val="1"/>
          <w:bCs w:val="1"/>
          <w:sz w:val="28"/>
          <w:szCs w:val="28"/>
          <w:rtl w:val="0"/>
        </w:rPr>
        <w:t xml:space="preserve">Introduction to OSA webinar</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spread awareness among students about optics and related technologies and the functioning of OSA. The programme sought to enlighten students on our campus with Optica. They were told that it is a professional society of individuals and companies with an interest in optics and photonics. It publishes journals and organizes conferences and exhibitions. It currently has about 488,000 customers in 183 countries, including nearly 300 companies. Optica’s mission has stayed substantially on the same course its charter members envisioned over a century ago. The significance of the field, the genius of the OSA founders, and the remarkable dedication of those who followed enabled society to become the global forum for light science and technology that it is today. Its members get access to the premium journals of Optica and their collaborators along with many other benefits. Students were told about the structure and workings of BVP Optica as well. This session achieved its goal and guided interested students about Optica.</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100+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