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Photongraph</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make the students within our college and beyond aware of the art of Light Painting and to get them acquainted with the electronics required to arrange the lights. </w:t>
      </w:r>
    </w:p>
    <w:p w:rsidR="00000000" w:rsidDel="00000000" w:rsidP="00000000" w:rsidRDefault="00000000" w:rsidRPr="00000000" w14:paraId="00000006">
      <w:pPr>
        <w:rPr>
          <w:sz w:val="28"/>
          <w:szCs w:val="28"/>
        </w:rPr>
      </w:pPr>
      <w:r w:rsidDel="00000000" w:rsidR="00000000" w:rsidRPr="00000000">
        <w:rPr>
          <w:sz w:val="28"/>
          <w:szCs w:val="28"/>
          <w:rtl w:val="0"/>
        </w:rPr>
        <w:t xml:space="preserve">BVP Optica in collaboration with the Digital Arts Society of our college organised a light painting contest on 23rd December in which students from all over the country participated and submitted their best clicks. Light painting is the photographic technique of using a moving light source to alter an image while taking a long exposure photograph. Light painting requires a slow shutter speed, usually at least a second in duration. Light painting can imitate characteristics of traditional painting; superimposition and transparency can easily be achieved by moving, adding or removing lights or subjects during or between exposures. The aim of this event was to make the students within our college and beyond aware of the art of Light Painting and to get them acquainted with the electronics required to arrange the lights. Participants and the Volunteer students came together to make this contest a big success.</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