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Quantum Computing Webinar</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inculcate the importance and the growth of quantum computing over time. This would equip students and academicians to research and create new innovations in the quantum computing space. </w:t>
      </w:r>
    </w:p>
    <w:p w:rsidR="00000000" w:rsidDel="00000000" w:rsidP="00000000" w:rsidRDefault="00000000" w:rsidRPr="00000000" w14:paraId="00000006">
      <w:pPr>
        <w:rPr>
          <w:sz w:val="28"/>
          <w:szCs w:val="28"/>
        </w:rPr>
      </w:pPr>
      <w:r w:rsidDel="00000000" w:rsidR="00000000" w:rsidRPr="00000000">
        <w:rPr>
          <w:sz w:val="28"/>
          <w:szCs w:val="28"/>
          <w:rtl w:val="0"/>
        </w:rPr>
        <w:t xml:space="preserve">BVP Optica organised a Webinar on Quantum Computing and invited Dr. Nagrath, Founder CEO of Qpi Technologies which is at the forefront in India in terms of Quantum Tech. Quantum computers have the potential to revolutionize computation by making certain types of classically intractable problems solvable. While no quantum computer is yet sophisticated enough to carry out calculations that a classical computer can't, great progress is underway. Hence it is important for students to know about this up and coming field. The Webinar began by Dr. Nagrath explaining the basics of Quantum Physics, What tunnelling is and how it is used to compute. Various advantages were explained and he presented circuit diagrams they're using. He then concluded by mentioning certain limitations QCs face today and how industry is expected to soon overcome them. Students were inspired to explore this newer field of Quantum Computing.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