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Techno-A-Thlon</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test the overall capability of the participant in the tech field. It encompassed as many technical skills as possible, which brought a very holistic approach to the event. </w:t>
      </w:r>
    </w:p>
    <w:p w:rsidR="00000000" w:rsidDel="00000000" w:rsidP="00000000" w:rsidRDefault="00000000" w:rsidRPr="00000000" w14:paraId="00000006">
      <w:pPr>
        <w:rPr>
          <w:sz w:val="28"/>
          <w:szCs w:val="28"/>
        </w:rPr>
      </w:pPr>
      <w:r w:rsidDel="00000000" w:rsidR="00000000" w:rsidRPr="00000000">
        <w:rPr>
          <w:sz w:val="28"/>
          <w:szCs w:val="28"/>
          <w:rtl w:val="0"/>
        </w:rPr>
        <w:t xml:space="preserve"> Tech-A-Thlon challenged participants to prove their technical might.It consisted of 3 Rounds - </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 Round 1 ( Quiz ) - About 40 questions were given to test the General Aptitude of participants.Time limit of 20 Minutes.</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 Round 2 ( Code Debugging ) - In this round participants had to debug the code and write the line number where the error has occurred and the correct code for the error.Then the organizing team manually graded the answers submitted via Google Forms.It included 5 questions.Time limit of 30 Minutes. </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 Round 3 ( Competitive Coding ) - This round was hosted on D2C, where 4 coding questions based on the Global Innovation theme were provided to participants.Time limit of 90 Minutes.</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110+</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