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Title of the event: The Reason &amp; Rhetoric Debate Competition</w:t>
      </w: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Objective of the event :</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 </w:t>
      </w:r>
      <w:r w:rsidDel="00000000" w:rsidR="00000000" w:rsidRPr="00000000">
        <w:rPr>
          <w:rtl w:val="0"/>
        </w:rPr>
        <w:t xml:space="preserve">The primary objective of The Reason &amp; Rhetoric Debate Competition, held in April 2023, and organized by BVP Optica, was to serve as a platform for exploring the multifaceted discourse surrounding the impact of Artificial Intelligence (AI) on humanity. The competition aimed to foster diverse perspectives, thought-provoking arguments, and critical analysis on both the positive and negative implications of AI.</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Benefits in terms of learning/skill/knowledge obtained : </w:t>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debate was marked by an array of compelling arguments showcasing the contrasting impacts of AI on human existence. Notable arguments in favor of AI highlighted its potential to revolutionize industries, streamline processes, and augment human capabilities, enhancing efficiency and innovation. Conversely, opposing arguments raised concerns about AI's ethical dilemmas, potential job displacement, and the erosion of human autonomy in decision-making. The debate's winners demonstrated exemplary prowess in articulating nuanced arguments and presenting compelling evidence. The competition not only showcased BVP Optica's commitment to promoting intellectual discourse but also highlighted its dedication to facilitating conversations that drive ethical and responsible AI innovation.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Participants Details: </w:t>
      </w:r>
      <w:r w:rsidDel="00000000" w:rsidR="00000000" w:rsidRPr="00000000">
        <w:rPr>
          <w:rtl w:val="0"/>
        </w:rPr>
        <w:t xml:space="preserve">16 Teams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