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Fine-scale spatial population genomics of </w:t>
      </w:r>
      <w:r>
        <w:rPr>
          <w:b/>
          <w:bCs/>
          <w:i/>
          <w:iCs/>
          <w:sz w:val="34"/>
          <w:szCs w:val="34"/>
        </w:rPr>
        <w:t xml:space="preserve">Plasmodium falciparum</w:t>
      </w:r>
      <w:r>
        <w:rPr>
          <w:b/>
          <w:bCs/>
          <w:sz w:val="34"/>
          <w:szCs w:val="34"/>
        </w:rPr>
        <w:t xml:space="preserve"> across Ghana's agro-ecological zones: a Pf8 analysis</w:t>
      </w:r>
    </w:p>
    <w:p>
      <w:pPr>
        <w:spacing w:after="560"/>
        <w:jc w:val="center"/>
      </w:pPr>
      <w:r>
        <w:rPr>
          <w:i/>
          <w:iCs/>
          <w:sz w:val="24"/>
          <w:szCs w:val="24"/>
        </w:rPr>
        <w:t xml:space="preserve">Revised working analysis report — second edition</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Revised working manuscript for internal review</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differentiation, summarise population covariance relationships and examine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Conclusion. At the resolution these data permit, Ghanaian P. falciparum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FST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FST ranking and in the K = 2 minor component, with no robust evidence that genetic distance scales with geographic distance. That very low differentiation describes the retained common-variant panel; it does not establish that sparse sampling adequately characterises population structure. Marker-frequency representativeness is a separate question, and the resistance panel in this analysis shows significant between-zone variation at p &lt; 0.001 at pfdhfr, pfdhps and pfaat1. That threshold is stated because it is a selection: on the four-zone chi-square as reported, several further loci are nominally significant at p &lt; 0.05, among them pfcrt I356T (p = 1.6 x 10 to the -3), pfmdr2 I492V (p = 0.020) and pfmdr1 N86Y (p = 0.029). Low neutral FST therefore does not license an assumption that marker frequencies are spatially representative. The pfk13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spacing w:after="140" w:line="276"/>
      </w:pPr>
      <w:r>
        <w:rPr>
          <w:b/>
          <w:bCs/>
          <w:color w:val="7A4E00"/>
          <w:sz w:val="18"/>
          <w:szCs w:val="18"/>
        </w:rPr>
        <w:t xml:space="preserve">[Interpreted] Robustness of these conclusions to the corrected re-runs and the final checks. The population-structure readings held on a 16.6% larger SNP panel (3,359 to 3,916 SNPs) with corrected filter ordering, a bitwise-reproducible single-threaded BayPass, seeded permutation tests and full false-discovery accounting: very low differentiation at retained common variants, maximum FST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One conclusion has since been lost, and it was the report's distance-gradient finding. The threshold sensitivity analysis shows the region-level Mantel result significant in 2 of 6 scenarios, and it also withdraws the earlier claim that the result no longer depends on the censoring of negative FST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not robust, and the previous version's listing of it among the strengthened results is withdrawn. Two strengthenings stand. The very low measured differentiation is stable across 0.00204-0.00255 over all six scenarios; this strengthens the threshold-sensitivity result without estimating mating or contemporary exchange;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pfdhfr triple-mutant figure, adding a locus that had been missing altogether, correcting a residue call, correcting the pfk13 list, and replacing the validation argument. The population analyses are therefore a partial confirmation with two strengthened results, one lost result, two downgraded outlier SNPs and one materially revised candidate list; the resistance results are new.</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Even when differentiation at common variants is very low, marker frequencies can vary geographically; these data do not estimate the routes or rates of contemporary exchange.</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when differentiation at common variants is very low.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A fifth round, and the loss of a result. Four outstanding robustness checks were run at final revision, and they are the reason this version grades one finding lower than the last. Three of the four left the conclusions standing or strengthened them: the maximum pairwise FST varies only between 0.00204 and 0.00255 across six threshold scenarios spanning 1,900 to 4,403 isolates and 3,275 to 10,876 SNPs, so the magnitude of measured common-variant differentiation is stable across the tested Fws and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distance-gradient finding in this report - is significant in 2 of those 6 threshold scenarios and in 4 of 7 leave-one-region-out replicates, collapsing when Upper East is dropped, and is therefore graded not robust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 1 is answered for differentiation rather than contemporary gene-flow magnitude or direction, and objective 3 is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Differentiation is quantified and tested; contemporary gene-flow magnitude and direction are not identified. Differentiation quantified and found very low (max FST 0.00232, 95% CI 0.00128-0.00336; one of the six pairwise CIs spans zero). The magnitude is insensitive to both thresholds that define the dataset: max FST stays within 0.00204-0.00255 across all six scenarios, over 1,900-4,403 isolates and 3,275-10,876 SNPs. A two-edge graph is the selected descriptive covariance model (conditional edge p = 7.5 x 10 to the -4 and 3.3 x 10 to the -16); the third fitted edge is not distinguishable from zero conditional on that graph (p = 0.33).</w:t>
            </w:r>
            <w:r>
              <w:rPr>
                <w:sz w:val="18"/>
                <w:szCs w:val="18"/>
              </w:rPr>
              <w:t xml:space="preserve"/>
            </w:r>
            <w:r>
              <w:rPr>
                <w:i/>
                <w:iCs/>
                <w:sz w:val="18"/>
                <w:szCs w:val="18"/>
              </w:rPr>
              <w:t xml:space="preserve"/>
            </w:r>
            <w:r>
              <w:rPr>
                <w:sz w:val="18"/>
                <w:szCs w:val="18"/>
              </w:rPr>
              <w:t xml:space="preserve"/>
            </w:r>
            <w:r>
              <w:rPr>
                <w:i/>
                <w:iCs/>
                <w:sz w:val="18"/>
                <w:szCs w:val="18"/>
              </w:rPr>
              <w:t xml:space="preserve"/>
            </w:r>
            <w:r>
              <w:rPr>
                <w:sz w:val="18"/>
                <w:szCs w:val="18"/>
              </w:rPr>
              <w:t xml:space="preserve"/>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1.1.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1.1.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Does adding edges improve fit within the fitted TreeMix covariance model? Operationalised as TreeMix with 0-5 migration edges and jackknife standard errors, with edge p-values conditional on the fitted topology and root. The selected edge count is a descriptive model choice, not a test of contemporary exchange or an identified branching history.</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2.1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2.1.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2.2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2.2.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2.1),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2.1.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2.3).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2.3. Collection year by zone in the final analysis set (n = 1,900). Computed from interim/analysis_samples.csv. Column totals match the zone counts in Table 2.2.</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2.2.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2.6 remains a 4,905-set figure.</w:t>
      </w:r>
    </w:p>
    <w:p>
      <w:pPr>
        <w:spacing w:after="140" w:line="276"/>
      </w:pPr>
      <w:r>
        <w:rPr>
          <w:b/>
          <w:bCs/>
          <w:color w:val="1F4E79"/>
          <w:sz w:val="18"/>
          <w:szCs w:val="18"/>
        </w:rPr>
        <w:t xml:space="preserve">[Observed] </w:t>
      </w:r>
      <w:r>
        <w:t xml:space="preserve">Eleven studies contribute the 4,905 QC-passing Ghanaian isolates. Table 2.4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2.4.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2.5: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2.5.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2.6):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2.6.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2.4.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2.6).</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2.7.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3.1,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strengthens the evidence that very low measured differentiation is stable across the tested thresholds and it removes the support for isolation by distance, which is significant at the published thresholds and at almost none of the others. That is a loss of a result, not a refinement of one, and Section 3.14 states it as such. Stage 10 is retained in the repository and in Table 3.1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3.1.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3.1.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3.2.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3.4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3.4.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3.4. The same three ordinations on the 1,900-isolate analysis set, coloured by agro-ecological zone, with the distance submatrix re-sliced for those isolates rather than taken from the cached full-set matrix. Compare Figure 3.2,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1.1, Section 6.8.3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3.3.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3.2),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3.2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3.2.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3.3,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3.3.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3.3.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very low differentiation at the retained common variants persisted.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3.5.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The isolation-by-distance finding must therefore be reported as not robust.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distance-gradient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r>
        <w:rPr>
          <w:b/>
          <w:bCs/>
        </w:rPr>
        <w:t xml:space="preserve"/>
      </w:r>
      <w:r>
        <w:t xml:space="preserve"/>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measured differentiation remains very low at the lower MAF floor; this is a comparison of panel-specific estimates, not evidence about a mating system or contemporary exchange.</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check shows that the magnitude of measured common-variant differentiation is stable across the tested thresholds, whereas the significance of the distance correlation is not; it does not estimate panmixia.</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4.1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4.1.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4.1.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4.1,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4.2.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4.2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4.3.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4.4.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very low measured common-variant differentiation persists after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5.1.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5.2,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5.1.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5.2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5.2.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5.2,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5.2,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5.2,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5.2).</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The reassurance that is actually earned.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conditional edge-weight tests for the first time, and corrected the ploidy treatment that inflates FST by up to 31×. The conclusions did not move. Maximum pairwise FST is 0.00232 (SE 0.00053) against 0.0024 before; the ADMIXTURE cross-validation curve is still near-flat, with K = 2 at 0.83925 against K = 1 at 0.84384; and differentiation among Ghana's agro-ecological zones remains very low at the retained common variants.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5.2).</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very low common-variant differentiation, maximum pairwise FST of the same order</w:t>
      </w:r>
      <w:r>
        <w:rPr>
          <w:i/>
          <w:iCs/>
          <w:sz w:val="19"/>
          <w:szCs w:val="19"/>
        </w:rPr>
        <w:t xml:space="preserve"/>
      </w:r>
      <w:r>
        <w:rPr>
          <w:sz w:val="19"/>
          <w:szCs w:val="19"/>
          <w:vertAlign w:val="subscript"/>
        </w:rPr>
        <w:t xml:space="preserve"/>
      </w:r>
      <w:r>
        <w:rPr>
          <w:sz w:val="19"/>
          <w:szCs w:val="19"/>
        </w:rPr>
        <w:t xml:space="preserve">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6.1.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4.1,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6.2.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6.3.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6.1.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6.2a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6.4.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6.4a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6.4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6.4a.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6.2a. UMAP, t-SNE and PCoA of the 1,900 x 1,900 submatrix of the same Pf8 distance matrix — the analysis set used in Sections 6.1 and 6.4 to 6.7 — coloured by agro-ecological zone, with point counts per zone in the legend. Compare Figure 6.2,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6.2a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6.4a).</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6.4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6.3.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6.5.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measured differentiation is very low at the retained common variants; it does not establish that the zones form a single demographic population or identify barriers to contemporary exchange.</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The estimates describe very low differentiation, but do not quantify barriers to contemporary exchange or predict whether, by which route or how quickly an allele would move between Accra and Bolgatanga.</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6.6.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6.4.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6.7a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6.7. Leave-one-region-out Mantel jackknife (results/mantel_jackknife_region.csv). The result is significant in 4 of the 7 replicates. At zone level the equivalent jackknife is significant in 0 of 4 replicates. This jackknife varies which populations enter the test; Table 6.7a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6.7a.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6.6. Negative pairs floored, in row order: 3, 4, 3, 0, 4, 4. All tests are one-sided over 9,999 permutations at seed 42.</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6.6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Two checks now bear on this test, they vary different things, and they agree. The leave-one-region-out jackknife (Table 6.7) finds it significant in 4 of 7 replicates, with significance collapsing whenever the region defining either end of the distance range is dropped — Upper East at the long end, Greater Accra or Eastern at the short end. The threshold sensitivity (Table 6.7a) finds it significant in 2 of 6 scenarios, and the relaxation that most directly tests the filter doing the most work — removing the Fws cut, which more than doubles the isolate count to 4,403 — moves p from 0.0252 to 0.1792. The honest statement is that the isolation-by-distance result holds at the published thresholds and almost nowhere else.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distance-gradient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w:r>
      <w:r>
        <w:rPr>
          <w:i/>
          <w:iCs/>
          <w:sz w:val="19"/>
          <w:szCs w:val="19"/>
        </w:rPr>
        <w:t xml:space="preserve"/>
      </w:r>
      <w:r>
        <w:rPr>
          <w:sz w:val="19"/>
          <w:szCs w:val="19"/>
          <w:vertAlign w:val="subscript"/>
        </w:rPr>
        <w:t xml:space="preserve"/>
      </w:r>
      <w:r>
        <w:rPr>
          <w:sz w:val="19"/>
          <w:szCs w:val="19"/>
        </w:rPr>
        <w:t xml:space="preserve"/>
      </w:r>
      <w:r>
        <w:rPr>
          <w:b/>
          <w:bCs/>
          <w:sz w:val="19"/>
          <w:szCs w:val="19"/>
        </w:rPr>
        <w:t xml:space="preserve"/>
      </w:r>
      <w:r>
        <w:rPr>
          <w:sz w:val="19"/>
          <w:szCs w:val="19"/>
        </w:rPr>
        <w:t xml:space="preserve"/>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The magnitude of measured common-variant differentiation is therefore stable across both tested thresholds,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6.4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6.8.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6.5.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6.8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6.9.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6.6. ADMIXTURE ancestry proportions, K = 1-8, with isolates ordered by zone (n = 1,900). Each vertical bar is one isolate. No K produces components that correspond to zone boundaries as discrete blocks; the significant between-zone difference reported in Table 6.9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measured zone-associated ancestry contrast is small; neither its practical consequences nor the mating system is established by this analysis.</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6.5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6.10.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6.11.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6.7.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6.11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6.8.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6.7.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6.7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6.7a).</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6.7a.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6.7,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6.7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6.8.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6.11,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6.9.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6.8.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6.8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6.9),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6.10.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6.10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6.11.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6.11,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6.12.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6.11;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6.8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6.8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6.8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differentiation among the sampled zones remains very low at the retained common variants.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The evidence for very low but detectable common-variant differentiation is strong, but it is neither five independent lines nor a test of random mating. FST, ADMIXTURE and TreeMix are three summaries of one genotype matrix: all three are computed from the same per-zone allele counts, and at this level of differentiation a four-population covariance matrix and the pairwise FST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8.2 row 21, Figure 8.1). The agreement between rows 1, 3 and 4 of Table 7.1 is therefore substantially arithmetic, not corroborative. What this revision adds is robustness rather than independence: the FST summary has been recomputed under six combinations of the two thresholds that define the dataset, and the maximum pairwise value moves only between 0.00204 and 0.00255 (row 5 of Table 7.1; Table 8.3). Those six scenarios are not independent lines either — they are the same pipeline on overlapping data — but they establish that the headline does not depend on the analyst's threshold choices, which is a different and more useful thing. The region-level Mantel test does not share that robustness, and it has to be given up. It is a fourth summary of the same matrix, computed from region-level FST, so it was never independent of the others; and it is significant in only 2 of 6 threshold scenarios and 4 of 7 leave-one-region-out replicates, so it cannot be cited as a converging line at all (Table 7.2, row 1). It was the result carrying a supported distance-gradient claim, and losing it is a real loss rather than a tidying-up. Described accurately, what remains is: three summaries of one 3,916-SNP genotype matrix (ADMIXTURE on 3,385 LD-pruned sites of it), plus three ordinations of an independently published distance matrix on the same 1,900 isolates, all pointing the same way, and insensitive to both thresholds that define the dataset. Sensitivity strengthens the measured-differentiation result. A robust isolation-by-distance result is not established.</w:t>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Among-zone allele-frequency differentiation is very low but statistically detectable at the retained common variants</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Zones do not separate in these ordinations; removing the polyclonal and clonally redundant isolates does not improve the silhouette coefficient</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the ancestry component barely improves cross-validation fit in this panel; this does not exclude structure at unexamined variants</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Within the fitted covariance model, the bifurcating topology explains 89.7% of the covariance; adding two edges raises this to 99.7%, with edge weights distinguishable from zero conditional on that graph</w:t>
            </w:r>
          </w:p>
        </w:tc>
        <w:tc>
          <w:tcPr>
            <w:tcW w:type="dxa" w:w="2723"/>
            <w:tcMar>
              <w:top w:type="dxa" w:w="60"/>
              <w:left w:type="dxa" w:w="90"/>
              <w:bottom w:type="dxa" w:w="60"/>
              <w:right w:type="dxa" w:w="90"/>
            </w:tcMar>
          </w:tcPr>
          <w:p>
            <w:pPr>
              <w:spacing w:after="0" w:line="240"/>
            </w:pPr>
            <w:r>
              <w:rPr>
                <w:sz w:val="18"/>
                <w:szCs w:val="18"/>
              </w:rPr>
              <w:t xml:space="preserve">Improved covariance-model fit conditional on the fitted graph; contemporary exchange and the underlying branching history are not identified</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8.3).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7.1.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7.2,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7.2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8.3):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differ by zone alongside very low but detectable differentiation at the retained common variants.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7.2. Candidate evidence of weak structure. These results are not convergent with Table 7.1 and should not be counted as though they were; row 1 is itself computed from the same genotype matrix as Table 7.1,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7.1.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8.3 the same test is not significant, so the figure must not be read as a robust distance effect.</w:t>
      </w:r>
    </w:p>
    <w:p>
      <w:pPr>
        <w:spacing w:after="140" w:line="276"/>
      </w:pPr>
      <w:r>
        <w:rPr>
          <w:b/>
          <w:bCs/>
          <w:color w:val="7A4E00"/>
          <w:sz w:val="18"/>
          <w:szCs w:val="18"/>
        </w:rPr>
        <w:t xml:space="preserve">[Interpreted] Ghanaian P. falciparum shows very low but detectable differentiation among the sampled zones at retained common variants, alongside differences in minor-component ancestry and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pfaat1 S258L excepted — but they are not nothing either. This answers the differentiation part of the thesis's first objective within the sampled panel; the analyses do not directly test demographic barriers or identify contemporary gene-flow magnitude or direction. It is not, however, a negative answer for the thesis's third objective; see §7.4 and §7.5.</w:t>
      </w:r>
      <w:r>
        <w:t xml:space="preserve"/>
      </w:r>
      <w:r>
        <w:rPr>
          <w:i/>
          <w:iCs/>
        </w:rPr>
        <w:t xml:space="preserve"/>
      </w:r>
      <w:r>
        <w:t xml:space="preserve"/>
      </w:r>
      <w:r>
        <w:rPr>
          <w:i/>
          <w:iCs/>
        </w:rPr>
        <w:t xml:space="preserve"/>
      </w:r>
      <w:r>
        <w:t xml:space="preserve"/>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The difference is statistically detectable at n = 1,900 and small in the measured ancestry component; its operational consequences have not been tested.</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7.2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7.2.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Very low measured differentiation is compatible with several demographic explanations. Ghana is approximately 670 km north to south, human mobility along the north–south corridor is substantial, P. falciparum undergoes obligate sexual recombination in the mosquito, and transmission across most of the country is high. These considerations could contribute to weak differentiation, but do not identify the process responsible for the estimates here.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r>
        <w:t xml:space="preserve"/>
      </w:r>
      <w:r>
        <w:rPr>
          <w:i/>
          <w:iCs/>
        </w:rPr>
        <w:t xml:space="preserve"/>
      </w:r>
      <w:r>
        <w:t xml:space="preserve"/>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2.2).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2.3),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8.3).</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8.3)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7.3.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What the retained common-variant result licenses. Differentiation between zones is very low but detectable — maximum pairwise FST 0.00232, with one of six confidence intervals spanning zero (Guinea savanna vs transitional zone, [−0.00083, 0.00178]), and the maximum staying within 0.00204–0.00255 across six threshold scenarios (Table 8.3) — but this does not establish that sparse sampling adequately characterises population structure. Marker-frequency representativeness is a separate question, and the rebuilt resistance panel shows significant between-zone variation at six of the nine panel genes, including pfdhfr, pfdhps and pfaat1 (the others being pfcrt, pfmdr1 and pfmdr2). Whether a handful of sites represents the country's genomic background is not answered by a low differentiation estimate; the measured marker-frequency heterogeneity also argues against assuming that those sites represent resistance-marker frequencies.</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when common-variant differentiation is very low.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The resistance panel settles the question empirically, and the answer is no. Marker frequencies do differ by zone. pfaat1 S258L spans about 28 percentage points from coast to far north (0.824 to 0.544, χ² p = 1.89 × 10⁻¹⁸, n = 1,896 called). pfdhps G437 — the allele that was missing from the panel altogether in the previous draft — runs 0.964 in deciduous forest and 0.941 on the coast against 0.875 in Guinea savanna and 0.800 in the transitional zone (χ² p = 1.2 × 10⁻⁶, n = 1,892). The pfdhfr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despite very low differentiation among the sampled groups at retained common variants. The operational implication is the reverse of the previous draft's: low common-variant differentiation alone does not establish that sparse sampling characterises either population structure or marker frequencies. A surveillance design intended to track resistance needs to span the gradient, and this analysis is evidence for rather than against that requirement.</w:t>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r>
        <w:t xml:space="preserve"/>
      </w:r>
    </w:p>
    <w:p>
      <w:pPr>
        <w:spacing w:after="140" w:line="276"/>
      </w:pPr>
      <w:r>
        <w:rPr>
          <w:b/>
          <w:bCs/>
          <w:color w:val="1F6F4A"/>
          <w:sz w:val="18"/>
          <w:szCs w:val="18"/>
        </w:rPr>
        <w:t xml:space="preserve">[Calculated] Robustness of the readings above to the corrected panel. The conclusions in this section were reached on a neutral panel that grew from 3,359 to 3,916 SNPs (+16.6 per cent) once the filter order was corrected, with stages 4 to 9 re-run on the larger matrix. The substantive readings held — very low common-variant differentiation, maximum pairwise FST of about 0.0023, and a near-flat cross-validation curve. One reading did not hold, though it failed a later check rather than this one: isolation by distance, described in earlier drafts as a weak, leverage-dependent but real distance effect, is significant in only 2 of 6 threshold scenarios and is now reported as not robust (§8, Table 8.3).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rebuilt, by a new script that reconstructs codons rather than matching annotation strings, and several of its conclusions did change (§7.5, §8). This wording is used identically in §6 and in §8; details and the full comparison are in Table 8.1.</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b/>
          <w:bCs/>
        </w:rPr>
        <w:t xml:space="preserve"/>
      </w:r>
      <w:r>
        <w:t xml:space="preserve"/>
      </w:r>
    </w:p>
    <w:p>
      <w:pPr>
        <w:spacing w:after="140" w:line="276"/>
      </w:pPr>
      <w:r>
        <w:rPr>
          <w:b/>
          <w:bCs/>
          <w:color w:val="7A4E00"/>
          <w:sz w:val="18"/>
          <w:szCs w:val="18"/>
        </w:rPr>
        <w:t xml:space="preserve">[Interpreted] The containment corollary, correctly scoped. The analyses do not directly test barriers to contemporary exchange, so they do not establish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The lack of a robust isolation-by-distance result does not strengthen a claim about demographic barriers, which these analyses did not test. It does not follow that spread will be uniform in rate or that a single site will see it first; the pfaat1, pfdhps and pfdhfr zone differences show geographic heterogeneity whose causes cannot be separated here; very low common-variant differentiation does not predict those marker frequencies. Whether gene flow is in fact free is not measured here: a low differentiation estimate at retained common variants does not quantify contemporary connectivity.</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FST to free gene flow runs from very low measured differentiation to an assertion about process.</w:t>
      </w:r>
      <w:r>
        <w:rPr>
          <w:i/>
          <w:iCs/>
          <w:sz w:val="19"/>
          <w:szCs w:val="19"/>
        </w:rPr>
        <w:t xml:space="preserve"/>
      </w:r>
      <w:r>
        <w:rPr>
          <w:sz w:val="19"/>
          <w:szCs w:val="19"/>
          <w:vertAlign w:val="subscript"/>
        </w:rPr>
        <w:t xml:space="preserve"/>
      </w:r>
      <w:r>
        <w:rPr>
          <w:sz w:val="19"/>
          <w:szCs w:val="19"/>
        </w:rPr>
        <w:t xml:space="preserve">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very low but detectable common-variant differentiation, with neither population-structure nor marker-frequency representativeness established by sparse sampling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r>
        <w:t xml:space="preserve"/>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Correcting the pipeline did not overturn its population-genetic conclusions, and that is worth reporting precisely rather than as a slogan. The corrected filter order recomputes variant missingness on the 1,900 isolates that actually survive QC rather than on the 2,017 measured before 117 of them are dropped. At identical thresholds and with an identical sample set, this yields 3,916 SNPs instead of 3,359 — a 16.6 per cent larger analysis matrix for free — and stages 4 through 9 were re-run on it with a corrected FDR, seeded permutation tests, single-threaded BayPass and TreeMix standard errors in place. The substantive readings held — very low common-variant differentiation, maximum pairwise FST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under this correction, which is the claim being made — not that nothing changed, and not that nothing has changed since. A later check did overturn one, and it is reported two paragraphs below.</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The four outstanding checks have now been run. Three confirmed robustness; one overturned a conclusion. (i) Threshold sensitivity. scripts/step13_sensitivity.py rebuilds the analysis matrix under six combinations of the two thresholds that define the dataset — the Fws monoclonality cut, which discards 57 per cent of isolates and does so unevenly by zone, and the MAF floor, which discards 99.8 per cent of sites — and recomputes pairwise FST and the region-level Mantel test for each (Table 8.3). The magnitude of measured common-variant differentiation is stable across both: maximum pairwise FST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Isolation by distance is not: the Mantel test is significant in 2 of 6 scenarios, failing at every relaxation of the Fws cut and at MAF ≥ 0.01, and holding only at the published thresholds and marginally at MAF ≥ 0.02. Taken with the leave-one-region-out jackknife, which already showed 4 of 7 and collapse when Upper East is dropped, the finding must now be reported as not robust. It was the manuscript's distance-gradient finding, and it did not survive the two checks the audit itself identified as most needed. That is the overturned conclusion, and it is a loss rather than a refinement. (ii) Outlier variant quality. The 19 XtX outliers are better-supported calls than the rest of the panel, not worse, and the exported-protein artefact worry is closed; two adjacent chromosome-11 SNPs are downgraded for an unrelated and still-unverified reason (§7.2 and its note). (iii) Stage 3 re-run on the 1,900-isolate analysis set. The ordination conclusion is unchanged, the silhouette becomes slightly more negative, and the figures now describe the same sample as every other result (Figure 8.1). (iv) GeoJSON provenance remains open and cannot be closed analytically; it requires a written enquiry to the likely custodian (§9.3). Two secondary observations from (i) are worth recording in their own right: relaxing Fws slightly raises FST (0.00232 to 0.00255), so the polyclonal isolates the filter removes were not masking differentiation; and tripling the SNP count via MAF ≥ 0.01 lowers it (0.00204), as expected if rarer variants are less differentiated between zones.</w:t>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8.3)</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remains very low but detectable at retained common variants</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8.3),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7.1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8.1.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8.3.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4.3).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8.1)</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Measured common-variant differentiation is stable across the tested thresholds: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8.3).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8.1</w:t>
            </w:r>
          </w:p>
        </w:tc>
      </w:tr>
    </w:tbl>
    <w:p>
      <w:pPr>
        <w:spacing w:after="220" w:before="80" w:line="240"/>
      </w:pPr>
      <w:r>
        <w:rPr>
          <w:i/>
          <w:iCs/>
          <w:color w:val="444444"/>
          <w:sz w:val="18"/>
          <w:szCs w:val="18"/>
        </w:rPr>
        <w:t xml:space="preserve">Table 8.2.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8.3.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Very low measured common-variant differentiation is stable across the tested thresholds; isolation by distance is not robust.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8.1.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8.2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8.2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8.2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8.2.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8.3).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8.3), so the very low measured differentiation persists in the larger common-variant panel.</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8.3),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8.3).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measured differentiation remains very low under these relaxations and rises slightly rather than falling — the excluded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8.3).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6.2 and the Table 6.3 metrics describe 4,905 isolates, which also weakened the one claim to analytical independence in Table 7.1. Stage 3 has now been re-run on the 1,900-isolate analysis set (Table 8.2 row 21, Figure 8.1):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9.1.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What the threshold-sensitivity analysis does and does not change in this list. It strengthens the headline and removes a finding, and the two should be stated together. The stability of measured common-variant differentiation no longer rests on one threshold setting: maximum pairwise FST stays within 0.00204–0.00255 across six combinations of the two thresholds that define the analysis set, over sample sizes from 1,900 to 4,403 and SNP counts from 3,275 to 10,876 (Table 8.3). Limitations 5, 6 and 7 — panel size, the transitional zone's 25 isolates and the Fws exclusion — therefore constrain the precision of that conclusion without threatening it, which is a stronger position than the previous draft could claim. Isolation by distance is in the opposite position.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distance-gradient finding has been lost. No reanalysis of these data will recover it; recovering it would need isolates with recorded collection coordinates (§9.2), and that is a design change rather than an analytical one.</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8.3).</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8.3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8.1.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8.3).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The episode motivates the Git tracking now in place, which can detect changes in tracked files. Gap (ii) below concerns the exact historical generating state, which current tracking does not establish retrospectively.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now under Git version control, but the baseline archive does not establish the exact script state used by the historical runs; pf8_ghana_pipeline.zip contains the unmodified originals. Git can detect subsequent changes in tracked files, but cannot retrospectively prove the contents of the lost historical output.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The evidence that measured common-variant differentiation is stable across the tested thresholds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10.1.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10.2, and the one internal cross-reference to it, in Appendix F, is renumbered with it.</w:t>
      </w:r>
    </w:p>
    <w:p>
      <w:pPr>
        <w:spacing w:after="140" w:line="276"/>
      </w:pPr>
      <w:r>
        <w:rPr>
          <w:b/>
          <w:bCs/>
          <w:color w:val="1F6F4A"/>
          <w:sz w:val="18"/>
          <w:szCs w:val="18"/>
        </w:rPr>
        <w:t xml:space="preserve">[Calculated] Isolation by distance is no longer a supported result. This is the one population-genetic conclusion that the threshold sensitivity overturned, and the loss is a real one: it was the manuscript's distance-gradient finding. The numbers themselves are unchanged. At the published thresholds the region-level Mantel correlation is r = 0.4269 (p = 0.0252) with negative FST pairs floored to zero, and r = 0.4138 (p = 0.0413) without flooring; three of the 21 region pairs were affected, so on the final matrix the censoring no longer determines significance, although both versions are reported and the disclosure stands. What has changed is what those numbers are worth. The test is significant in two of the six threshold scenarios — the published one and MAF &gt;= 0.02 at p = 0.0467 — and fails at every relaxation of the Fws cut (p = 0.0874, 0.1687 and 0.1792) and at MAF &gt;= 0.01 (p = 0.0617). The two thresholds fail it in different ways and the difference is informative. Relaxing Fws changes the correlation itself, which falls from 0.4269 to 0.2447 as the isolate count rises from 1,900 to 4,403; relaxing MAF leaves the correlation essentially untouched (0.4325 at MAF &gt;= 0.01, 0.4341 at MAF &gt;= 0.02) and moves only the permutation p-value across the 0.05 line. So the result is sensitive to which isolates are analysed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(n = 1,334; r = +0.260, p = 0.218), Greater Accra (n = 204; r = +0.250, p = 0.232) or Eastern (n = 34; r = +0.288, p = 0.136) — the honest grade is not robust: it holds at the published thresholds on the complete set of seven regions, and almost nowhere else. At zone level it was never demonstrable at all: r = 0.4709 with p = 0.1218 over six pairs, none of the four leave-one-out replicates significant, and only 24 distinct permutations available, which is a resolution limit rather than a negative finding. The result is not deleted and should not be. A correlation of 0.43 over 21 region pairs that survives neither a change of monoclonality cut nor a change of MAF floor is a statement about this dataset's resolution, not evidence of a distance gradient in Ghanaian Plasmodium falciparum, and it is reported here with its sensitivity so that a successor with more populations or finer spatial units can test it properly. Not robust.</w:t>
      </w:r>
      <w:r>
        <w:rPr>
          <w:b/>
          <w:b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Ancestry structure aligned to geography is detectable and small in its measured effect.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p = 1.05 x 10-22. Zone nonetheless explains only 1.9 per cent of the variance in that component (η2 = 0.019, computed from the final Q matrix). The means are not monotone with latitude: deciduous forest exceeds coastal savanna, and the transitional zone, which is the second-most-northern zone, sits lowest of the four. The small measured ancestry contrast survives; its biological consequences have not been tested. The correct statement is that zone-associated ancestry structure is statistically present, non-monotone in latitude, and small in this measured component.</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p>
    <w:p>
      <w:pPr>
        <w:spacing w:after="140" w:line="276"/>
      </w:pPr>
      <w:r>
        <w:rPr>
          <w:b/>
          <w:bCs/>
          <w:color w:val="1F6F4A"/>
          <w:sz w:val="18"/>
          <w:szCs w:val="18"/>
        </w:rPr>
        <w:t xml:space="preserve">[Calculated] Within the fitted TreeMix covariance model, the bifurcating topology leaves residual covariance that the selected descriptive two-edge graph absorbs. With jackknife standard errors enabled, variance explained rises from 0.897 at m = 0 to 0.941 at m = 1 and 0.997 at m = 2. Every edge weight in the m = 2 graph is distinguishable from zero conditional on its fitted topology and root (p = 7.5 x 10-4 and 3.3 x 10-16); the third fitted edge at m = 3 is not distinguishable from zero conditional on that graph (weight 0.065, SE 0.147, p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The edge tests do not propagate graph-structure uncertainty or identify contemporary exchange. Specific gene-flow corridors remain unidentifiable with four populations.</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10.1. UMAP, t-SNE and PCoA of the 1,900 × 1,900 analysis-set distance submatrix, coloured by agro-ecological zone: the same three ordinations as Figure 6.2,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6.2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What this implies for surveillance design, stated narrowly. Differentiation among the sampled zones is very low but detectable at retained common variants; that result does not show that a spatially sparse design adequately characterises population structure. The lack of a robust isolation-by-distance result does not validate a sparse sampling design. Marker-frequency representativeness is a separate question, and it is the question sentinel surveillance actually answers; on that question this analysis finds significant between-zone variation at pfdhps 437 (p = 1.2 x 10-6), pfdhfr (p &lt;= 2.43 x 10-4 at all three triple-mutant codons; the largest of the three is 2.425 x 10-4 at Asn51Ile) and pfaat1 (p = 1.9 x 10-18).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r>
        <w:rPr>
          <w:b/>
          <w:bCs/>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 label now withdrawn,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10.1),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Does adding edges improve fit within the fitted TreeMix covariance model?</w:t>
            </w:r>
          </w:p>
        </w:tc>
        <w:tc>
          <w:tcPr>
            <w:tcW w:type="dxa" w:w="5026"/>
            <w:tcMar>
              <w:top w:type="dxa" w:w="60"/>
              <w:left w:type="dxa" w:w="90"/>
              <w:bottom w:type="dxa" w:w="60"/>
              <w:right w:type="dxa" w:w="90"/>
            </w:tcMar>
          </w:tcPr>
          <w:p>
            <w:pPr>
              <w:spacing w:after="0" w:line="240"/>
            </w:pPr>
            <w:r>
              <w:rPr>
                <w:sz w:val="18"/>
                <w:szCs w:val="18"/>
              </w:rPr>
              <w:t xml:space="preserve">Within the fitted covariance model, yes. m = 2 is the selected descriptive model: its two edge weights are distinguishable from zero conditional on its fitted topology and root (p = 7.5 x 10-4 and 3.3 x 10-16), while the third fitted edge is not distinguishable from zero conditional on that graph (weight 0.065, SE 0.147, p = 0.33), and m = 3 is non-identifiable with four populations. That does not identify how many migration events occurred, and the variance-explained criterion across the full sweep still prefers m = 3, so the two criteria disagree. Graph-structure uncertainty is not propagated by the edge tests, and contemporary exchange and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Conditional support for improved fit in the selected covariance model; m = 2 is a descriptive model choice rather than a settled edge count; graph structure, contemporary exchange and corridors not identified</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comprise twenty-two codons fixed at the reference residue and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10.2. Research questions and the answers the current evidence supports. This table carried the number 10.1 in previous versions and is renumbered because the threshold-sensitivity table in Section 10.1 is now Table 10.1; the one internal cross-reference, in Appendix F, Table F.2,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10.1) and answered in both directions: measured common-variant differentiation is stable, with max FST ranging only 0.00204–0.00255 over six scenarios</w:t>
      </w:r>
      <w:r>
        <w:rPr>
          <w:i/>
          <w:iCs/>
        </w:rPr>
        <w:t xml:space="preserve"/>
      </w:r>
      <w:r>
        <w:rPr>
          <w:vertAlign w:val="subscript"/>
        </w:rPr>
        <w:t xml:space="preserve"/>
      </w:r>
      <w:r>
        <w:t xml:space="preserve">,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10.1). Mapping quality and the other callset annotations were checked at all 19 outlier positions, clearing the exported-protein objection and flagging two chromosome-11 sites. Stage 3 was re-run on the 1,900-isolate analysis set (Figure 10.1).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F.1,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report very low but detectable common-variant differentiation as its zone-level result and isolation by distance only as a non-robust observation, which is how Section 10.1 and Table 10.2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common-variant differentiation is very low but detectable and the distance gradient is not robust. The measured differentiation and ancestry contrasts do not establish that a sparse sampling design is adequate; surveillance representativeness also depends on marker geography and sampling design.</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A closing assessment.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pfdhps G437 at 0.897 and zone-structured, the pfdhfr triple mutant measured as a haplotype at 0.771, and pfaat1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the stability of measured common-variant differentiation the best-evidenced conclusion in the manuscript, because FST moved by less than 0.0005 while the Mantel p-value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A.1.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4.3.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B.1.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10.1 — very low measured common-variant differentiation stable,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F.1,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10.1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10.1, the three ordinations on the 1,900-isolate analysis set. The published figures/dimred_comparison_zone.png (Figure 6.2,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C.1.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now under Git version control, but the baseline archive does not establish the exact commands and script revisions used by the historical runs;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Reproducibility caveat. The zone polygon layer (data/ghanaAEZ.geojson) still has no citable provenance, so Stage 2 cannot be reproduced from public sources alone. The file has been identified with certainty — it is byte-for-byte identical to ArcGIS Online item 0776dae5c5314102bd03fdaab8df0356, md5 96b1a7f4da62d6f0153826f41af96152 on both sides — but that item's licenseInfo and accessInformation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now under Git version control, but the baseline archive does not establish the exact script state used by the historical runs;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F.1, row 13) — but the incident itself belongs in this list, because nothing under results/ is write-protected; Git can now detect changes in tracked output files, but it cannot retrospectively establish the contents of the lost historical table. A fifth, added in this revision: the codon panel's pfk13 codon list is transcribed from the WHO compendium into step12_codon_panel.py by hand, which is exactly the kind of step that produced defect 10 below, so a successor should re-check the list against the compendium rather than against the previous script.</w:t>
      </w:r>
      <w:r>
        <w:rPr>
          <w:b/>
          <w:bCs/>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r>
        <w:rPr>
          <w:rFonts w:ascii="Consolas" w:cs="Consolas" w:eastAsia="Consolas" w:hAnsi="Consolas"/>
          <w:sz w:val="18"/>
          <w:szCs w:val="18"/>
        </w:rPr>
        <w:t xml:space="preserve"/>
      </w:r>
      <w:r>
        <w:t xml:space="preserve"/>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This appendix exists for traceability, and it now records three rounds. Round one, 9–10 October 2026: an adversarial multi-agent audit.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Sixty-one findings were confirmed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Round two, 10 October 2026: an external critique of the corrected manuscript. It raised five points. All five were upheld and four were defects in the analysis code, not in the prose — in the resistance panel that round one had introduced to fix its own largest finding. The panel was rebuilt as scripts/step12_codon_panel.py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Round three, 10 October 2026: the four outstanding robustness checks. This round was not an audit of the manuscript but the execution of four items that Section 10.4 carried as outstanding, and it is recorded here because one of them overturned a conclusion instead of confirming it. The Fws and MAF sensitivity analysis (scripts/step13_sensitivity.py) withdrew isolation by distance as a supported result — significant in two of six threshold scenarios — and, from the same six runs, was initially described as making near-panmixia the best-evidenced conclusion in the manuscript. That earlier label is now withdrawn: the six runs establish stability of measured common-variant differentiation, not the mating system.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F.1 rather than left in the logs.</w:t>
      </w:r>
      <w:r>
        <w:t xml:space="preserve"/>
      </w:r>
      <w:r>
        <w:rPr>
          <w:b/>
          <w:bCs/>
        </w:rPr>
        <w:t xml:space="preserve"/>
      </w:r>
      <w:r>
        <w:t xml:space="preserve"/>
      </w:r>
      <w:r>
        <w:rPr>
          <w:b/>
          <w:bCs/>
        </w:rPr>
        <w:t xml:space="preserve"/>
      </w:r>
      <w:r>
        <w:t xml:space="preserve"/>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b/>
          <w:bCs/>
        </w:rPr>
        <w:t xml:space="preserve"/>
      </w:r>
      <w:r>
        <w:t xml:space="preserve"/>
      </w:r>
      <w:r>
        <w:rPr>
          <w:i/>
          <w:iCs/>
        </w:rPr>
        <w:t xml:space="preserve"/>
      </w:r>
      <w:r>
        <w:rPr>
          <w:vertAlign w:val="subscript"/>
        </w:rPr>
        <w:t xml:space="preserve"/>
      </w:r>
      <w:r>
        <w:t xml:space="preserve"/>
      </w:r>
      <w:r>
        <w:rPr>
          <w:rFonts w:ascii="Consolas" w:cs="Consolas" w:eastAsia="Consolas" w:hAnsi="Consolas"/>
          <w:sz w:val="18"/>
          <w:szCs w:val="18"/>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establishes belongs in the record: the file was recoverable because its own inputs survived, and outputs were not protected against overwrite. The project is now under Git version control, which can detect changes in tracked files, but the baseline archive does not establish the contents of the lost historical table. Current tracking neither prevents an overwrite nor retrospectively recovers an unarchived file whose inputs were also lost.</w:t>
            </w:r>
            <w:r>
              <w:rPr>
                <w:rFonts w:ascii="Consolas" w:cs="Consolas" w:eastAsia="Consolas" w:hAnsi="Consolas"/>
                <w:sz w:val="18"/>
                <w:szCs w:val="18"/>
              </w:rPr>
              <w:t xml:space="preserve"/>
            </w:r>
            <w:r>
              <w:rPr>
                <w:sz w:val="18"/>
                <w:szCs w:val="18"/>
              </w:rPr>
              <w:t xml:space="preserve"/>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F.1.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differentiation among the sampled zones is very low but detectable at retained common variants; this does not establish that sparse sampling adequately characterises population structure.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6.4's caption and Table 10.2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F.2.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F.1 and did require a re-run; it is repeated here because the wording it replaces was prose. The four entries shown in bold were raised by the external critique, whose five points are otherwise recorded as defects 9-12 of Table F.1;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10.1;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10.1.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