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Additional file 1 — Supplementary material for: Population differentiation and antimalarial resistance-marker frequencies in </w:t>
      </w:r>
      <w:r>
        <w:rPr>
          <w:b/>
          <w:bCs/>
          <w:i/>
          <w:iCs/>
          <w:sz w:val="34"/>
          <w:szCs w:val="34"/>
        </w:rPr>
        <w:t xml:space="preserve">Plasmodium falciparum</w:t>
      </w:r>
      <w:r>
        <w:rPr>
          <w:b/>
          <w:bCs/>
          <w:sz w:val="34"/>
          <w:szCs w:val="34"/>
        </w:rPr>
        <w:t xml:space="preserve"> across the agro-ecological zones of Ghana, 2009–2021</w:t>
      </w:r>
    </w:p>
    <w:p>
      <w:pPr>
        <w:spacing w:after="560"/>
        <w:jc w:val="center"/>
      </w:pPr>
      <w:r>
        <w:rPr>
          <w:i/>
          <w:iCs/>
          <w:sz w:val="24"/>
          <w:szCs w:val="24"/>
        </w:rPr>
        <w:t xml:space="preserve">Full analysis record: methods detail, complete results, robustness checks and correction history</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Supplementary material accompanying the main article</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spacing w:after="140" w:line="276"/>
      </w:pPr>
      <w:r>
        <w:rPr>
          <w:b/>
          <w:bCs/>
        </w:rPr>
        <w:t xml:space="preserve">What this document is. </w:t>
      </w:r>
      <w:r>
        <w:t xml:space="preserve">This document is the complete analysis record behind the main article: the full methods detail, every robustness check that was run, the limitations register, and the record of defects found and corrected during the analysis. It is supplied so that any number in the article can be traced to the output that produced it, and so that the corrections made along the way are on the record rather than invisible.</w:t>
      </w:r>
    </w:p>
    <w:p>
      <w:pPr>
        <w:spacing w:after="140" w:line="276"/>
      </w:pPr>
      <w:r>
        <w:rPr>
          <w:b/>
          <w:bCs/>
        </w:rPr>
        <w:t xml:space="preserve">Numbering. </w:t>
      </w:r>
      <w:r>
        <w:t xml:space="preserve">Display items are numbered sequentially in the order they appear: Figure S1 to Figure S23 and Table S1 to Table S52. Every caption carries its own number. In the working report from which this document derives, 6 labels had each been used for more than one display item and three carried letter suffixes, so a cross-reference could be ambiguous; the numbering here removes that, and each cross-reference was bound to the nearest caption carrying its original label. Section numbering is unchanged, so references of the form “Section 6.9” still resolve within this document.</w:t>
      </w:r>
    </w:p>
    <w:p>
      <w:pPr>
        <w:spacing w:after="140" w:line="276"/>
      </w:pPr>
      <w:r>
        <w:rPr>
          <w:b/>
          <w:bCs/>
        </w:rPr>
        <w:t xml:space="preserve">References. </w:t>
      </w:r>
      <w:r>
        <w:t xml:space="preserve">Section 11 is the reference list. Every entry was checked against a primary source — the publisher’s deposit, the journal’s record, the archive record or the issuing organisation’s page — rather than against a citation aggregator.</w:t>
      </w:r>
    </w:p>
    <w:p>
      <w:pPr>
        <w:spacing w:after="140" w:line="276"/>
      </w:pPr>
      <w:r>
        <w:rPr>
          <w:b/>
          <w:bCs/>
        </w:rPr>
        <w:t xml:space="preserve">Where to look. </w:t>
      </w:r>
      <w:r>
        <w:t xml:space="preserve">Sections 3 and 5 give the methods and analytical decisions in full; Section 6 the complete results; Section 8 the robustness checks, including the six-scenario threshold sensitivity analysis; Section 9 the limitations register; and Section 12 the appendices.</w:t>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structure, gene flow and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w:t>
      </w:r>
      <w:r>
        <w:rPr>
          <w:b/>
          <w:bCs/>
        </w:rPr>
        <w:t xml:space="preserve">Conclusion.</w:t>
      </w:r>
      <w:r>
        <w:t xml:space="preserve"> At the resolution these data permit, Ghanaian </w:t>
      </w:r>
      <w:r>
        <w:rPr>
          <w:i/>
          <w:iCs/>
        </w:rPr>
        <w:t xml:space="preserve">P. falciparum</w:t>
      </w:r>
      <w:r>
        <w:t xml:space="preserve">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w:t>
      </w:r>
      <w:r>
        <w:rPr>
          <w:i/>
          <w:iCs/>
        </w:rPr>
        <w:t xml:space="preserve">F</w:t>
      </w:r>
      <w:r>
        <w:rPr>
          <w:vertAlign w:val="subscript"/>
        </w:rPr>
        <w:t xml:space="preserve">ST</w:t>
      </w:r>
      <w:r>
        <w:t xml:space="preserve">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w:t>
      </w:r>
      <w:r>
        <w:rPr>
          <w:i/>
          <w:iCs/>
        </w:rPr>
        <w:t xml:space="preserve">F</w:t>
      </w:r>
      <w:r>
        <w:rPr>
          <w:vertAlign w:val="subscript"/>
        </w:rPr>
        <w:t xml:space="preserve">ST</w:t>
      </w:r>
      <w:r>
        <w:t xml:space="preserve"> ranking and in the K = 2 minor component, with no robust evidence that genetic distance scales with geographic distance. That very low differentiation is a statement about neutral common-variant structure only: neutral common-variant differentiation between zones is negligible, so a spatially sparse design is adequate for characterising neutral structure, but marker-frequency representativeness is a separate question, and the resistance panel in this analysis shows significant between-zone variation at p &lt; 0.001 at </w:t>
      </w:r>
      <w:r>
        <w:rPr>
          <w:i/>
          <w:iCs/>
        </w:rPr>
        <w:t xml:space="preserve">pfdhfr</w:t>
      </w:r>
      <w:r>
        <w:t xml:space="preserve">, </w:t>
      </w:r>
      <w:r>
        <w:rPr>
          <w:i/>
          <w:iCs/>
        </w:rPr>
        <w:t xml:space="preserve">pfdhps</w:t>
      </w:r>
      <w:r>
        <w:t xml:space="preserve"> and </w:t>
      </w:r>
      <w:r>
        <w:rPr>
          <w:i/>
          <w:iCs/>
        </w:rPr>
        <w:t xml:space="preserve">pfaat1</w:t>
      </w:r>
      <w:r>
        <w:t xml:space="preserve">. That threshold is stated because it is a selection: on the four-zone chi-square as reported, several further loci are nominally significant at p &lt; 0.05, among them </w:t>
      </w:r>
      <w:r>
        <w:rPr>
          <w:i/>
          <w:iCs/>
        </w:rPr>
        <w:t xml:space="preserve">pfcrt</w:t>
      </w:r>
      <w:r>
        <w:t xml:space="preserve"> I356T (p = 1.6 x 10 to the -3), </w:t>
      </w:r>
      <w:r>
        <w:rPr>
          <w:i/>
          <w:iCs/>
        </w:rPr>
        <w:t xml:space="preserve">pfmdr2</w:t>
      </w:r>
      <w:r>
        <w:t xml:space="preserve"> I492V (p = 0.020) and </w:t>
      </w:r>
      <w:r>
        <w:rPr>
          <w:i/>
          <w:iCs/>
        </w:rPr>
        <w:t xml:space="preserve">pfmdr1</w:t>
      </w:r>
      <w:r>
        <w:t xml:space="preserve"> N86Y (p = 0.029). Low neutral </w:t>
      </w:r>
      <w:r>
        <w:rPr>
          <w:i/>
          <w:iCs/>
        </w:rPr>
        <w:t xml:space="preserve">F</w:t>
      </w:r>
      <w:r>
        <w:rPr>
          <w:vertAlign w:val="subscript"/>
        </w:rPr>
        <w:t xml:space="preserve">ST</w:t>
      </w:r>
      <w:r>
        <w:t xml:space="preserve"> therefore does not license an assumption that marker frequencies are spatially representative. The </w:t>
      </w:r>
      <w:r>
        <w:rPr>
          <w:i/>
          <w:iCs/>
        </w:rPr>
        <w:t xml:space="preserve">pfk13</w:t>
      </w:r>
      <w:r>
        <w:t xml:space="preserve">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p>
    <w:p>
      <w:pPr>
        <w:spacing w:after="140" w:line="276"/>
      </w:pPr>
      <w:r>
        <w:rPr>
          <w:b/>
          <w:bCs/>
          <w:color w:val="7A4E00"/>
          <w:sz w:val="18"/>
          <w:szCs w:val="18"/>
        </w:rPr>
        <w:t xml:space="preserve">[Interpreted] </w:t>
      </w:r>
      <w:r>
        <w:rPr>
          <w:b/>
          <w:bCs/>
        </w:rPr>
        <w:t xml:space="preserve">Robustness of these conclusions to the corrected re-runs and the final checks.</w:t>
      </w:r>
      <w:r>
        <w:t xml:space="preserve"> The population-structure readings held on a 16.6% larger SNP panel (3,359 to 3,916 SNPs) with corrected filter ordering, a bitwise-reproducible single-threaded BayPass, seeded permutation tests and full false-discovery accounting: near-panmixia, maximum </w:t>
      </w:r>
      <w:r>
        <w:rPr>
          <w:i/>
          <w:iCs/>
        </w:rPr>
        <w:t xml:space="preserve">F</w:t>
      </w:r>
      <w:r>
        <w:rPr>
          <w:vertAlign w:val="subscript"/>
        </w:rPr>
        <w:t xml:space="preserve">ST</w:t>
      </w:r>
      <w:r>
        <w:t xml:space="preserve">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w:t>
      </w:r>
      <w:r>
        <w:rPr>
          <w:b/>
          <w:bCs/>
        </w:rPr>
        <w:t xml:space="preserve">One conclusion has since been lost, and it was the report's only positive spatial finding.</w:t>
      </w:r>
      <w:r>
        <w:t xml:space="preserve"> The threshold sensitivity analysis shows the region-level Mantel result significant in 2 of 6 scenarios, and it also withdraws the earlier claim that the result no longer depends on the censoring of negative </w:t>
      </w:r>
      <w:r>
        <w:rPr>
          <w:i/>
          <w:iCs/>
        </w:rPr>
        <w:t xml:space="preserve">F</w:t>
      </w:r>
      <w:r>
        <w:rPr>
          <w:vertAlign w:val="subscript"/>
        </w:rPr>
        <w:t xml:space="preserve">ST</w:t>
      </w:r>
      <w:r>
        <w:t xml:space="preserve">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w:t>
      </w:r>
      <w:r>
        <w:rPr>
          <w:b/>
          <w:bCs/>
        </w:rPr>
        <w:t xml:space="preserve">not robust</w:t>
      </w:r>
      <w:r>
        <w:t xml:space="preserve">, and the previous version's listing of it among the strengthened results is withdrawn. Two strengthenings stand. Near-panmixia is now supported by </w:t>
      </w:r>
      <w:r>
        <w:rPr>
          <w:i/>
          <w:iCs/>
        </w:rPr>
        <w:t xml:space="preserve">F</w:t>
      </w:r>
      <w:r>
        <w:rPr>
          <w:vertAlign w:val="subscript"/>
        </w:rPr>
        <w:t xml:space="preserve">ST</w:t>
      </w:r>
      <w:r>
        <w:t xml:space="preserve"> stability across 0.00204-0.00255 over all six scenarios, which is better evidence than any single run could give;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w:t>
      </w:r>
      <w:r>
        <w:rPr>
          <w:i/>
          <w:iCs/>
        </w:rPr>
        <w:t xml:space="preserve">pfdhfr</w:t>
      </w:r>
      <w:r>
        <w:t xml:space="preserve"> triple-mutant figure, adding a locus that had been missing altogether, correcting a residue call, correcting the </w:t>
      </w:r>
      <w:r>
        <w:rPr>
          <w:i/>
          <w:iCs/>
        </w:rPr>
        <w:t xml:space="preserve">pfk13</w:t>
      </w:r>
      <w:r>
        <w:t xml:space="preserve"> list, and replacing the validation argument. The population analyses are therefore a partial confirmation with two strengthened results, one lost result, two downgraded outlier SNPs and one materially revised candidate list; the resistance results are new.</w:t>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If instead the zones exchange parasites freely, an allele arising anywhere will spread everywhere, and the surveillance question becomes one of timing rather than of geography.</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under neutral panmixia.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w:t>
      </w:r>
      <w:r>
        <w:rPr>
          <w:b/>
          <w:bCs/>
        </w:rPr>
        <w:t xml:space="preserve">A fifth round, and the loss of a result.</w:t>
      </w:r>
      <w:r>
        <w:t xml:space="preserve"> Four outstanding robustness checks were run at final revision, and they are the reason this version grades one finding lower than the last. Three of the four left the conclusions standing or strengthened them: the maximum pairwise </w:t>
      </w:r>
      <w:r>
        <w:rPr>
          <w:i/>
          <w:iCs/>
        </w:rPr>
        <w:t xml:space="preserve">F</w:t>
      </w:r>
      <w:r>
        <w:rPr>
          <w:vertAlign w:val="subscript"/>
        </w:rPr>
        <w:t xml:space="preserve">ST</w:t>
      </w:r>
      <w:r>
        <w:t xml:space="preserve"> varies only between 0.00204 and 0.00255 across six threshold scenarios spanning 1,900 to 4,403 isolates and 3,275 to 10,876 SNPs, so near-panmixia does not depend on the </w:t>
      </w:r>
      <w:r>
        <w:rPr>
          <w:i/>
          <w:iCs/>
        </w:rPr>
        <w:t xml:space="preserve">F</w:t>
      </w:r>
      <w:r>
        <w:rPr>
          <w:vertAlign w:val="subscript"/>
        </w:rPr>
        <w:t xml:space="preserve">ws</w:t>
      </w:r>
      <w:r>
        <w:t xml:space="preserve"> or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only positive spatial finding in this report - is significant in 2 of those 6 threshold scenarios and in 4 of 7 leave-one-region-out replicates, collapsing when Upper East is dropped, and is therefore graded </w:t>
      </w:r>
      <w:r>
        <w:rPr>
          <w:b/>
          <w:bCs/>
        </w:rPr>
        <w:t xml:space="preserve">not robust</w:t>
      </w:r>
      <w:r>
        <w:t xml:space="preserve">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Objectives 1 and 3 are now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Answered, and robust.</w:t>
            </w:r>
            <w:r>
              <w:rPr>
                <w:sz w:val="18"/>
                <w:szCs w:val="18"/>
              </w:rPr>
              <w:t xml:space="preserve"> Differentiation quantified and found very low (max </w:t>
            </w:r>
            <w:r>
              <w:rPr>
                <w:i/>
                <w:iCs/>
                <w:sz w:val="18"/>
                <w:szCs w:val="18"/>
              </w:rPr>
              <w:t xml:space="preserve">F</w:t>
            </w:r>
            <w:r>
              <w:rPr>
                <w:sz w:val="18"/>
                <w:szCs w:val="18"/>
              </w:rPr>
              <w:t xml:space="preserve">ST 0.00232, 95% CI 0.00128-0.00336; one of the six pairwise CIs spans zero). The magnitude is insensitive to both thresholds that define the dataset: max </w:t>
            </w:r>
            <w:r>
              <w:rPr>
                <w:i/>
                <w:iCs/>
                <w:sz w:val="18"/>
                <w:szCs w:val="18"/>
              </w:rPr>
              <w:t xml:space="preserve">F</w:t>
            </w:r>
            <w:r>
              <w:rPr>
                <w:sz w:val="18"/>
                <w:szCs w:val="18"/>
              </w:rPr>
              <w:t xml:space="preserve">ST stays within 0.00204-0.00255 across all six scenarios, over 1,900-4,403 isolates and 3,275-10,876 SNPs. A two-edge graph is the model these data select (edge p = 7.5 x 10 to the -4 and 3.3 x 10 to the -16); a third is not supported (p = 0.33).</w:t>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S1.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Is there evidence of gene flow beyond a simple bifurcating population tree? Operationalised as TreeMix with 0-5 migration edges, run with jackknife standard errors so that each edge carries a p-value and the number of edges is informed by a test rather than only by the shape of the likelihood curve.</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S2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S2.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S3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S3.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S2),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S2.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S4).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S4. Collection year by zone in the final analysis set (n = 1,900). Computed from interim/analysis_samples.csv. Column totals match the zone counts in Table S3.</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S3.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S7 remains a 4,905-set figure.</w:t>
      </w:r>
    </w:p>
    <w:p>
      <w:pPr>
        <w:spacing w:after="140" w:line="276"/>
      </w:pPr>
      <w:r>
        <w:rPr>
          <w:b/>
          <w:bCs/>
          <w:color w:val="1F4E79"/>
          <w:sz w:val="18"/>
          <w:szCs w:val="18"/>
        </w:rPr>
        <w:t xml:space="preserve">[Observed] </w:t>
      </w:r>
      <w:r>
        <w:t xml:space="preserve">Eleven studies contribute the 4,905 QC-passing Ghanaian isolates. Table S5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S5.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S6: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S6.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S7):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S7.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S5.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S7).</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S8.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S9,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leaves near-panmixia stronger than before and it removes the support for isolation by distance, which is significant at the published thresholds and at almost none of the others. That is a loss of a result, not a refinement of one, and Section 3.14 states it as such. Stage 10 is retained in the repository and in Table S9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S9.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S3.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S4.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S5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S10.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S5. The same three ordinations on the 1,900-isolate analysis set, coloured by agro-ecological zone, with the distance submatrix re-sliced for those isolates rather than taken from the cached full-set matrix. Compare Figure S4,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S1, Section 6.8.3, Table S29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S6.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S11),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S11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S11.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S12,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S12.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S12.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near-panmixia continued to hold.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S13.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w:t>
      </w:r>
      <w:r>
        <w:rPr>
          <w:b/>
          <w:bCs/>
        </w:rPr>
        <w:t xml:space="preserve">The isolation-by-distance finding must therefore be reported as not robust.</w:t>
      </w:r>
      <w:r>
        <w:t xml:space="preserve">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only positive spatial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published MAF floor is therefore, if anything, mildly anticonservative with respect to the panmixia conclusion, and the conclusion survives the correction.</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honest reading is that the panmixia estimate was always well determined and the distance effect never was; what the check did was reveal which of the two the published thresholds had been carrying.</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S14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S14.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S7.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S7,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S15.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S15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S16.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S17.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the near-panmixia result is insensitive to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S18.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S19,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S8.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S19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S19.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S19,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S19,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S19,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S19).</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w:t>
      </w:r>
      <w:r>
        <w:rPr>
          <w:b/>
          <w:bCs/>
        </w:rPr>
        <w:t xml:space="preserve">The reassurance that is actually earned.</w:t>
      </w:r>
      <w:r>
        <w:t xml:space="preserve">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inferential support for the first time, and corrected the ploidy treatment that inflates </w:t>
      </w:r>
      <w:r>
        <w:rPr>
          <w:i/>
          <w:iCs/>
        </w:rPr>
        <w:t xml:space="preserve">F</w:t>
      </w:r>
      <w:r>
        <w:rPr>
          <w:vertAlign w:val="subscript"/>
        </w:rPr>
        <w:t xml:space="preserve">ST</w:t>
      </w:r>
      <w:r>
        <w:t xml:space="preserve"> by up to 31×. The conclusions did not move. Maximum pairwise </w:t>
      </w:r>
      <w:r>
        <w:rPr>
          <w:i/>
          <w:iCs/>
        </w:rPr>
        <w:t xml:space="preserve">F</w:t>
      </w:r>
      <w:r>
        <w:rPr>
          <w:vertAlign w:val="subscript"/>
        </w:rPr>
        <w:t xml:space="preserve">ST</w:t>
      </w:r>
      <w:r>
        <w:t xml:space="preserve"> is 0.00232 (SE 0.00053) against 0.0024 before; the ADMIXTURE cross-validation curve is still near-flat, with K = 2 at 0.83925 against K = 1 at 0.84384; and near-panmixia across Ghana's agro-ecological zones still holds.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S19).</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near-panmixia, maximum pairwise </w:t>
      </w:r>
      <w:r>
        <w:rPr>
          <w:i/>
          <w:iCs/>
          <w:sz w:val="19"/>
          <w:szCs w:val="19"/>
        </w:rPr>
        <w:t xml:space="preserve">F</w:t>
      </w:r>
      <w:r>
        <w:rPr>
          <w:sz w:val="19"/>
          <w:szCs w:val="19"/>
          <w:vertAlign w:val="subscript"/>
        </w:rPr>
        <w:t xml:space="preserve">ST</w:t>
      </w:r>
      <w:r>
        <w:rPr>
          <w:sz w:val="19"/>
          <w:szCs w:val="19"/>
        </w:rPr>
        <w:t xml:space="preserve"> of the same order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S20.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S14,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S21.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S22.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S9.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S10.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S11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S23.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S24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S23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S24.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 This table is new in this revision and is.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S11. UMAP, t-SNE and PCoA of the 1,900 x 1,900 submatrix of the same Pf8 distance matrix — the analysis set used in Sections 6.1 and 6.4 to 6.7 — coloured by agro-ecological zone, with point counts per zone in the legend. Compare Figure S10,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S11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S24).</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S23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S12.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S25.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practical reading is that these zones are not demographically separate populations; they are one population sampled in four places.</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None is practically significant in the sense of implying restricted gene flow. A resistance allele arising in Accra would be expected to reach Bolgatanga; the question these data cannot answer is how quickly.</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S26.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S13.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S28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S27. Leave-one-region-out Mantel jackknife (results/mantel_jackknife_region.csv). The result is significant in 4 of the 7 replicates. At zone level the equivalent jackknife is significant in 0 of 4 replicates. This jackknife varies which populations enter the test; Table S28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S28.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S26. Negative pairs floored, in row order: 3, 4, 3, 0, 4, 4. All tests are one-sided over 9,999 permutations at seed 42. This table is new in this revision and is.</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S26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w:t>
      </w:r>
      <w:r>
        <w:rPr>
          <w:sz w:val="19"/>
          <w:szCs w:val="19"/>
        </w:rPr>
        <w:t xml:space="preserve">Two checks now bear on this test, they vary different things, and they agree. The leave-one-region-out jackknife (Table S27) finds it significant in </w:t>
      </w:r>
      <w:r>
        <w:rPr>
          <w:b/>
          <w:bCs/>
          <w:sz w:val="19"/>
          <w:szCs w:val="19"/>
        </w:rPr>
        <w:t xml:space="preserve">4 of 7</w:t>
      </w:r>
      <w:r>
        <w:rPr>
          <w:sz w:val="19"/>
          <w:szCs w:val="19"/>
        </w:rPr>
        <w:t xml:space="preserve"> replicates, with significance collapsing whenever the region defining either end of the distance range is dropped — Upper East at the long end, Greater Accra or Eastern at the short end. The threshold sensitivity (Table S28) finds it significant in </w:t>
      </w:r>
      <w:r>
        <w:rPr>
          <w:b/>
          <w:bCs/>
          <w:sz w:val="19"/>
          <w:szCs w:val="19"/>
        </w:rPr>
        <w:t xml:space="preserve">2 of 6</w:t>
      </w:r>
      <w:r>
        <w:rPr>
          <w:sz w:val="19"/>
          <w:szCs w:val="19"/>
        </w:rPr>
        <w:t xml:space="preserve"> scenarios, and the relaxation that most directly tests the filter doing the most work — removing the </w:t>
      </w:r>
      <w:r>
        <w:rPr>
          <w:i/>
          <w:iCs/>
          <w:sz w:val="19"/>
          <w:szCs w:val="19"/>
        </w:rPr>
        <w:t xml:space="preserve">F</w:t>
      </w:r>
      <w:r>
        <w:rPr>
          <w:sz w:val="19"/>
          <w:szCs w:val="19"/>
          <w:vertAlign w:val="subscript"/>
        </w:rPr>
        <w:t xml:space="preserve">ws</w:t>
      </w:r>
      <w:r>
        <w:rPr>
          <w:sz w:val="19"/>
          <w:szCs w:val="19"/>
        </w:rPr>
        <w:t xml:space="preserve"> cut, which more than doubles the isolate count to 4,403 — moves p from 0.0252 to 0.1792. The honest statement is that </w:t>
      </w:r>
      <w:r>
        <w:rPr>
          <w:b/>
          <w:bCs/>
          <w:sz w:val="19"/>
          <w:szCs w:val="19"/>
        </w:rPr>
        <w:t xml:space="preserve">the isolation-by-distance result holds at the published thresholds and almost nowhere else</w:t>
      </w:r>
      <w:r>
        <w:rPr>
          <w:sz w:val="19"/>
          <w:szCs w:val="19"/>
        </w:rPr>
        <w:t xml:space="preserv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only positive spatial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Near-panmixia is therefore insensitive to both of the thresholds that define the dataset,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S13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S29.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S14.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S29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S30.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S15. ADMIXTURE ancestry proportions, K = 1-8, with isolates ordered by zone (n = 1,900). Each vertical bar is one isolate. No K produces components that correspond to zone boundaries as discrete blocks; the significant between-zone difference reported in Table S30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substantive conclusion the manuscript drew, that this is a population without ancestry structure of any practical consequence, survives; the way it was stated does not.</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S25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S31.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S32.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S16.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S32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S17.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S33.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S33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S34).</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S34.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S33,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S33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S35.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S38,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S36.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S35.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S35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S36),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S37.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S37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S38.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S38,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S39.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S38;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S35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S35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S35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near-panmixia across Ghana still holds.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w:t>
      </w:r>
      <w:r>
        <w:t xml:space="preserve">The evidence for negligible differentiation is strong, but it is neither five independent lines nor a test of random mating. </w:t>
      </w:r>
      <w:r>
        <w:rPr>
          <w:i/>
          <w:iCs/>
        </w:rPr>
        <w:t xml:space="preserve">F</w:t>
      </w:r>
      <w:r>
        <w:rPr>
          <w:vertAlign w:val="subscript"/>
        </w:rPr>
        <w:t xml:space="preserve">ST</w:t>
      </w:r>
      <w:r>
        <w:t xml:space="preserve">, ADMIXTURE and TreeMix are three summaries of one genotype matrix: all three are computed from the same per-zone allele counts, and at this level of differentiation a four-population covariance matrix and the pairwise </w:t>
      </w:r>
      <w:r>
        <w:rPr>
          <w:i/>
          <w:iCs/>
        </w:rPr>
        <w:t xml:space="preserve">F</w:t>
      </w:r>
      <w:r>
        <w:rPr>
          <w:vertAlign w:val="subscript"/>
        </w:rPr>
        <w:t xml:space="preserve">ST</w:t>
      </w:r>
      <w:r>
        <w:t xml:space="preserve">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S43 row 21, Figure S21). The agreement between rows 1, 3 and 4 of Table S40 is therefore substantially arithmetic, not corroborative. What this revision adds is robustness rather than independence: the </w:t>
      </w:r>
      <w:r>
        <w:rPr>
          <w:i/>
          <w:iCs/>
        </w:rPr>
        <w:t xml:space="preserve">F</w:t>
      </w:r>
      <w:r>
        <w:rPr>
          <w:vertAlign w:val="subscript"/>
        </w:rPr>
        <w:t xml:space="preserve">ST</w:t>
      </w:r>
      <w:r>
        <w:t xml:space="preserve"> summary has been recomputed under six combinations of the two thresholds that define the dataset, and the maximum pairwise value moves only between 0.00204 and 0.00255 (row 5 of Table S40; Table S44). Those six scenarios are not independent lines either — they are the same pipeline on overlapping data — but they establish that the headline does not depend on the analyst's threshold choices, which is a different and more useful thing. </w:t>
      </w:r>
      <w:r>
        <w:rPr>
          <w:b/>
          <w:bCs/>
        </w:rPr>
        <w:t xml:space="preserve">The region-level Mantel test does not share that robustness, and it has to be given up.</w:t>
      </w:r>
      <w:r>
        <w:t xml:space="preserve"> It is a fourth summary of the same matrix, computed from region-level </w:t>
      </w:r>
      <w:r>
        <w:rPr>
          <w:i/>
          <w:iCs/>
        </w:rPr>
        <w:t xml:space="preserve">F</w:t>
      </w:r>
      <w:r>
        <w:rPr>
          <w:vertAlign w:val="subscript"/>
        </w:rPr>
        <w:t xml:space="preserve">ST</w:t>
      </w:r>
      <w:r>
        <w:t xml:space="preserve">, so it was never independent of the others; and it is significant in only 2 of 6 threshold scenarios and 4 of 7 leave-one-region-out replicates, so it cannot be cited as a converging line at all (Table S41, row 1). It was the one result here carrying a positive structure claim, and losing it is a real loss rather than a tidying-up. Described accurately, what remains is: </w:t>
      </w:r>
      <w:r>
        <w:rPr>
          <w:b/>
          <w:bCs/>
        </w:rPr>
        <w:t xml:space="preserve">three summaries of one 3,916-SNP genotype matrix (ADMIXTURE on 3,385 LD-pruned sites of it), plus three ordinations of an independently published distance matrix on the same 1,900 isolates, all pointing the same way, and insensitive to both thresholds that define the dataset.</w:t>
      </w:r>
      <w:r>
        <w:t xml:space="preserve"> The negative half of the result is better supported than it was. The positive half is gone.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Zones share essentially all their common genetic variation</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 labels do not describe the variation — and removing the polyclonal and clonally redundant isolates makes the separation slightly worse, not better</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structure barely improves fit; any structure present is of negligible magnitude</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A bifurcating tree alone explains 89.7% of the covariance; two significant migration edges raise this to 99.7%</w:t>
            </w:r>
          </w:p>
        </w:tc>
        <w:tc>
          <w:tcPr>
            <w:tcW w:type="dxa" w:w="2723"/>
            <w:tcMar>
              <w:top w:type="dxa" w:w="60"/>
              <w:left w:type="dxa" w:w="90"/>
              <w:bottom w:type="dxa" w:w="60"/>
              <w:right w:type="dxa" w:w="90"/>
            </w:tcMar>
          </w:tcPr>
          <w:p>
            <w:pPr>
              <w:spacing w:after="0" w:line="240"/>
            </w:pPr>
            <w:r>
              <w:rPr>
                <w:sz w:val="18"/>
                <w:szCs w:val="18"/>
              </w:rPr>
              <w:t xml:space="preserve">Exchange between groups, not a branching history</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S44).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S40.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S41,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S41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S44):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do differ by zone, even though the neutral background does not.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S41. Candidate evidence of weak structure. These results are not convergent with Table S40 and should not be counted as though they were; row 1 is itself computed from the same genotype matrix as Table S40,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S18.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S44 the same test is not significant, so the figure must not be read as a robust distance effect.</w:t>
      </w:r>
    </w:p>
    <w:p>
      <w:pPr>
        <w:spacing w:after="140" w:line="276"/>
      </w:pPr>
      <w:r>
        <w:rPr>
          <w:b/>
          <w:bCs/>
          <w:color w:val="7A4E00"/>
          <w:sz w:val="18"/>
          <w:szCs w:val="18"/>
        </w:rPr>
        <w:t xml:space="preserve">[Interpreted] </w:t>
      </w:r>
      <w:r>
        <w:t xml:space="preserve">Ghanaian </w:t>
      </w:r>
      <w:r>
        <w:rPr>
          <w:i/>
          <w:iCs/>
        </w:rPr>
        <w:t xml:space="preserve">P. falciparum</w:t>
      </w:r>
      <w:r>
        <w:t xml:space="preserve"> behaves as a single, largely panmictic population for common neutral variation, with weak departures detectable in minor-component ancestry and in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w:t>
      </w:r>
      <w:r>
        <w:rPr>
          <w:i/>
          <w:iCs/>
        </w:rPr>
        <w:t xml:space="preserve">pfaat1</w:t>
      </w:r>
      <w:r>
        <w:t xml:space="preserve"> S258L excepted — but they are not nothing either. This is a substantive answer to the thesis's first objective, and a negative one for the strong form of its hypothesis: the ecological zones are not acting as demographic barriers at a scale these data can detect. It is not, however, a negative answer for the thesis's third objective; see §7.4 and §7.5.</w:t>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A difference can be highly significant at n = 1,900 and still be too small to matter for any operational purpose. That is what is being claimed here.</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S41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S19.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w:t>
      </w:r>
      <w:r>
        <w:t xml:space="preserve">That the headline is a negative is not surprising, and that is a point in its favour. Ghana is approximately 670 km north to south, human mobility along the north–south corridor is substantial, </w:t>
      </w:r>
      <w:r>
        <w:rPr>
          <w:i/>
          <w:iCs/>
        </w:rPr>
        <w:t xml:space="preserve">P. falciparum</w:t>
      </w:r>
      <w:r>
        <w:t xml:space="preserve"> undergoes obligate sexual recombination in the mosquito, and transmission across most of the country is high. All four favour genetic homogenisation.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S3).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S4),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S44).</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S44)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S20.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t>
      </w:r>
      <w:r>
        <w:rPr>
          <w:b/>
          <w:bCs/>
        </w:rPr>
        <w:t xml:space="preserve">What the neutral result licenses.</w:t>
      </w:r>
      <w:r>
        <w:t xml:space="preserve"> Neutral common-variant differentiation between zones is negligible — maximum pairwise </w:t>
      </w:r>
      <w:r>
        <w:rPr>
          <w:i/>
          <w:iCs/>
        </w:rPr>
        <w:t xml:space="preserve">F</w:t>
      </w:r>
      <w:r>
        <w:rPr>
          <w:vertAlign w:val="subscript"/>
        </w:rPr>
        <w:t xml:space="preserve">ST</w:t>
      </w:r>
      <w:r>
        <w:t xml:space="preserve"> 0.00232, with one of six confidence intervals spanning zero (Guinea savanna vs transitional zone, [−0.00083, 0.00178]), and the maximum staying within 0.00204–0.00255 across six threshold scenarios (Table S44) — so a spatially sparse design is adequate for characterising </w:t>
      </w:r>
      <w:r>
        <w:rPr>
          <w:b/>
          <w:bCs/>
        </w:rPr>
        <w:t xml:space="preserve">neutral</w:t>
      </w:r>
      <w:r>
        <w:t xml:space="preserve"> structure. Marker-frequency representativeness is a separate question, and the rebuilt resistance panel shows significant between-zone variation at </w:t>
      </w:r>
      <w:r>
        <w:rPr>
          <w:b/>
          <w:bCs/>
        </w:rPr>
        <w:t xml:space="preserve">six of the nine panel genes</w:t>
      </w:r>
      <w:r>
        <w:t xml:space="preserve">, including </w:t>
      </w:r>
      <w:r>
        <w:rPr>
          <w:i/>
          <w:iCs/>
        </w:rPr>
        <w:t xml:space="preserve">pfdhfr</w:t>
      </w:r>
      <w:r>
        <w:t xml:space="preserve">, </w:t>
      </w:r>
      <w:r>
        <w:rPr>
          <w:i/>
          <w:iCs/>
        </w:rPr>
        <w:t xml:space="preserve">pfdhps</w:t>
      </w:r>
      <w:r>
        <w:t xml:space="preserve"> and </w:t>
      </w:r>
      <w:r>
        <w:rPr>
          <w:i/>
          <w:iCs/>
        </w:rPr>
        <w:t xml:space="preserve">pfaat1</w:t>
      </w:r>
      <w:r>
        <w:t xml:space="preserve"> (the others being </w:t>
      </w:r>
      <w:r>
        <w:rPr>
          <w:i/>
          <w:iCs/>
        </w:rPr>
        <w:t xml:space="preserve">pfcrt</w:t>
      </w:r>
      <w:r>
        <w:t xml:space="preserve">, </w:t>
      </w:r>
      <w:r>
        <w:rPr>
          <w:i/>
          <w:iCs/>
        </w:rPr>
        <w:t xml:space="preserve">pfmdr1</w:t>
      </w:r>
      <w:r>
        <w:t xml:space="preserve"> and </w:t>
      </w:r>
      <w:r>
        <w:rPr>
          <w:i/>
          <w:iCs/>
        </w:rPr>
        <w:t xml:space="preserve">pfmdr2</w:t>
      </w:r>
      <w:r>
        <w:t xml:space="preserve">). If the question is whether a handful of sites will give a representative picture of the neutral genomic background, these data answer yes; if the question is whether those sites will give a representative picture of resistance-marker frequencies, these data answer no.</w:t>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under neutral panmixia.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w:t>
      </w:r>
      <w:r>
        <w:rPr>
          <w:b/>
          <w:bCs/>
        </w:rPr>
        <w:t xml:space="preserve">The resistance panel settles the question empirically, and the answer is no.</w:t>
      </w:r>
      <w:r>
        <w:t xml:space="preserve"> Marker frequencies do differ by zone. </w:t>
      </w:r>
      <w:r>
        <w:rPr>
          <w:i/>
          <w:iCs/>
        </w:rPr>
        <w:t xml:space="preserve">pfaat1</w:t>
      </w:r>
      <w:r>
        <w:t xml:space="preserve"> S258L spans about 28 percentage points from coast to far north (0.824 to 0.544, χ² p = 1.89 × 10⁻¹⁸, n = 1,896 called). </w:t>
      </w:r>
      <w:r>
        <w:rPr>
          <w:i/>
          <w:iCs/>
        </w:rPr>
        <w:t xml:space="preserve">pfdhps</w:t>
      </w:r>
      <w:r>
        <w:t xml:space="preserve"> </w:t>
      </w:r>
      <w:r>
        <w:rPr>
          <w:b/>
          <w:bCs/>
        </w:rPr>
        <w:t xml:space="preserve">G437</w:t>
      </w:r>
      <w:r>
        <w:t xml:space="preserve"> — the allele that was missing from the panel altogether in the previous draft — runs 0.964 in deciduous forest and 0.941 on the coast against 0.875 in Guinea savanna and 0.800 in the transitional zone (χ² p = 1.2 × 10⁻⁶, n = 1,892). The </w:t>
      </w:r>
      <w:r>
        <w:rPr>
          <w:i/>
          <w:iCs/>
        </w:rPr>
        <w:t xml:space="preserve">pfdhfr</w:t>
      </w:r>
      <w:r>
        <w:t xml:space="preserve">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from the same panmictic parasite population. The operational implication is the reverse of the previous draft's: </w:t>
      </w:r>
      <w:r>
        <w:rPr>
          <w:b/>
          <w:bCs/>
        </w:rPr>
        <w:t xml:space="preserve">neutral structure can be characterised sparsely; marker frequencies cannot.</w:t>
      </w:r>
      <w:r>
        <w:t xml:space="preserve"> A surveillance design intended to track resistance needs to span the gradient, and this analysis is evidence for rather than against that requirement.</w:t>
      </w:r>
    </w:p>
    <w:p>
      <w:pPr>
        <w:spacing w:after="140" w:line="276"/>
      </w:pPr>
      <w:r>
        <w:rPr>
          <w:b/>
          <w:bCs/>
          <w:color w:val="1F6F4A"/>
          <w:sz w:val="18"/>
          <w:szCs w:val="18"/>
        </w:rPr>
        <w:t xml:space="preserve">[Calculated] </w:t>
      </w:r>
      <w:r>
        <w:rPr>
          <w:b/>
          <w:bCs/>
        </w:rPr>
        <w:t xml:space="preserve">Robustness of the readings above to the corrected panel.</w:t>
      </w:r>
      <w:r>
        <w:t xml:space="preserve"> The conclusions in this section were reached on a neutral panel that grew from 3,359 to 3,916 SNPs (+16.6 per cent) once the filter order was corrected, with stages 4 to 9 re-run on the larger matrix. The substantive readings held — near-panmixia, maximum pairwise </w:t>
      </w:r>
      <w:r>
        <w:rPr>
          <w:i/>
          <w:iCs/>
        </w:rPr>
        <w:t xml:space="preserve">F</w:t>
      </w:r>
      <w:r>
        <w:rPr>
          <w:vertAlign w:val="subscript"/>
        </w:rPr>
        <w:t xml:space="preserve">ST</w:t>
      </w:r>
      <w:r>
        <w:t xml:space="preserve"> of about 0.0023, and a near-flat cross-validation curve. </w:t>
      </w:r>
      <w:r>
        <w:rPr>
          <w:b/>
          <w:bCs/>
        </w:rPr>
        <w:t xml:space="preserve">One reading did not hold, though it failed a later check rather than this one:</w:t>
      </w:r>
      <w:r>
        <w:t xml:space="preserve"> isolation by distance, described in earlier drafts as a weak, leverage-dependent but real distance effect, is significant in only 2 of 6 threshold scenarios and is now reported as </w:t>
      </w:r>
      <w:r>
        <w:rPr>
          <w:b/>
          <w:bCs/>
        </w:rPr>
        <w:t xml:space="preserve">not robust</w:t>
      </w:r>
      <w:r>
        <w:t xml:space="preserve"> (§8, Table S44).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w:t>
      </w:r>
      <w:r>
        <w:rPr>
          <w:b/>
          <w:bCs/>
        </w:rPr>
        <w:t xml:space="preserve">rebuilt</w:t>
      </w:r>
      <w:r>
        <w:t xml:space="preserve">, by a new script that reconstructs codons rather than matching annotation strings, and several of its conclusions did change (§7.5, §8). This wording is used identically in §6 and in §8; details and the full comparison are in Table S42.</w:t>
      </w:r>
    </w:p>
    <w:p>
      <w:pPr>
        <w:spacing w:after="140" w:line="276"/>
      </w:pPr>
      <w:r>
        <w:rPr>
          <w:b/>
          <w:bCs/>
          <w:color w:val="7A4E00"/>
          <w:sz w:val="18"/>
          <w:szCs w:val="18"/>
        </w:rPr>
        <w:t xml:space="preserve">[Interpreted] </w:t>
      </w:r>
      <w:r>
        <w:rPr>
          <w:b/>
          <w:bCs/>
        </w:rPr>
        <w:t xml:space="preserve">The containment corollary, correctly scoped.</w:t>
      </w:r>
      <w:r>
        <w:t xml:space="preserve"> Because no neutral barrier is detectable at the retained common variants, this analysis supplies no evidence of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That remains a reasonable reading, and it is now the better supported for the absence of a robust distance effect: there is not even a weak isolation-by-distance gradient left to qualify it. It does not follow that spread will be uniform in rate or that a single site will see it first; the </w:t>
      </w:r>
      <w:r>
        <w:rPr>
          <w:i/>
          <w:iCs/>
        </w:rPr>
        <w:t xml:space="preserve">pfaat1</w:t>
      </w:r>
      <w:r>
        <w:t xml:space="preserve">, </w:t>
      </w:r>
      <w:r>
        <w:rPr>
          <w:i/>
          <w:iCs/>
        </w:rPr>
        <w:t xml:space="preserve">pfdhps</w:t>
      </w:r>
      <w:r>
        <w:t xml:space="preserve"> and </w:t>
      </w:r>
      <w:r>
        <w:rPr>
          <w:i/>
          <w:iCs/>
        </w:rPr>
        <w:t xml:space="preserve">pfdhfr</w:t>
      </w:r>
      <w:r>
        <w:t xml:space="preserve"> zone differences show that selection and drug pressure impose their own geography, which negligible neutral differentiation does not predict. Whether gene flow is in fact free is not measured here: a low differentiation estimate at retained common variants does not quantify contemporary connectivity.</w:t>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w:t>
      </w:r>
      <w:r>
        <w:rPr>
          <w:i/>
          <w:iCs/>
          <w:sz w:val="19"/>
          <w:szCs w:val="19"/>
        </w:rPr>
        <w:t xml:space="preserve">F</w:t>
      </w:r>
      <w:r>
        <w:rPr>
          <w:sz w:val="19"/>
          <w:szCs w:val="19"/>
          <w:vertAlign w:val="subscript"/>
        </w:rPr>
        <w:t xml:space="preserve">ST</w:t>
      </w:r>
      <w:r>
        <w:rPr>
          <w:sz w:val="19"/>
          <w:szCs w:val="19"/>
        </w:rPr>
        <w:t xml:space="preserve"> to free gene flow runs from an absence of detectable structure to an assertion about process.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w:t>
      </w:r>
      <w:r>
        <w:t xml:space="preserve">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neutral structure sparsely characterisable, marker-frequency representativeness a separate and unanswered question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w:t>
      </w:r>
      <w:r>
        <w:rPr>
          <w:b/>
          <w:bCs/>
        </w:rPr>
        <w:t xml:space="preserve">Correcting the pipeline did not overturn its population-genetic conclusions, and that is worth reporting precisely rather than as a slogan.</w:t>
      </w:r>
      <w:r>
        <w:t xml:space="preserve"> The corrected filter order recomputes variant missingness on the 1,900 isolates that actually survive QC rather than on the 2,017 measured before 117 of them are dropped. At identical thresholds and with an identical sample set, this yields </w:t>
      </w:r>
      <w:r>
        <w:rPr>
          <w:b/>
          <w:bCs/>
        </w:rPr>
        <w:t xml:space="preserve">3,916 SNPs instead of 3,359 — a 16.6 per cent larger analysis matrix for free</w:t>
      </w:r>
      <w:r>
        <w:t xml:space="preserve"> — and stages 4 through 9 were re-run on it with a corrected FDR, seeded permutation tests, single-threaded BayPass and TreeMix standard errors in place. The substantive readings held — near-panmixia, maximum pairwise </w:t>
      </w:r>
      <w:r>
        <w:rPr>
          <w:i/>
          <w:iCs/>
        </w:rPr>
        <w:t xml:space="preserve">F</w:t>
      </w:r>
      <w:r>
        <w:rPr>
          <w:vertAlign w:val="subscript"/>
        </w:rPr>
        <w:t xml:space="preserve">ST</w:t>
      </w:r>
      <w:r>
        <w:t xml:space="preserve">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w:t>
      </w:r>
      <w:r>
        <w:rPr>
          <w:b/>
          <w:bCs/>
        </w:rPr>
        <w:t xml:space="preserve">under this correction</w:t>
      </w:r>
      <w:r>
        <w:t xml:space="preserve">, which is the claim being made — not that nothing changed, and not that nothing has changed since. A later check did overturn one, and it is reported two paragraphs below.</w:t>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w:t>
      </w:r>
      <w:r>
        <w:rPr>
          <w:b/>
          <w:bCs/>
        </w:rPr>
        <w:t xml:space="preserve">The four outstanding checks have now been run. Three confirmed robustness; one overturned a conclusion.</w:t>
      </w:r>
      <w:r>
        <w:t xml:space="preserve"> (i) </w:t>
      </w:r>
      <w:r>
        <w:rPr>
          <w:b/>
          <w:bCs/>
        </w:rPr>
        <w:t xml:space="preserve">Threshold sensitivity.</w:t>
      </w:r>
      <w:r>
        <w:t xml:space="preserve"> </w:t>
      </w:r>
      <w:r>
        <w:rPr>
          <w:rFonts w:ascii="Consolas" w:cs="Consolas" w:eastAsia="Consolas" w:hAnsi="Consolas"/>
          <w:sz w:val="18"/>
          <w:szCs w:val="18"/>
        </w:rPr>
        <w:t xml:space="preserve">scripts/step13_sensitivity.py</w:t>
      </w:r>
      <w:r>
        <w:t xml:space="preserve"> rebuilds the analysis matrix under six combinations of the two thresholds that define the dataset —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 and recomputes pairwise </w:t>
      </w:r>
      <w:r>
        <w:rPr>
          <w:i/>
          <w:iCs/>
        </w:rPr>
        <w:t xml:space="preserve">F</w:t>
      </w:r>
      <w:r>
        <w:rPr>
          <w:vertAlign w:val="subscript"/>
        </w:rPr>
        <w:t xml:space="preserve">ST</w:t>
      </w:r>
      <w:r>
        <w:t xml:space="preserve"> and the region-level Mantel test for each (Table S44). </w:t>
      </w:r>
      <w:r>
        <w:rPr>
          <w:b/>
          <w:bCs/>
        </w:rPr>
        <w:t xml:space="preserve">Near-panmixia is insensitive to both:</w:t>
      </w:r>
      <w:r>
        <w:t xml:space="preserve"> maximum pairwise </w:t>
      </w:r>
      <w:r>
        <w:rPr>
          <w:i/>
          <w:iCs/>
        </w:rPr>
        <w:t xml:space="preserve">F</w:t>
      </w:r>
      <w:r>
        <w:rPr>
          <w:vertAlign w:val="subscript"/>
        </w:rPr>
        <w:t xml:space="preserve">ST</w:t>
      </w:r>
      <w:r>
        <w:t xml:space="preserve">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w:t>
      </w:r>
      <w:r>
        <w:rPr>
          <w:b/>
          <w:bCs/>
        </w:rPr>
        <w:t xml:space="preserve">Isolation by distance is not:</w:t>
      </w:r>
      <w:r>
        <w:t xml:space="preserve"> the Mantel test is significant in </w:t>
      </w:r>
      <w:r>
        <w:rPr>
          <w:b/>
          <w:bCs/>
        </w:rPr>
        <w:t xml:space="preserve">2 of 6</w:t>
      </w:r>
      <w:r>
        <w:t xml:space="preserve"> scenarios, failing at every relaxation of the </w:t>
      </w:r>
      <w:r>
        <w:rPr>
          <w:i/>
          <w:iCs/>
        </w:rPr>
        <w:t xml:space="preserve">F</w:t>
      </w:r>
      <w:r>
        <w:rPr>
          <w:vertAlign w:val="subscript"/>
        </w:rPr>
        <w:t xml:space="preserve">ws</w:t>
      </w:r>
      <w:r>
        <w:t xml:space="preserve"> cut and at MAF ≥ 0.01, and holding only at the published thresholds and marginally at MAF ≥ 0.02. Taken with the leave-one-region-out jackknife, which already showed 4 of 7 and collapse when Upper East is dropped, the finding must now be reported as </w:t>
      </w:r>
      <w:r>
        <w:rPr>
          <w:b/>
          <w:bCs/>
        </w:rPr>
        <w:t xml:space="preserve">not robust</w:t>
      </w:r>
      <w:r>
        <w:t xml:space="preserve">. It was the manuscript's only positive spatial finding, and it did not survive the two checks the audit itself identified as most needed. That is the overturned conclusion, and it is a loss rather than a refinement. (ii) </w:t>
      </w:r>
      <w:r>
        <w:rPr>
          <w:b/>
          <w:bCs/>
        </w:rPr>
        <w:t xml:space="preserve">Outlier variant quality.</w:t>
      </w:r>
      <w:r>
        <w:t xml:space="preserve"> The 19 XtX outliers are </w:t>
      </w:r>
      <w:r>
        <w:rPr>
          <w:i/>
          <w:iCs/>
        </w:rPr>
        <w:t xml:space="preserve">better</w:t>
      </w:r>
      <w:r>
        <w:t xml:space="preserve">-supported calls than the rest of the panel, not worse, and the exported-protein artefact worry is closed; two adjacent chromosome-11 SNPs are downgraded for an unrelated and still-unverified reason (§7.2 and its note). (iii) </w:t>
      </w:r>
      <w:r>
        <w:rPr>
          <w:b/>
          <w:bCs/>
        </w:rPr>
        <w:t xml:space="preserve">Stage 3 re-run on the 1,900-isolate analysis set.</w:t>
      </w:r>
      <w:r>
        <w:t xml:space="preserve"> The ordination conclusion is unchanged, the silhouette becomes slightly more negative, and the figures now describe the same sample as every other result (Figure S21). (iv) </w:t>
      </w:r>
      <w:r>
        <w:rPr>
          <w:b/>
          <w:bCs/>
        </w:rPr>
        <w:t xml:space="preserve">GeoJSON provenance</w:t>
      </w:r>
      <w:r>
        <w:t xml:space="preserve"> remains open and cannot be closed analytically; it requires a written enquiry to the likely custodian (§9.3). Two secondary observations from (i) are worth recording in their own right: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to 0.00255), so the polyclonal isolates the filter removes were not masking differentiation; and tripling the SNP count via MAF ≥ 0.01 </w:t>
      </w:r>
      <w:r>
        <w:rPr>
          <w:b/>
          <w:bCs/>
        </w:rPr>
        <w:t xml:space="preserve">lowers</w:t>
      </w:r>
      <w:r>
        <w:t xml:space="preserve"> it (0.00204), as expected if rarer variants are less differentiated between zones.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S44)</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S44),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S40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S42.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S44.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S16).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S42)</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Near-panmixia is insensitive: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S44).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S21</w:t>
            </w:r>
          </w:p>
        </w:tc>
      </w:tr>
    </w:tbl>
    <w:p>
      <w:pPr>
        <w:spacing w:after="220" w:before="80" w:line="240"/>
      </w:pPr>
      <w:r>
        <w:rPr>
          <w:i/>
          <w:iCs/>
          <w:color w:val="444444"/>
          <w:sz w:val="18"/>
          <w:szCs w:val="18"/>
        </w:rPr>
        <w:t xml:space="preserve">Table S43.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S44.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Near-panmixia survives; isolation by distance does not.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S21.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S43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S43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S43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S22.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S44).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S44), so the panel size is not propping up the near-panmixia conclusion.</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S44),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S44).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near-panmixia does not depend on this exclusion and in fact strengthens very slightly without it — the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S44).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S10 and the Table S22 metrics describe 4,905 isolates, which also weakened the one claim to analytical independence in Table S40. Stage 3 has now been re-run on the 1,900-isolate analysis set (Table S43 row 21, Figure S21):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S45.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t>
      </w:r>
      <w:r>
        <w:rPr>
          <w:b/>
          <w:bCs/>
        </w:rPr>
        <w:t xml:space="preserve">What the threshold-sensitivity analysis does and does not change in this list.</w:t>
      </w:r>
      <w:r>
        <w:t xml:space="preserve"> It strengthens the headline and removes a finding, and the two should be stated together. </w:t>
      </w:r>
      <w:r>
        <w:rPr>
          <w:b/>
          <w:bCs/>
        </w:rPr>
        <w:t xml:space="preserve">Near-panmixia no longer rests on a single pass through a single dataset:</w:t>
      </w:r>
      <w:r>
        <w:t xml:space="preserve"> maximum pairwise </w:t>
      </w:r>
      <w:r>
        <w:rPr>
          <w:i/>
          <w:iCs/>
        </w:rPr>
        <w:t xml:space="preserve">F</w:t>
      </w:r>
      <w:r>
        <w:rPr>
          <w:vertAlign w:val="subscript"/>
        </w:rPr>
        <w:t xml:space="preserve">ST</w:t>
      </w:r>
      <w:r>
        <w:t xml:space="preserve"> stays within 0.00204–0.00255 across six combinations of the two thresholds that define the analysis set, over sample sizes from 1,900 to 4,403 and SNP counts from 3,275 to 10,876 (Table S44). Limitations 5, 6 and 7 — panel size, the transitional zone's 25 isolates and the </w:t>
      </w:r>
      <w:r>
        <w:rPr>
          <w:i/>
          <w:iCs/>
        </w:rPr>
        <w:t xml:space="preserve">F</w:t>
      </w:r>
      <w:r>
        <w:rPr>
          <w:vertAlign w:val="subscript"/>
        </w:rPr>
        <w:t xml:space="preserve">ws</w:t>
      </w:r>
      <w:r>
        <w:t xml:space="preserve"> exclusion — therefore constrain the precision of that conclusion without threatening it, which is a stronger position than the previous draft could claim. </w:t>
      </w:r>
      <w:r>
        <w:rPr>
          <w:b/>
          <w:bCs/>
        </w:rPr>
        <w:t xml:space="preserve">Isolation by distance is in the opposite position.</w:t>
      </w:r>
      <w:r>
        <w:t xml:space="preserve">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only positive spatial finding has been lost. No reanalysis of these data will recover it; recovering it would need isolates with recorded collection coordinates (§9.2), and that is a design change rather than an analytical one.</w:t>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S44).</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S44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S42.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S44).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But the episode is also the clearest argument this project has produced for version control, which is gap (ii) in the paragraph below: nothing in the setup would have detected the truncation except someone opening the file.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not under version control, so the exact script state at run time is not recoverable other than from the files currently on disk; the unmodified originals are in pf8_ghana_pipeline.zip. The accidental truncation recorded in the note above is a direct consequence of this gap.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Near-panmixia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S46.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S47, and the one internal cross-reference to it, in Appendix F, is renumbered with it.</w:t>
      </w:r>
    </w:p>
    <w:p>
      <w:pPr>
        <w:spacing w:after="140" w:line="276"/>
      </w:pPr>
      <w:r>
        <w:rPr>
          <w:b/>
          <w:bCs/>
          <w:color w:val="1F6F4A"/>
          <w:sz w:val="18"/>
          <w:szCs w:val="18"/>
        </w:rPr>
        <w:t xml:space="preserve">[Calculated] </w:t>
      </w:r>
      <w:r>
        <w:rPr>
          <w:b/>
          <w:bCs/>
        </w:rPr>
        <w:t xml:space="preserve">Isolation by distance is no longer a supported result.</w:t>
      </w:r>
      <w:r>
        <w:t xml:space="preserve"> This is the one population-genetic conclusion that the threshold sensitivity overturned, and the loss is a real one: it was the manuscript's only positive spatial finding. The numbers themselves are unchanged. At the published thresholds the region-level Mantel correlation is </w:t>
      </w:r>
      <w:r>
        <w:rPr>
          <w:i/>
          <w:iCs/>
        </w:rPr>
        <w:t xml:space="preserve">r</w:t>
      </w:r>
      <w:r>
        <w:t xml:space="preserve"> = 0.4269 (</w:t>
      </w:r>
      <w:r>
        <w:rPr>
          <w:i/>
          <w:iCs/>
        </w:rPr>
        <w:t xml:space="preserve">p</w:t>
      </w:r>
      <w:r>
        <w:t xml:space="preserve"> = 0.0252) with negative </w:t>
      </w:r>
      <w:r>
        <w:rPr>
          <w:i/>
          <w:iCs/>
        </w:rPr>
        <w:t xml:space="preserve">F</w:t>
      </w:r>
      <w:r>
        <w:rPr>
          <w:vertAlign w:val="subscript"/>
        </w:rPr>
        <w:t xml:space="preserve">ST</w:t>
      </w:r>
      <w:r>
        <w:t xml:space="preserve"> pairs floored to zero, and </w:t>
      </w:r>
      <w:r>
        <w:rPr>
          <w:i/>
          <w:iCs/>
        </w:rPr>
        <w:t xml:space="preserve">r</w:t>
      </w:r>
      <w:r>
        <w:t xml:space="preserve"> = 0.4138 (</w:t>
      </w:r>
      <w:r>
        <w:rPr>
          <w:i/>
          <w:iCs/>
        </w:rPr>
        <w:t xml:space="preserve">p</w:t>
      </w:r>
      <w:r>
        <w:t xml:space="preserve"> = 0.0413) without flooring; three of the 21 region pairs were affected, so on the final matrix the censoring no longer determines significance, although both versions are reported and the disclosure stands. What has changed is what those numbers are worth. </w:t>
      </w:r>
      <w:r>
        <w:rPr>
          <w:b/>
          <w:bCs/>
        </w:rPr>
        <w:t xml:space="preserve">The test is significant in two of the six threshold scenarios</w:t>
      </w:r>
      <w:r>
        <w:t xml:space="preserve"> — the published one and MAF &gt;= 0.02 at </w:t>
      </w:r>
      <w:r>
        <w:rPr>
          <w:i/>
          <w:iCs/>
        </w:rPr>
        <w:t xml:space="preserve">p</w:t>
      </w:r>
      <w:r>
        <w:t xml:space="preserve"> = 0.0467 — and fails at every relaxation of the </w:t>
      </w:r>
      <w:r>
        <w:rPr>
          <w:i/>
          <w:iCs/>
        </w:rPr>
        <w:t xml:space="preserve">F</w:t>
      </w:r>
      <w:r>
        <w:rPr>
          <w:vertAlign w:val="subscript"/>
        </w:rPr>
        <w:t xml:space="preserve">ws</w:t>
      </w:r>
      <w:r>
        <w:t xml:space="preserve"> cut (</w:t>
      </w:r>
      <w:r>
        <w:rPr>
          <w:i/>
          <w:iCs/>
        </w:rPr>
        <w:t xml:space="preserve">p</w:t>
      </w:r>
      <w:r>
        <w:t xml:space="preserve"> = 0.0874, 0.1687 and 0.1792) and at MAF &gt;= 0.01 (</w:t>
      </w:r>
      <w:r>
        <w:rPr>
          <w:i/>
          <w:iCs/>
        </w:rPr>
        <w:t xml:space="preserve">p</w:t>
      </w:r>
      <w:r>
        <w:t xml:space="preserve"> = 0.0617). The two thresholds fail it in different ways and the difference is informative. Relaxing </w:t>
      </w:r>
      <w:r>
        <w:rPr>
          <w:i/>
          <w:iCs/>
        </w:rPr>
        <w:t xml:space="preserve">F</w:t>
      </w:r>
      <w:r>
        <w:rPr>
          <w:vertAlign w:val="subscript"/>
        </w:rPr>
        <w:t xml:space="preserve">ws</w:t>
      </w:r>
      <w:r>
        <w:t xml:space="preserve"> changes the correlation itself, which falls from 0.4269 to 0.2447 as the isolate count rises from 1,900 to 4,403; relaxing MAF leaves the correlation essentially untouched (0.4325 at MAF &gt;= 0.01, 0.4341 at MAF &gt;= 0.02) and moves only the permutation </w:t>
      </w:r>
      <w:r>
        <w:rPr>
          <w:i/>
          <w:iCs/>
        </w:rPr>
        <w:t xml:space="preserve">p</w:t>
      </w:r>
      <w:r>
        <w:t xml:space="preserve">-value across the 0.05 line. So the result is sensitive to </w:t>
      </w:r>
      <w:r>
        <w:rPr>
          <w:b/>
          <w:bCs/>
        </w:rPr>
        <w:t xml:space="preserve">which isolates are analysed</w:t>
      </w:r>
      <w:r>
        <w:t xml:space="preserve">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w:t>
      </w:r>
      <w:r>
        <w:rPr>
          <w:i/>
          <w:iCs/>
        </w:rPr>
        <w:t xml:space="preserve">n</w:t>
      </w:r>
      <w:r>
        <w:t xml:space="preserve"> = 1,334; </w:t>
      </w:r>
      <w:r>
        <w:rPr>
          <w:i/>
          <w:iCs/>
        </w:rPr>
        <w:t xml:space="preserve">r</w:t>
      </w:r>
      <w:r>
        <w:t xml:space="preserve"> = +0.260, </w:t>
      </w:r>
      <w:r>
        <w:rPr>
          <w:i/>
          <w:iCs/>
        </w:rPr>
        <w:t xml:space="preserve">p</w:t>
      </w:r>
      <w:r>
        <w:t xml:space="preserve"> = 0.218), Greater Accra (</w:t>
      </w:r>
      <w:r>
        <w:rPr>
          <w:i/>
          <w:iCs/>
        </w:rPr>
        <w:t xml:space="preserve">n</w:t>
      </w:r>
      <w:r>
        <w:t xml:space="preserve"> = 204; </w:t>
      </w:r>
      <w:r>
        <w:rPr>
          <w:i/>
          <w:iCs/>
        </w:rPr>
        <w:t xml:space="preserve">r</w:t>
      </w:r>
      <w:r>
        <w:t xml:space="preserve"> = +0.250, </w:t>
      </w:r>
      <w:r>
        <w:rPr>
          <w:i/>
          <w:iCs/>
        </w:rPr>
        <w:t xml:space="preserve">p</w:t>
      </w:r>
      <w:r>
        <w:t xml:space="preserve"> = 0.232) or Eastern (</w:t>
      </w:r>
      <w:r>
        <w:rPr>
          <w:i/>
          <w:iCs/>
        </w:rPr>
        <w:t xml:space="preserve">n</w:t>
      </w:r>
      <w:r>
        <w:t xml:space="preserve"> = 34; </w:t>
      </w:r>
      <w:r>
        <w:rPr>
          <w:i/>
          <w:iCs/>
        </w:rPr>
        <w:t xml:space="preserve">r</w:t>
      </w:r>
      <w:r>
        <w:t xml:space="preserve"> = +0.288, </w:t>
      </w:r>
      <w:r>
        <w:rPr>
          <w:i/>
          <w:iCs/>
        </w:rPr>
        <w:t xml:space="preserve">p</w:t>
      </w:r>
      <w:r>
        <w:t xml:space="preserve"> = 0.136) — the honest grade is </w:t>
      </w:r>
      <w:r>
        <w:rPr>
          <w:b/>
          <w:bCs/>
        </w:rPr>
        <w:t xml:space="preserve">not robust</w:t>
      </w:r>
      <w:r>
        <w:t xml:space="preserve">: it holds at the published thresholds on the complete set of seven regions, and almost nowhere else. At zone level it was never demonstrable at all: </w:t>
      </w:r>
      <w:r>
        <w:rPr>
          <w:i/>
          <w:iCs/>
        </w:rPr>
        <w:t xml:space="preserve">r</w:t>
      </w:r>
      <w:r>
        <w:t xml:space="preserve"> = 0.4709 with </w:t>
      </w:r>
      <w:r>
        <w:rPr>
          <w:i/>
          <w:iCs/>
        </w:rPr>
        <w:t xml:space="preserve">p</w:t>
      </w:r>
      <w:r>
        <w:t xml:space="preserve"> = 0.1218 over six pairs, none of the four leave-one-out replicates significant, and only 24 distinct permutations available, which is a resolution limit rather than a negative finding. </w:t>
      </w:r>
      <w:r>
        <w:rPr>
          <w:b/>
          <w:bCs/>
        </w:rPr>
        <w:t xml:space="preserve">The result is not deleted and should not be.</w:t>
      </w:r>
      <w:r>
        <w:t xml:space="preserve"> A correlation of 0.43 over 21 region pairs that survives neither a change of monoclonality cut nor a change of MAF floor is a statement about this dataset's resolution, not evidence of a distance gradient in Ghanaian </w:t>
      </w:r>
      <w:r>
        <w:rPr>
          <w:i/>
          <w:iCs/>
        </w:rPr>
        <w:t xml:space="preserve">Plasmodium falciparum</w:t>
      </w:r>
      <w:r>
        <w:t xml:space="preserve">, and it is reported here with its sensitivity so that a successor with more populations or finer spatial units can test it properly. </w:t>
      </w:r>
      <w:r>
        <w:rPr>
          <w:b/>
          <w:bCs/>
        </w:rPr>
        <w:t xml:space="preserve">Not robust.</w:t>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w:t>
      </w:r>
      <w:r>
        <w:rPr>
          <w:b/>
          <w:bCs/>
        </w:rPr>
        <w:t xml:space="preserve">Ancestry structure aligned to geography is detectable but negligible in magnitude.</w:t>
      </w:r>
      <w:r>
        <w:t xml:space="preserve">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w:t>
      </w:r>
      <w:r>
        <w:rPr>
          <w:i/>
          <w:iCs/>
        </w:rPr>
        <w:t xml:space="preserve">p</w:t>
      </w:r>
      <w:r>
        <w:t xml:space="preserve"> = 1.05 x 10</w:t>
      </w:r>
      <w:r>
        <w:rPr>
          <w:vertAlign w:val="superscript"/>
        </w:rPr>
        <w:t xml:space="preserve">-22</w:t>
      </w:r>
      <w:r>
        <w:t xml:space="preserve">. Zone nonetheless explains only 1.9 per cent of the variance in that component (η</w:t>
      </w:r>
      <w:r>
        <w:rPr>
          <w:vertAlign w:val="superscript"/>
        </w:rPr>
        <w:t xml:space="preserve">2</w:t>
      </w:r>
      <w:r>
        <w:t xml:space="preserve"> = 0.019, computed from the final Q matrix). The means are not monotone with latitude: deciduous forest exceeds coastal savanna, and the transitional zone, which is the second-most-northern zone, sits lowest of the four. The substantive conclusion survives in full; the wording does not. The correct statement is that zone-associated ancestry structure is statistically present, non-monotone in latitude, and biologically negligible.</w:t>
      </w:r>
    </w:p>
    <w:p>
      <w:pPr>
        <w:spacing w:after="140" w:line="276"/>
      </w:pPr>
      <w:r>
        <w:rPr>
          <w:b/>
          <w:bCs/>
          <w:color w:val="1F6F4A"/>
          <w:sz w:val="18"/>
          <w:szCs w:val="18"/>
        </w:rPr>
        <w:t xml:space="preserve">[Calculated] </w:t>
      </w:r>
      <w:r>
        <w:rPr>
          <w:b/>
          <w:bCs/>
        </w:rPr>
        <w:t xml:space="preserve">A strictly bifurcating population tree is inadequate, and a two-edge graph is the model these data select.</w:t>
      </w:r>
      <w:r>
        <w:t xml:space="preserve"> With jackknife standard errors enabled, variance explained rises from 0.897 at m = 0 to 0.941 at m = 1 and 0.997 at m = 2. Every edge in the m = 2 graph is significant (</w:t>
      </w:r>
      <w:r>
        <w:rPr>
          <w:i/>
          <w:iCs/>
        </w:rPr>
        <w:t xml:space="preserve">p</w:t>
      </w:r>
      <w:r>
        <w:t xml:space="preserve"> = 7.5 x 10</w:t>
      </w:r>
      <w:r>
        <w:rPr>
          <w:vertAlign w:val="superscript"/>
        </w:rPr>
        <w:t xml:space="preserve">-4</w:t>
      </w:r>
      <w:r>
        <w:t xml:space="preserve"> and 3.3 x 10</w:t>
      </w:r>
      <w:r>
        <w:rPr>
          <w:vertAlign w:val="superscript"/>
        </w:rPr>
        <w:t xml:space="preserve">-16</w:t>
      </w:r>
      <w:r>
        <w:t xml:space="preserve">); the third edge added at m = 3 is not (weight 0.065, SE 0.147, </w:t>
      </w:r>
      <w:r>
        <w:rPr>
          <w:i/>
          <w:iCs/>
        </w:rPr>
        <w:t xml:space="preserve">p</w:t>
      </w:r>
      <w:r>
        <w:t xml:space="preserve">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Specific gene-flow corridors remain unidentifiable with four populations.</w:t>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S23. UMAP, t-SNE and PCoA of the 1,900 × 1,900 analysis-set distance submatrix, coloured by agro-ecological zone: the same three ordinations as Figure S10,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S10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t>
      </w:r>
      <w:r>
        <w:rPr>
          <w:b/>
          <w:bCs/>
        </w:rPr>
        <w:t xml:space="preserve">What this implies for surveillance design, stated narrowly.</w:t>
      </w:r>
      <w:r>
        <w:t xml:space="preserve"> Neutral common-variant differentiation between zones is negligible, so a spatially sparse design is adequate for characterising neutral structure. The withdrawal of the isolation-by-distance result reinforces that narrow claim rather than complicating it: on the present evidence there is no robust distance gradient for a denser neutral design to resolve either. Marker-frequency representativeness is a separate question, and it is the question sentinel surveillance actually answers; on that question this analysis finds significant between-zone variation at </w:t>
      </w:r>
      <w:r>
        <w:rPr>
          <w:i/>
          <w:iCs/>
        </w:rPr>
        <w:t xml:space="preserve">pfdhps</w:t>
      </w:r>
      <w:r>
        <w:t xml:space="preserve"> 437 (</w:t>
      </w:r>
      <w:r>
        <w:rPr>
          <w:i/>
          <w:iCs/>
        </w:rPr>
        <w:t xml:space="preserve">p</w:t>
      </w:r>
      <w:r>
        <w:t xml:space="preserve"> = 1.2 x 10</w:t>
      </w:r>
      <w:r>
        <w:rPr>
          <w:vertAlign w:val="superscript"/>
        </w:rPr>
        <w:t xml:space="preserve">-6</w:t>
      </w:r>
      <w:r>
        <w:t xml:space="preserve">), </w:t>
      </w:r>
      <w:r>
        <w:rPr>
          <w:i/>
          <w:iCs/>
        </w:rPr>
        <w:t xml:space="preserve">pfdhfr</w:t>
      </w:r>
      <w:r>
        <w:t xml:space="preserve"> (</w:t>
      </w:r>
      <w:r>
        <w:rPr>
          <w:i/>
          <w:iCs/>
        </w:rPr>
        <w:t xml:space="preserve">p</w:t>
      </w:r>
      <w:r>
        <w:t xml:space="preserve"> &lt;= 2.43 x 10</w:t>
      </w:r>
      <w:r>
        <w:rPr>
          <w:vertAlign w:val="superscript"/>
        </w:rPr>
        <w:t xml:space="preserve">-4</w:t>
      </w:r>
      <w:r>
        <w:t xml:space="preserve"> at all three triple-mutant codons; the largest of the three is 2.425 x 10</w:t>
      </w:r>
      <w:r>
        <w:rPr>
          <w:vertAlign w:val="superscript"/>
        </w:rPr>
        <w:t xml:space="preserve">-4</w:t>
      </w:r>
      <w:r>
        <w:t xml:space="preserve"> at Asn51Ile) and </w:t>
      </w:r>
      <w:r>
        <w:rPr>
          <w:i/>
          <w:iCs/>
        </w:rPr>
        <w:t xml:space="preserve">pfaat1</w:t>
      </w:r>
      <w:r>
        <w:t xml:space="preserve"> (</w:t>
      </w:r>
      <w:r>
        <w:rPr>
          <w:i/>
          <w:iCs/>
        </w:rPr>
        <w:t xml:space="preserve">p</w:t>
      </w:r>
      <w:r>
        <w:t xml:space="preserve"> = 1.9 x 10</w:t>
      </w:r>
      <w:r>
        <w:rPr>
          <w:vertAlign w:val="superscript"/>
        </w:rPr>
        <w:t xml:space="preserve">-18</w:t>
      </w:r>
      <w:r>
        <w:t xml:space="preserve">).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S46),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Is there gene flow beyond a bifurcating tree?</w:t>
            </w:r>
          </w:p>
        </w:tc>
        <w:tc>
          <w:tcPr>
            <w:tcW w:type="dxa" w:w="5026"/>
            <w:tcMar>
              <w:top w:type="dxa" w:w="60"/>
              <w:left w:type="dxa" w:w="90"/>
              <w:bottom w:type="dxa" w:w="60"/>
              <w:right w:type="dxa" w:w="90"/>
            </w:tcMar>
          </w:tcPr>
          <w:p>
            <w:pPr>
              <w:spacing w:after="0" w:line="240"/>
            </w:pPr>
            <w:r>
              <w:rPr>
                <w:sz w:val="18"/>
                <w:szCs w:val="18"/>
              </w:rPr>
              <w:t xml:space="preserve">Partly. m = 2 is the selected descriptive model: its two edges are significant (p = 7.5 x 10-4 and 3.3 x 10-16), a third is not (weight 0.065, SE 0.147, p = 0.33), and m = 3 is non-identifiable with four populations. That does not identify how many migration events occurred, and the variance-explained criterion across the full sweep still prefers m = 3, so the two criteria disagree.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High that a bifurcating tree is inadequate; m = 2 is a selected descriptive model rather than a settled edge count; corridors not identifiable</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S47. Research questions and the answers the current evidence supports. This table carried the number 10.1 in previous versions and is renumbered because the threshold-sensitivity table in Section 10.1 is now Table S46; the one internal cross-reference, in Appendix F, Table S52,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S46) and answered in both directions: near-panmixia is stable, with max </w:t>
      </w:r>
      <w:r>
        <w:rPr>
          <w:i/>
          <w:iCs/>
        </w:rPr>
        <w:t xml:space="preserve">F</w:t>
      </w:r>
      <w:r>
        <w:rPr>
          <w:vertAlign w:val="subscript"/>
        </w:rPr>
        <w:t xml:space="preserve">ST</w:t>
      </w:r>
      <w:r>
        <w:t xml:space="preserve"> ranging only 0.00204–0.00255 over six scenarios,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S46). Mapping quality and the other callset annotations were checked at all 19 outlier positions, clearing the exported-protein objection and flagging two chromosome-11 sites. Stage 3 was re-run on the 1,900-isolate analysis set (Figure S23).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S51,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carry near-panmixia as its spatial result and isolation by distance only as a non-robust observation, which is how Section 10.1 and Table S47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the structure is negligible and the distance gradient is not robust, so what the analysis establishes about space is a magnitude rather than a pattern, and the surveillance-design implication rests on that measured magnitude alone.</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w:t>
      </w:r>
      <w:r>
        <w:rPr>
          <w:b/>
          <w:bCs/>
        </w:rPr>
        <w:t xml:space="preserve">A closing assessment.</w:t>
      </w:r>
      <w:r>
        <w:t xml:space="preserve">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w:t>
      </w:r>
      <w:r>
        <w:rPr>
          <w:i/>
          <w:iCs/>
        </w:rPr>
        <w:t xml:space="preserve">pfdhps</w:t>
      </w:r>
      <w:r>
        <w:t xml:space="preserve"> G437 at 0.897 and zone-structured, the </w:t>
      </w:r>
      <w:r>
        <w:rPr>
          <w:i/>
          <w:iCs/>
        </w:rPr>
        <w:t xml:space="preserve">pfdhfr</w:t>
      </w:r>
      <w:r>
        <w:t xml:space="preserve"> triple mutant measured as a haplotype at 0.771, and </w:t>
      </w:r>
      <w:r>
        <w:rPr>
          <w:i/>
          <w:iCs/>
        </w:rPr>
        <w:t xml:space="preserve">pfaat1</w:t>
      </w:r>
      <w:r>
        <w:t xml:space="preserve">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near-panmixia the best-evidenced conclusion in the manuscript, because </w:t>
      </w:r>
      <w:r>
        <w:rPr>
          <w:i/>
          <w:iCs/>
        </w:rPr>
        <w:t xml:space="preserve">F</w:t>
      </w:r>
      <w:r>
        <w:rPr>
          <w:vertAlign w:val="subscript"/>
        </w:rPr>
        <w:t xml:space="preserve">ST</w:t>
      </w:r>
      <w:r>
        <w:t xml:space="preserve"> moved by less than 0.0005 while the Mantel </w:t>
      </w:r>
      <w:r>
        <w:rPr>
          <w:i/>
          <w:iCs/>
        </w:rPr>
        <w:t xml:space="preserve">p</w:t>
      </w:r>
      <w:r>
        <w:t xml:space="preserve">-value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S48.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S16.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S49.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S46 — near-panmixia unaffected,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S51,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S46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S23, the three ordinations on the 1,900-isolate analysis set. The published figures/dimred_comparison_zone.png (Figure S10,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S50.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not under version control, so the script state behind the reported run is recoverable only from those files, the exact commands and script revisions of that run are not archived, and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w:t>
      </w:r>
      <w:r>
        <w:rPr>
          <w:b/>
          <w:bCs/>
        </w:rPr>
        <w:t xml:space="preserve">Reproducibility caveat.</w:t>
      </w:r>
      <w:r>
        <w:t xml:space="preserve"> The zone polygon layer (</w:t>
      </w:r>
      <w:r>
        <w:rPr>
          <w:rFonts w:ascii="Consolas" w:cs="Consolas" w:eastAsia="Consolas" w:hAnsi="Consolas"/>
          <w:sz w:val="18"/>
          <w:szCs w:val="18"/>
        </w:rPr>
        <w:t xml:space="preserve">data/ghanaAEZ.geojson</w:t>
      </w:r>
      <w:r>
        <w:t xml:space="preserve">) still has no citable provenance, so Stage 2 cannot be reproduced from public sources alone. The file has been identified with certainty — it is byte-for-byte identical to ArcGIS Online item </w:t>
      </w:r>
      <w:r>
        <w:rPr>
          <w:rFonts w:ascii="Consolas" w:cs="Consolas" w:eastAsia="Consolas" w:hAnsi="Consolas"/>
          <w:sz w:val="18"/>
          <w:szCs w:val="18"/>
        </w:rPr>
        <w:t xml:space="preserve">0776dae5c5314102bd03fdaab8df0356</w:t>
      </w:r>
      <w:r>
        <w:t xml:space="preserve">, md5 </w:t>
      </w:r>
      <w:r>
        <w:rPr>
          <w:rFonts w:ascii="Consolas" w:cs="Consolas" w:eastAsia="Consolas" w:hAnsi="Consolas"/>
          <w:sz w:val="18"/>
          <w:szCs w:val="18"/>
        </w:rPr>
        <w:t xml:space="preserve">96b1a7f4da62d6f0153826f41af96152</w:t>
      </w:r>
      <w:r>
        <w:t xml:space="preserve"> on both sides — but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not under version control, so the exact script state at run time is recoverable only from the files on disk;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S51, row 13)</w:t>
      </w:r>
      <w:r>
        <w:rPr>
          <w:rFonts w:ascii="Consolas" w:cs="Consolas" w:eastAsia="Consolas" w:hAnsi="Consolas"/>
          <w:sz w:val="18"/>
          <w:szCs w:val="18"/>
        </w:rPr>
        <w:t xml:space="preserve"/>
      </w:r>
      <w:r>
        <w:t xml:space="preserve"> — but the incident itself belongs in this list, because nothing under </w:t>
      </w:r>
      <w:r>
        <w:rPr>
          <w:rFonts w:ascii="Consolas" w:cs="Consolas" w:eastAsia="Consolas" w:hAnsi="Consolas"/>
          <w:sz w:val="18"/>
          <w:szCs w:val="18"/>
        </w:rPr>
        <w:t xml:space="preserve">results/</w:t>
      </w:r>
      <w:r>
        <w:t xml:space="preserve"> is write-protected and the project is not under version control, so a stray redirect into an output file is undetectable except by looking for it. A fifth, added in this revision: the codon panel's </w:t>
      </w:r>
      <w:r>
        <w:rPr>
          <w:i/>
          <w:iCs/>
        </w:rPr>
        <w:t xml:space="preserve">pfk13</w:t>
      </w:r>
      <w:r>
        <w:t xml:space="preserve"> codon list is transcribed from the WHO compendium into </w:t>
      </w:r>
      <w:r>
        <w:rPr>
          <w:rFonts w:ascii="Consolas" w:cs="Consolas" w:eastAsia="Consolas" w:hAnsi="Consolas"/>
          <w:sz w:val="18"/>
          <w:szCs w:val="18"/>
        </w:rPr>
        <w:t xml:space="preserve">step12_codon_panel.py</w:t>
      </w:r>
      <w:r>
        <w:t xml:space="preserve"> by hand, which is exactly the kind of step that produced defect 10 below, so a successor should re-check the list against the compendium rather than against the previous script.</w:t>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w:t>
      </w:r>
      <w:r>
        <w:t xml:space="preserve">This appendix exists for traceability, and it now records three rounds. </w:t>
      </w:r>
      <w:r>
        <w:rPr>
          <w:b/>
          <w:bCs/>
        </w:rPr>
        <w:t xml:space="preserve">Round one, 9–10 October 2026: an adversarial multi-agent audit.</w:t>
      </w:r>
      <w:r>
        <w:t xml:space="preserve">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w:t>
      </w:r>
      <w:r>
        <w:rPr>
          <w:b/>
          <w:bCs/>
        </w:rPr>
        <w:t xml:space="preserve">Sixty-one findings were confirmed</w:t>
      </w:r>
      <w:r>
        <w:t xml:space="preserve">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w:t>
      </w:r>
      <w:r>
        <w:rPr>
          <w:b/>
          <w:bCs/>
        </w:rPr>
        <w:t xml:space="preserve">Round two, 10 October 2026: an external critique of the corrected manuscript.</w:t>
      </w:r>
      <w:r>
        <w:t xml:space="preserve"> It raised five points. </w:t>
      </w:r>
      <w:r>
        <w:rPr>
          <w:b/>
          <w:bCs/>
        </w:rPr>
        <w:t xml:space="preserve">All five were upheld and four were defects in the analysis code, not in the prose</w:t>
      </w:r>
      <w:r>
        <w:t xml:space="preserve"> — in the resistance panel that round one had introduced to fix its own largest finding. The panel was rebuilt as </w:t>
      </w:r>
      <w:r>
        <w:rPr>
          <w:rFonts w:ascii="Consolas" w:cs="Consolas" w:eastAsia="Consolas" w:hAnsi="Consolas"/>
          <w:sz w:val="18"/>
          <w:szCs w:val="18"/>
        </w:rPr>
        <w:t xml:space="preserve">scripts/step12_codon_panel.py</w:t>
      </w:r>
      <w:r>
        <w:t xml:space="preserve">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w:t>
      </w:r>
      <w:r>
        <w:rPr>
          <w:b/>
          <w:bCs/>
        </w:rPr>
        <w:t xml:space="preserve">Round three, 10 October 2026: the four outstanding robustness checks.</w:t>
      </w:r>
      <w:r>
        <w:t xml:space="preserve"> This round was not an audit of the manuscript but the execution of four items that Section 10.4 carried as outstanding, and it is recorded here because one of them overturned a conclusion instead of confirming it. The </w:t>
      </w:r>
      <w:r>
        <w:rPr>
          <w:i/>
          <w:iCs/>
        </w:rPr>
        <w:t xml:space="preserve">F</w:t>
      </w:r>
      <w:r>
        <w:rPr>
          <w:vertAlign w:val="subscript"/>
        </w:rPr>
        <w:t xml:space="preserve">ws</w:t>
      </w:r>
      <w:r>
        <w:t xml:space="preserve"> and MAF sensitivity analysis (</w:t>
      </w:r>
      <w:r>
        <w:rPr>
          <w:rFonts w:ascii="Consolas" w:cs="Consolas" w:eastAsia="Consolas" w:hAnsi="Consolas"/>
          <w:sz w:val="18"/>
          <w:szCs w:val="18"/>
        </w:rPr>
        <w:t xml:space="preserve">scripts/step13_sensitivity.py</w:t>
      </w:r>
      <w:r>
        <w:t xml:space="preserve">) withdrew isolation by distance as a supported result — significant in two of six threshold scenarios — and, from the same six runs, made near-panmixia the best-evidenced conclusion in the manuscript.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S51 rather than left in the logs.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does establish belongs in the record: nothing under </w:t>
            </w:r>
            <w:r>
              <w:rPr>
                <w:rFonts w:ascii="Consolas" w:cs="Consolas" w:eastAsia="Consolas" w:hAnsi="Consolas"/>
                <w:sz w:val="18"/>
                <w:szCs w:val="18"/>
              </w:rPr>
              <w:t xml:space="preserve">results/</w:t>
            </w:r>
            <w:r>
              <w:rPr>
                <w:sz w:val="18"/>
                <w:szCs w:val="18"/>
              </w:rPr>
              <w:t xml:space="preserve"> is write-protected, the project is not under version control, and this file was recoverable only because its own inputs happened to survive. A file whose inputs had also been overwritten would have been unrecoverable and, on this evidence, unnoticed until someone opened it.</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S51.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S23's caption and Table S47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S52.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S51 and did require a re-run; it is repeated here because the wording it replaces was prose. The four entries shown in bold were raised by the external critique, whose five points are otherwise recorded as defects 9-12 of Table S51;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S46;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S23.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