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CEAF7"/>
  <w:body>
    <w:p w:rsidR="00000000" w:rsidDel="00000000" w:rsidP="00000000" w:rsidRDefault="00000000" w:rsidRPr="00000000" w14:paraId="00000001">
      <w:pPr>
        <w:spacing w:after="100" w:before="440" w:lineRule="auto"/>
        <w:jc w:val="center"/>
        <w:rPr>
          <w:rFonts w:ascii="Times New Roman" w:cs="Times New Roman" w:eastAsia="Times New Roman" w:hAnsi="Times New Roman"/>
          <w:color w:val="000000"/>
          <w:sz w:val="20"/>
          <w:szCs w:val="20"/>
        </w:rPr>
      </w:pPr>
      <w:r w:rsidDel="00000000" w:rsidR="00000000" w:rsidRPr="00000000">
        <w:rPr>
          <w:color w:val="000000"/>
          <w:sz w:val="28"/>
          <w:szCs w:val="28"/>
        </w:rPr>
        <w:drawing>
          <wp:inline distB="114300" distT="114300" distL="114300" distR="114300">
            <wp:extent cx="1615912" cy="538638"/>
            <wp:effectExtent b="0" l="0" r="0" t="0"/>
            <wp:docPr id="1" name="image2.png"/>
            <a:graphic>
              <a:graphicData uri="http://schemas.openxmlformats.org/drawingml/2006/picture">
                <pic:pic>
                  <pic:nvPicPr>
                    <pic:cNvPr id="0" name="image2.png"/>
                    <pic:cNvPicPr preferRelativeResize="0"/>
                  </pic:nvPicPr>
                  <pic:blipFill>
                    <a:blip r:embed="rId7"/>
                    <a:srcRect b="28340" l="0" r="0" t="21766"/>
                    <a:stretch>
                      <a:fillRect/>
                    </a:stretch>
                  </pic:blipFill>
                  <pic:spPr>
                    <a:xfrm>
                      <a:off x="0" y="0"/>
                      <a:ext cx="1615912" cy="538638"/>
                    </a:xfrm>
                    <a:prstGeom prst="rect"/>
                    <a:ln/>
                  </pic:spPr>
                </pic:pic>
              </a:graphicData>
            </a:graphic>
          </wp:inline>
        </w:drawing>
      </w:r>
      <w:r w:rsidDel="00000000" w:rsidR="00000000" w:rsidRPr="00000000">
        <w:rPr>
          <w:color w:val="000000"/>
          <w:sz w:val="28"/>
          <w:szCs w:val="28"/>
          <w:rtl w:val="0"/>
        </w:rPr>
        <w:t xml:space="preserve">  </w:t>
      </w:r>
      <w:r w:rsidDel="00000000" w:rsidR="00000000" w:rsidRPr="00000000">
        <w:rPr>
          <w:rtl w:val="0"/>
        </w:rPr>
      </w:r>
    </w:p>
    <w:p w:rsidR="00000000" w:rsidDel="00000000" w:rsidP="00000000" w:rsidRDefault="00000000" w:rsidRPr="00000000" w14:paraId="00000002">
      <w:pPr>
        <w:spacing w:after="280" w:lineRule="auto"/>
        <w:jc w:val="center"/>
        <w:rPr>
          <w:rFonts w:ascii="Times New Roman" w:cs="Times New Roman" w:eastAsia="Times New Roman" w:hAnsi="Times New Roman"/>
          <w:color w:val="0f4761"/>
          <w:sz w:val="20"/>
          <w:szCs w:val="20"/>
        </w:rPr>
      </w:pPr>
      <w:r w:rsidDel="00000000" w:rsidR="00000000" w:rsidRPr="00000000">
        <w:rPr>
          <w:color w:val="0f4761"/>
          <w:sz w:val="16"/>
          <w:szCs w:val="16"/>
          <w:rtl w:val="0"/>
        </w:rPr>
        <w:t xml:space="preserve">In collaboration with MIT Club of Northern California and MIT Club of Germany</w:t>
      </w:r>
      <w:r w:rsidDel="00000000" w:rsidR="00000000" w:rsidRPr="00000000">
        <w:rPr>
          <w:rtl w:val="0"/>
        </w:rPr>
      </w:r>
    </w:p>
    <w:p w:rsidR="00000000" w:rsidDel="00000000" w:rsidP="00000000" w:rsidRDefault="00000000" w:rsidRPr="00000000" w14:paraId="00000003">
      <w:pPr>
        <w:pBdr>
          <w:bottom w:color="4dbbef" w:space="0" w:sz="4" w:val="singl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4">
      <w:pPr>
        <w:spacing w:after="36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5">
      <w:pPr>
        <w:spacing w:after="60" w:lineRule="auto"/>
        <w:jc w:val="center"/>
        <w:rPr>
          <w:rFonts w:ascii="Times New Roman" w:cs="Times New Roman" w:eastAsia="Times New Roman" w:hAnsi="Times New Roman"/>
          <w:color w:val="0f4761"/>
          <w:sz w:val="20"/>
          <w:szCs w:val="20"/>
        </w:rPr>
      </w:pPr>
      <w:r w:rsidDel="00000000" w:rsidR="00000000" w:rsidRPr="00000000">
        <w:rPr>
          <w:color w:val="0f4761"/>
          <w:rtl w:val="0"/>
        </w:rPr>
        <w:t xml:space="preserve">C H A L L E N G E</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color w:val="0f4761"/>
          <w:sz w:val="20"/>
          <w:szCs w:val="20"/>
        </w:rPr>
      </w:pPr>
      <w:r w:rsidDel="00000000" w:rsidR="00000000" w:rsidRPr="00000000">
        <w:rPr>
          <w:rFonts w:ascii="Arial Black" w:cs="Arial Black" w:eastAsia="Arial Black" w:hAnsi="Arial Black"/>
          <w:b w:val="1"/>
          <w:bCs w:val="1"/>
          <w:color w:val="0f4761"/>
          <w:sz w:val="320"/>
          <w:szCs w:val="320"/>
          <w:rtl w:val="0"/>
        </w:rPr>
        <w:t xml:space="preserve">01</w:t>
      </w:r>
      <w:r w:rsidDel="00000000" w:rsidR="00000000" w:rsidRPr="00000000">
        <w:rPr>
          <w:rtl w:val="0"/>
        </w:rPr>
      </w:r>
    </w:p>
    <w:p w:rsidR="00000000" w:rsidDel="00000000" w:rsidP="00000000" w:rsidRDefault="00000000" w:rsidRPr="00000000" w14:paraId="00000007">
      <w:pPr>
        <w:spacing w:after="120" w:before="120" w:lineRule="auto"/>
        <w:jc w:val="center"/>
        <w:rPr>
          <w:rFonts w:ascii="Times New Roman" w:cs="Times New Roman" w:eastAsia="Times New Roman" w:hAnsi="Times New Roman"/>
          <w:color w:val="000000"/>
          <w:sz w:val="20"/>
          <w:szCs w:val="20"/>
        </w:rPr>
      </w:pPr>
      <w:r w:rsidDel="00000000" w:rsidR="00000000" w:rsidRPr="00000000">
        <w:rPr>
          <w:color w:val="4dbbef"/>
          <w:sz w:val="16"/>
          <w:szCs w:val="16"/>
          <w:rtl w:val="0"/>
        </w:rPr>
        <w:t xml:space="preserve">· · · · · · · · · · · · · · · · · · · ·</w:t>
      </w:r>
      <w:r w:rsidDel="00000000" w:rsidR="00000000" w:rsidRPr="00000000">
        <w:rPr>
          <w:rtl w:val="0"/>
        </w:rPr>
      </w:r>
    </w:p>
    <w:p w:rsidR="00000000" w:rsidDel="00000000" w:rsidP="00000000" w:rsidRDefault="00000000" w:rsidRPr="00000000" w14:paraId="00000008">
      <w:pPr>
        <w:spacing w:after="8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9">
      <w:pPr>
        <w:pBdr>
          <w:bottom w:color="4dbbef" w:space="0" w:sz="8" w:val="singl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A">
      <w:pPr>
        <w:spacing w:after="32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B">
      <w:pPr>
        <w:spacing w:after="80" w:lineRule="auto"/>
        <w:jc w:val="center"/>
        <w:rPr>
          <w:rFonts w:ascii="Times New Roman" w:cs="Times New Roman" w:eastAsia="Times New Roman" w:hAnsi="Times New Roman"/>
          <w:color w:val="0f4761"/>
          <w:sz w:val="20"/>
          <w:szCs w:val="20"/>
        </w:rPr>
      </w:pPr>
      <w:r w:rsidDel="00000000" w:rsidR="00000000" w:rsidRPr="00000000">
        <w:rPr>
          <w:rFonts w:ascii="Arial Black" w:cs="Arial Black" w:eastAsia="Arial Black" w:hAnsi="Arial Black"/>
          <w:b w:val="1"/>
          <w:bCs w:val="1"/>
          <w:color w:val="0f4761"/>
          <w:sz w:val="60"/>
          <w:szCs w:val="60"/>
          <w:rtl w:val="0"/>
        </w:rPr>
        <w:t xml:space="preserve">Generative City-Wallet</w:t>
      </w: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color w:val="0f4761"/>
          <w:sz w:val="20"/>
          <w:szCs w:val="20"/>
        </w:rPr>
      </w:pPr>
      <w:r w:rsidDel="00000000" w:rsidR="00000000" w:rsidRPr="00000000">
        <w:rPr>
          <w:i w:val="1"/>
          <w:iCs w:val="1"/>
          <w:color w:val="0f4761"/>
          <w:sz w:val="24"/>
          <w:szCs w:val="24"/>
          <w:rtl w:val="0"/>
        </w:rPr>
        <w:t xml:space="preserve">Hyperpersonalized offers for anyone, anywhere</w:t>
      </w:r>
      <w:r w:rsidDel="00000000" w:rsidR="00000000" w:rsidRPr="00000000">
        <w:rPr>
          <w:rtl w:val="0"/>
        </w:rPr>
      </w:r>
    </w:p>
    <w:p w:rsidR="00000000" w:rsidDel="00000000" w:rsidP="00000000" w:rsidRDefault="00000000" w:rsidRPr="00000000" w14:paraId="0000000D">
      <w:pPr>
        <w:spacing w:after="320" w:lineRule="auto"/>
        <w:rPr>
          <w:rFonts w:ascii="Times New Roman" w:cs="Times New Roman" w:eastAsia="Times New Roman" w:hAnsi="Times New Roman"/>
          <w:color w:val="156082"/>
          <w:sz w:val="20"/>
          <w:szCs w:val="20"/>
        </w:rPr>
      </w:pPr>
      <w:r w:rsidDel="00000000" w:rsidR="00000000" w:rsidRPr="00000000">
        <w:rPr>
          <w:rtl w:val="0"/>
        </w:rPr>
      </w:r>
    </w:p>
    <w:p w:rsidR="00000000" w:rsidDel="00000000" w:rsidP="00000000" w:rsidRDefault="00000000" w:rsidRPr="00000000" w14:paraId="0000000E">
      <w:pPr>
        <w:pBdr>
          <w:bottom w:color="4dbbef" w:space="0" w:sz="4" w:val="single"/>
        </w:pBdr>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0F">
      <w:pPr>
        <w:spacing w:after="28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0">
      <w:pPr>
        <w:spacing w:after="100" w:lineRule="auto"/>
        <w:jc w:val="center"/>
        <w:rPr>
          <w:rFonts w:ascii="Times New Roman" w:cs="Times New Roman" w:eastAsia="Times New Roman" w:hAnsi="Times New Roman"/>
          <w:color w:val="0f4761"/>
          <w:sz w:val="20"/>
          <w:szCs w:val="20"/>
        </w:rPr>
      </w:pPr>
      <w:r w:rsidDel="00000000" w:rsidR="00000000" w:rsidRPr="00000000">
        <w:rPr>
          <w:color w:val="0f4761"/>
          <w:sz w:val="18"/>
          <w:szCs w:val="18"/>
          <w:rtl w:val="0"/>
        </w:rPr>
        <w:t xml:space="preserve">P O W E R E D   B Y</w:t>
      </w:r>
      <w:r w:rsidDel="00000000" w:rsidR="00000000" w:rsidRPr="00000000">
        <w:rPr>
          <w:rtl w:val="0"/>
        </w:rPr>
      </w:r>
    </w:p>
    <w:p w:rsidR="00000000" w:rsidDel="00000000" w:rsidP="00000000" w:rsidRDefault="00000000" w:rsidRPr="00000000" w14:paraId="00000011">
      <w:pPr>
        <w:spacing w:after="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12">
      <w:pPr>
        <w:jc w:val="center"/>
        <w:rPr>
          <w:rFonts w:ascii="Arial Black" w:cs="Arial Black" w:eastAsia="Arial Black" w:hAnsi="Arial Black"/>
          <w:b w:val="1"/>
          <w:bCs w:val="1"/>
          <w:color w:val="0f476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1955508</wp:posOffset>
            </wp:positionH>
            <wp:positionV relativeFrom="paragraph">
              <wp:posOffset>188758</wp:posOffset>
            </wp:positionV>
            <wp:extent cx="1741118" cy="518466"/>
            <wp:effectExtent b="0" l="0" r="0" t="0"/>
            <wp:wrapNone/>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741118" cy="518466"/>
                    </a:xfrm>
                    <a:prstGeom prst="rect"/>
                    <a:ln/>
                  </pic:spPr>
                </pic:pic>
              </a:graphicData>
            </a:graphic>
          </wp:anchor>
        </w:drawing>
      </w:r>
    </w:p>
    <w:p w:rsidR="00000000" w:rsidDel="00000000" w:rsidP="00000000" w:rsidRDefault="00000000" w:rsidRPr="00000000" w14:paraId="00000013">
      <w:pPr>
        <w:jc w:val="center"/>
        <w:rPr>
          <w:rFonts w:ascii="Arial Black" w:cs="Arial Black" w:eastAsia="Arial Black" w:hAnsi="Arial Black"/>
          <w:b w:val="1"/>
          <w:bCs w:val="1"/>
          <w:color w:val="0f4761"/>
          <w:sz w:val="28"/>
          <w:szCs w:val="28"/>
        </w:rPr>
      </w:pPr>
      <w:r w:rsidDel="00000000" w:rsidR="00000000" w:rsidRPr="00000000">
        <w:rPr>
          <w:rtl w:val="0"/>
        </w:rPr>
      </w:r>
    </w:p>
    <w:p w:rsidR="00000000" w:rsidDel="00000000" w:rsidP="00000000" w:rsidRDefault="00000000" w:rsidRPr="00000000" w14:paraId="00000014">
      <w:pPr>
        <w:rPr>
          <w:rFonts w:ascii="Arial Black" w:cs="Arial Black" w:eastAsia="Arial Black" w:hAnsi="Arial Black"/>
          <w:b w:val="1"/>
          <w:bCs w:val="1"/>
          <w:color w:val="0f4761"/>
          <w:sz w:val="28"/>
          <w:szCs w:val="28"/>
        </w:rPr>
      </w:pPr>
      <w:r w:rsidDel="00000000" w:rsidR="00000000" w:rsidRPr="00000000">
        <w:rPr>
          <w:rtl w:val="0"/>
        </w:rPr>
      </w:r>
    </w:p>
    <w:p w:rsidR="00000000" w:rsidDel="00000000" w:rsidP="00000000" w:rsidRDefault="00000000" w:rsidRPr="00000000" w14:paraId="00000015">
      <w:pPr>
        <w:jc w:val="center"/>
        <w:rPr>
          <w:rFonts w:ascii="Arial Black" w:cs="Arial Black" w:eastAsia="Arial Black" w:hAnsi="Arial Black"/>
          <w:b w:val="1"/>
          <w:bCs w:val="1"/>
          <w:color w:val="0f4761"/>
        </w:rPr>
        <w:sectPr>
          <w:headerReference r:id="rId9" w:type="default"/>
          <w:headerReference r:id="rId10" w:type="first"/>
          <w:headerReference r:id="rId11" w:type="even"/>
          <w:pgSz w:h="16838" w:w="11906" w:orient="portrait"/>
          <w:pgMar w:bottom="1440" w:top="0" w:left="1440" w:right="1440" w:header="708" w:footer="708"/>
          <w:pgNumType w:start="1"/>
        </w:sectPr>
      </w:pPr>
      <w:r w:rsidDel="00000000" w:rsidR="00000000" w:rsidRPr="00000000">
        <w:rPr>
          <w:rFonts w:ascii="Arial Black" w:cs="Arial Black" w:eastAsia="Arial Black" w:hAnsi="Arial Black"/>
          <w:b w:val="1"/>
          <w:bCs w:val="1"/>
          <w:color w:val="0f4761"/>
          <w:sz w:val="28"/>
          <w:szCs w:val="28"/>
          <w:rtl w:val="0"/>
        </w:rPr>
        <w:t xml:space="preserve">DSV-Gruppe — Deutscher Sparkassenverlag </w:t>
        <w:br w:type="textWrapping"/>
      </w:r>
      <w:r w:rsidDel="00000000" w:rsidR="00000000" w:rsidRPr="00000000">
        <w:rPr>
          <w:rFonts w:ascii="Arial Black" w:cs="Arial Black" w:eastAsia="Arial Black" w:hAnsi="Arial Black"/>
          <w:b w:val="1"/>
          <w:bCs w:val="1"/>
          <w:color w:val="0f4761"/>
          <w:rtl w:val="0"/>
        </w:rPr>
        <w:t xml:space="preserve">(A Company of the German Savings Banks Financial Group) </w:t>
      </w:r>
    </w:p>
    <w:p w:rsidR="00000000" w:rsidDel="00000000" w:rsidP="00000000" w:rsidRDefault="00000000" w:rsidRPr="00000000" w14:paraId="00000016">
      <w:pPr>
        <w:pBdr>
          <w:bottom w:color="1900f7" w:space="6" w:sz="8" w:val="single"/>
        </w:pBdr>
        <w:spacing w:after="200" w:before="520" w:lineRule="auto"/>
        <w:rPr/>
      </w:pPr>
      <w:r w:rsidDel="00000000" w:rsidR="00000000" w:rsidRPr="00000000">
        <w:rPr>
          <w:b w:val="1"/>
          <w:bCs w:val="1"/>
          <w:color w:val="0d1b3e"/>
          <w:sz w:val="30"/>
          <w:szCs w:val="30"/>
          <w:rtl w:val="0"/>
        </w:rPr>
        <w:t xml:space="preserve">Goals and Motivation</w:t>
      </w:r>
      <w:r w:rsidDel="00000000" w:rsidR="00000000" w:rsidRPr="00000000">
        <w:rPr>
          <w:rtl w:val="0"/>
        </w:rPr>
      </w:r>
    </w:p>
    <w:p w:rsidR="00000000" w:rsidDel="00000000" w:rsidP="00000000" w:rsidRDefault="00000000" w:rsidRPr="00000000" w14:paraId="00000017">
      <w:pPr>
        <w:spacing w:before="200" w:lineRule="auto"/>
        <w:rPr>
          <w:b w:val="1"/>
          <w:bCs w:val="1"/>
          <w:color w:val="0d1b3e"/>
          <w:sz w:val="20"/>
          <w:szCs w:val="20"/>
        </w:rPr>
      </w:pPr>
      <w:r w:rsidDel="00000000" w:rsidR="00000000" w:rsidRPr="00000000">
        <w:rPr>
          <w:b w:val="1"/>
          <w:bCs w:val="1"/>
          <w:color w:val="0d1b3e"/>
          <w:sz w:val="20"/>
          <w:szCs w:val="20"/>
          <w:rtl w:val="0"/>
        </w:rPr>
        <w:t xml:space="preserve">Meet Mia</w:t>
      </w:r>
    </w:p>
    <w:p w:rsidR="00000000" w:rsidDel="00000000" w:rsidP="00000000" w:rsidRDefault="00000000" w:rsidRPr="00000000" w14:paraId="00000018">
      <w:pPr>
        <w:spacing w:before="200" w:lineRule="auto"/>
        <w:rPr>
          <w:sz w:val="20"/>
          <w:szCs w:val="20"/>
        </w:rPr>
      </w:pPr>
      <w:r w:rsidDel="00000000" w:rsidR="00000000" w:rsidRPr="00000000">
        <w:rPr>
          <w:sz w:val="20"/>
          <w:szCs w:val="20"/>
          <w:rtl w:val="0"/>
        </w:rPr>
        <w:t xml:space="preserve">Mia is 28, works in marketing, and is walking through Stuttgart's old town on a Tuesday lunch break — twelve minutes to spare, slightly cold, vaguely hungry, phone in hand.</w:t>
      </w:r>
    </w:p>
    <w:p w:rsidR="00000000" w:rsidDel="00000000" w:rsidP="00000000" w:rsidRDefault="00000000" w:rsidRPr="00000000" w14:paraId="00000019">
      <w:pPr>
        <w:spacing w:before="200" w:lineRule="auto"/>
        <w:rPr>
          <w:sz w:val="20"/>
          <w:szCs w:val="20"/>
        </w:rPr>
      </w:pPr>
      <w:r w:rsidDel="00000000" w:rsidR="00000000" w:rsidRPr="00000000">
        <w:rPr>
          <w:sz w:val="20"/>
          <w:szCs w:val="20"/>
          <w:rtl w:val="0"/>
        </w:rPr>
        <w:t xml:space="preserve">The system knows quite a lot about this moment. It knows it is 11°C and overcast. It knows there is a café 80 metres away that has been quiet all morning and has just brewed a fresh batch. It knows Mia has stopped twice in the last ten minutes and is moving slowly — the behavioural signature of someone browsing, not commuting. It knows she has responded to warm-drink offers before.</w:t>
      </w:r>
    </w:p>
    <w:p w:rsidR="00000000" w:rsidDel="00000000" w:rsidP="00000000" w:rsidRDefault="00000000" w:rsidRPr="00000000" w14:paraId="0000001A">
      <w:pPr>
        <w:spacing w:before="200" w:lineRule="auto"/>
        <w:rPr>
          <w:sz w:val="20"/>
          <w:szCs w:val="20"/>
        </w:rPr>
      </w:pPr>
      <w:r w:rsidDel="00000000" w:rsidR="00000000" w:rsidRPr="00000000">
        <w:rPr>
          <w:sz w:val="20"/>
          <w:szCs w:val="20"/>
          <w:rtl w:val="0"/>
        </w:rPr>
        <w:t xml:space="preserve">None of this is being used.</w:t>
      </w:r>
    </w:p>
    <w:p w:rsidR="00000000" w:rsidDel="00000000" w:rsidP="00000000" w:rsidRDefault="00000000" w:rsidRPr="00000000" w14:paraId="0000001B">
      <w:pPr>
        <w:spacing w:before="200" w:lineRule="auto"/>
        <w:rPr>
          <w:sz w:val="20"/>
          <w:szCs w:val="20"/>
        </w:rPr>
      </w:pPr>
      <w:r w:rsidDel="00000000" w:rsidR="00000000" w:rsidRPr="00000000">
        <w:rPr>
          <w:sz w:val="20"/>
          <w:szCs w:val="20"/>
          <w:rtl w:val="0"/>
        </w:rPr>
        <w:t xml:space="preserve">Instead, Mia's phone shows her a push notification from a coupon app: 10% off at a restaurant she has never visited, valid for the next thirty days.</w:t>
      </w:r>
    </w:p>
    <w:p w:rsidR="00000000" w:rsidDel="00000000" w:rsidP="00000000" w:rsidRDefault="00000000" w:rsidRPr="00000000" w14:paraId="0000001C">
      <w:pPr>
        <w:spacing w:before="200" w:lineRule="auto"/>
        <w:rPr>
          <w:sz w:val="20"/>
          <w:szCs w:val="20"/>
        </w:rPr>
      </w:pPr>
      <w:r w:rsidDel="00000000" w:rsidR="00000000" w:rsidRPr="00000000">
        <w:rPr>
          <w:sz w:val="20"/>
          <w:szCs w:val="20"/>
          <w:rtl w:val="0"/>
        </w:rPr>
        <w:t xml:space="preserve">This is not a technology problem. The data exists. The location is precise. The café's quiet period is measurable. Mia's likely intent is inferable. What is missing is the layer that connects these signals in real time and turns them into a single, specific, well-timed offer — not a generic discount, but </w:t>
      </w:r>
      <w:r w:rsidDel="00000000" w:rsidR="00000000" w:rsidRPr="00000000">
        <w:rPr>
          <w:i w:val="1"/>
          <w:iCs w:val="1"/>
          <w:sz w:val="20"/>
          <w:szCs w:val="20"/>
          <w:rtl w:val="0"/>
        </w:rPr>
        <w:t xml:space="preserve">this café, this drink, right now, because the moment is right.</w:t>
      </w:r>
      <w:r w:rsidDel="00000000" w:rsidR="00000000" w:rsidRPr="00000000">
        <w:rPr>
          <w:rtl w:val="0"/>
        </w:rPr>
      </w:r>
    </w:p>
    <w:p w:rsidR="00000000" w:rsidDel="00000000" w:rsidP="00000000" w:rsidRDefault="00000000" w:rsidRPr="00000000" w14:paraId="0000001D">
      <w:pPr>
        <w:spacing w:before="200" w:lineRule="auto"/>
        <w:rPr>
          <w:sz w:val="20"/>
          <w:szCs w:val="20"/>
        </w:rPr>
      </w:pPr>
      <w:r w:rsidDel="00000000" w:rsidR="00000000" w:rsidRPr="00000000">
        <w:rPr>
          <w:sz w:val="20"/>
          <w:szCs w:val="20"/>
          <w:rtl w:val="0"/>
        </w:rPr>
        <w:t xml:space="preserve">That gap — between a person and a perfectly relevant local offer that already exists two minutes from where they are standing — is what this challenge asks you to close.</w:t>
      </w:r>
    </w:p>
    <w:p w:rsidR="00000000" w:rsidDel="00000000" w:rsidP="00000000" w:rsidRDefault="00000000" w:rsidRPr="00000000" w14:paraId="0000001E">
      <w:pPr>
        <w:spacing w:after="120" w:before="320" w:lineRule="auto"/>
        <w:rPr>
          <w:sz w:val="20"/>
          <w:szCs w:val="20"/>
        </w:rPr>
      </w:pPr>
      <w:r w:rsidDel="00000000" w:rsidR="00000000" w:rsidRPr="00000000">
        <w:rPr>
          <w:b w:val="1"/>
          <w:bCs w:val="1"/>
          <w:color w:val="0d1b3e"/>
          <w:sz w:val="20"/>
          <w:szCs w:val="20"/>
          <w:rtl w:val="0"/>
        </w:rPr>
        <w:t xml:space="preserve">Current challenges </w:t>
      </w:r>
      <w:r w:rsidDel="00000000" w:rsidR="00000000" w:rsidRPr="00000000">
        <w:rPr>
          <w:rtl w:val="0"/>
        </w:rPr>
      </w:r>
    </w:p>
    <w:p w:rsidR="00000000" w:rsidDel="00000000" w:rsidP="00000000" w:rsidRDefault="00000000" w:rsidRPr="00000000" w14:paraId="0000001F">
      <w:pPr>
        <w:spacing w:after="100" w:before="100" w:lineRule="auto"/>
        <w:rPr>
          <w:sz w:val="20"/>
          <w:szCs w:val="20"/>
        </w:rPr>
      </w:pPr>
      <w:r w:rsidDel="00000000" w:rsidR="00000000" w:rsidRPr="00000000">
        <w:rPr>
          <w:sz w:val="20"/>
          <w:szCs w:val="20"/>
          <w:rtl w:val="0"/>
        </w:rPr>
        <w:t xml:space="preserve">Personalization is a tool often not deployed by smaller local shops. Build the app that gives DSV Gruppe's local merchant partners access to the personalisation infrastructure they have never had — and use it to make Mia's next fifteen minutes count.</w:t>
      </w:r>
    </w:p>
    <w:p w:rsidR="00000000" w:rsidDel="00000000" w:rsidP="00000000" w:rsidRDefault="00000000" w:rsidRPr="00000000" w14:paraId="00000020">
      <w:pPr>
        <w:spacing w:before="80" w:lineRule="auto"/>
        <w:rPr>
          <w:sz w:val="20"/>
          <w:szCs w:val="20"/>
        </w:rPr>
      </w:pPr>
      <w:r w:rsidDel="00000000" w:rsidR="00000000" w:rsidRPr="00000000">
        <w:rPr>
          <w:rtl w:val="0"/>
        </w:rPr>
      </w:r>
    </w:p>
    <w:tbl>
      <w:tblPr>
        <w:tblStyle w:val="Table1"/>
        <w:tblW w:w="9026.0" w:type="dxa"/>
        <w:jc w:val="left"/>
        <w:tblBorders>
          <w:top w:color="dddddd" w:space="0" w:sz="4" w:val="single"/>
          <w:bottom w:color="dddddd"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left w:color="1900f7" w:space="0" w:sz="22" w:val="single"/>
              <w:bottom w:color="dddddd" w:space="0" w:sz="4" w:val="single"/>
            </w:tcBorders>
            <w:shd w:fill="eef0ff" w:val="clear"/>
            <w:tcMar>
              <w:top w:w="160.0" w:type="dxa"/>
              <w:left w:w="180.0" w:type="dxa"/>
              <w:bottom w:w="160.0" w:type="dxa"/>
              <w:right w:w="160.0" w:type="dxa"/>
            </w:tcMar>
          </w:tcPr>
          <w:p w:rsidR="00000000" w:rsidDel="00000000" w:rsidP="00000000" w:rsidRDefault="00000000" w:rsidRPr="00000000" w14:paraId="00000021">
            <w:pPr>
              <w:rPr>
                <w:color w:val="0f4761"/>
                <w:sz w:val="16"/>
                <w:szCs w:val="16"/>
              </w:rPr>
            </w:pPr>
            <w:r w:rsidDel="00000000" w:rsidR="00000000" w:rsidRPr="00000000">
              <w:rPr>
                <w:b w:val="1"/>
                <w:bCs w:val="1"/>
                <w:color w:val="0f4761"/>
                <w:sz w:val="16"/>
                <w:szCs w:val="16"/>
                <w:rtl w:val="0"/>
              </w:rPr>
              <w:t xml:space="preserve">STATIC OFFERS</w:t>
            </w:r>
            <w:r w:rsidDel="00000000" w:rsidR="00000000" w:rsidRPr="00000000">
              <w:rPr>
                <w:rtl w:val="0"/>
              </w:rPr>
            </w:r>
          </w:p>
        </w:tc>
        <w:tc>
          <w:tcPr>
            <w:tcBorders>
              <w:bottom w:color="dddddd" w:space="0" w:sz="4" w:val="single"/>
            </w:tcBorders>
            <w:tcMar>
              <w:top w:w="160.0" w:type="dxa"/>
              <w:left w:w="180.0" w:type="dxa"/>
              <w:bottom w:w="160.0" w:type="dxa"/>
              <w:right w:w="80.0" w:type="dxa"/>
            </w:tcMar>
          </w:tcPr>
          <w:p w:rsidR="00000000" w:rsidDel="00000000" w:rsidP="00000000" w:rsidRDefault="00000000" w:rsidRPr="00000000" w14:paraId="00000022">
            <w:pPr>
              <w:rPr>
                <w:sz w:val="16"/>
                <w:szCs w:val="16"/>
              </w:rPr>
            </w:pPr>
            <w:r w:rsidDel="00000000" w:rsidR="00000000" w:rsidRPr="00000000">
              <w:rPr>
                <w:color w:val="0d1b3e"/>
                <w:sz w:val="16"/>
                <w:szCs w:val="16"/>
                <w:rtl w:val="0"/>
              </w:rPr>
              <w:t xml:space="preserve">Traditional loyalty programmes and coupon books are static and often irrelevant. A 10% discount valid for a month does almost nothing to drive a spontaneous visit today.</w:t>
            </w:r>
            <w:r w:rsidDel="00000000" w:rsidR="00000000" w:rsidRPr="00000000">
              <w:rPr>
                <w:rtl w:val="0"/>
              </w:rPr>
            </w:r>
          </w:p>
        </w:tc>
      </w:tr>
      <w:tr>
        <w:trPr>
          <w:cantSplit w:val="0"/>
          <w:tblHeader w:val="0"/>
        </w:trPr>
        <w:tc>
          <w:tcPr>
            <w:tcBorders>
              <w:left w:color="1900f7" w:space="0" w:sz="22" w:val="single"/>
              <w:bottom w:color="dddddd" w:space="0" w:sz="4" w:val="single"/>
            </w:tcBorders>
            <w:shd w:fill="eef0ff" w:val="clear"/>
            <w:tcMar>
              <w:top w:w="160.0" w:type="dxa"/>
              <w:left w:w="180.0" w:type="dxa"/>
              <w:bottom w:w="160.0" w:type="dxa"/>
              <w:right w:w="160.0" w:type="dxa"/>
            </w:tcMar>
          </w:tcPr>
          <w:p w:rsidR="00000000" w:rsidDel="00000000" w:rsidP="00000000" w:rsidRDefault="00000000" w:rsidRPr="00000000" w14:paraId="00000023">
            <w:pPr>
              <w:rPr>
                <w:color w:val="0f4761"/>
                <w:sz w:val="16"/>
                <w:szCs w:val="16"/>
              </w:rPr>
            </w:pPr>
            <w:r w:rsidDel="00000000" w:rsidR="00000000" w:rsidRPr="00000000">
              <w:rPr>
                <w:b w:val="1"/>
                <w:bCs w:val="1"/>
                <w:color w:val="0f4761"/>
                <w:sz w:val="16"/>
                <w:szCs w:val="16"/>
                <w:rtl w:val="0"/>
              </w:rPr>
              <w:t xml:space="preserve">NO ALGORITHMIC POWER</w:t>
            </w:r>
            <w:r w:rsidDel="00000000" w:rsidR="00000000" w:rsidRPr="00000000">
              <w:rPr>
                <w:rtl w:val="0"/>
              </w:rPr>
            </w:r>
          </w:p>
        </w:tc>
        <w:tc>
          <w:tcPr>
            <w:tcBorders>
              <w:bottom w:color="dddddd" w:space="0" w:sz="4" w:val="single"/>
            </w:tcBorders>
            <w:tcMar>
              <w:top w:w="160.0" w:type="dxa"/>
              <w:left w:w="180.0" w:type="dxa"/>
              <w:bottom w:w="160.0" w:type="dxa"/>
              <w:right w:w="80.0" w:type="dxa"/>
            </w:tcMar>
          </w:tcPr>
          <w:p w:rsidR="00000000" w:rsidDel="00000000" w:rsidP="00000000" w:rsidRDefault="00000000" w:rsidRPr="00000000" w14:paraId="00000024">
            <w:pPr>
              <w:rPr>
                <w:sz w:val="16"/>
                <w:szCs w:val="16"/>
              </w:rPr>
            </w:pPr>
            <w:r w:rsidDel="00000000" w:rsidR="00000000" w:rsidRPr="00000000">
              <w:rPr>
                <w:color w:val="0d1b3e"/>
                <w:sz w:val="16"/>
                <w:szCs w:val="16"/>
                <w:rtl w:val="0"/>
              </w:rPr>
              <w:t xml:space="preserve">Small local retailers lack the marketing resources and data analysts to compete with the dynamic pricing models and recommendation algorithms of global e-commerce giants. The infrastructure exists but dynamic content is missing.</w:t>
            </w:r>
            <w:r w:rsidDel="00000000" w:rsidR="00000000" w:rsidRPr="00000000">
              <w:rPr>
                <w:rtl w:val="0"/>
              </w:rPr>
            </w:r>
          </w:p>
        </w:tc>
      </w:tr>
      <w:tr>
        <w:trPr>
          <w:cantSplit w:val="0"/>
          <w:tblHeader w:val="0"/>
        </w:trPr>
        <w:tc>
          <w:tcPr>
            <w:tcBorders>
              <w:left w:color="1900f7" w:space="0" w:sz="22" w:val="single"/>
            </w:tcBorders>
            <w:shd w:fill="eef0ff" w:val="clear"/>
            <w:tcMar>
              <w:top w:w="160.0" w:type="dxa"/>
              <w:left w:w="180.0" w:type="dxa"/>
              <w:bottom w:w="160.0" w:type="dxa"/>
              <w:right w:w="160.0" w:type="dxa"/>
            </w:tcMar>
          </w:tcPr>
          <w:p w:rsidR="00000000" w:rsidDel="00000000" w:rsidP="00000000" w:rsidRDefault="00000000" w:rsidRPr="00000000" w14:paraId="00000025">
            <w:pPr>
              <w:rPr>
                <w:color w:val="0f4761"/>
                <w:sz w:val="16"/>
                <w:szCs w:val="16"/>
              </w:rPr>
            </w:pPr>
            <w:r w:rsidDel="00000000" w:rsidR="00000000" w:rsidRPr="00000000">
              <w:rPr>
                <w:b w:val="1"/>
                <w:bCs w:val="1"/>
                <w:color w:val="0f4761"/>
                <w:sz w:val="16"/>
                <w:szCs w:val="16"/>
                <w:rtl w:val="0"/>
              </w:rPr>
              <w:t xml:space="preserve">CONTEXT BLINDNESS</w:t>
            </w:r>
            <w:r w:rsidDel="00000000" w:rsidR="00000000" w:rsidRPr="00000000">
              <w:rPr>
                <w:rtl w:val="0"/>
              </w:rPr>
            </w:r>
          </w:p>
        </w:tc>
        <w:tc>
          <w:tcPr>
            <w:tcMar>
              <w:top w:w="160.0" w:type="dxa"/>
              <w:left w:w="180.0" w:type="dxa"/>
              <w:bottom w:w="160.0" w:type="dxa"/>
              <w:right w:w="80.0" w:type="dxa"/>
            </w:tcMar>
          </w:tcPr>
          <w:p w:rsidR="00000000" w:rsidDel="00000000" w:rsidP="00000000" w:rsidRDefault="00000000" w:rsidRPr="00000000" w14:paraId="00000026">
            <w:pPr>
              <w:rPr>
                <w:sz w:val="16"/>
                <w:szCs w:val="16"/>
              </w:rPr>
            </w:pPr>
            <w:r w:rsidDel="00000000" w:rsidR="00000000" w:rsidRPr="00000000">
              <w:rPr>
                <w:color w:val="0d1b3e"/>
                <w:sz w:val="16"/>
                <w:szCs w:val="16"/>
                <w:rtl w:val="0"/>
              </w:rPr>
              <w:t xml:space="preserve">Even where offers and users are in the same street at the same moment, there is no connective tissue. The gap between a slow afternoon at a café and a person looking for a warm place to sit is never closed.</w:t>
            </w:r>
            <w:r w:rsidDel="00000000" w:rsidR="00000000" w:rsidRPr="00000000">
              <w:rPr>
                <w:rtl w:val="0"/>
              </w:rPr>
            </w:r>
          </w:p>
        </w:tc>
      </w:tr>
    </w:tbl>
    <w:p w:rsidR="00000000" w:rsidDel="00000000" w:rsidP="00000000" w:rsidRDefault="00000000" w:rsidRPr="00000000" w14:paraId="00000027">
      <w:pPr>
        <w:pBdr>
          <w:bottom w:color="1900f7" w:space="6" w:sz="8" w:val="single"/>
        </w:pBdr>
        <w:spacing w:after="200" w:before="520" w:lineRule="auto"/>
        <w:rPr/>
      </w:pPr>
      <w:r w:rsidDel="00000000" w:rsidR="00000000" w:rsidRPr="00000000">
        <w:rPr>
          <w:b w:val="1"/>
          <w:bCs w:val="1"/>
          <w:color w:val="0d1b3e"/>
          <w:sz w:val="30"/>
          <w:szCs w:val="30"/>
          <w:rtl w:val="0"/>
        </w:rPr>
        <w:t xml:space="preserve">Your Challenge</w:t>
      </w:r>
      <w:r w:rsidDel="00000000" w:rsidR="00000000" w:rsidRPr="00000000">
        <w:rPr>
          <w:rtl w:val="0"/>
        </w:rPr>
      </w:r>
    </w:p>
    <w:p w:rsidR="00000000" w:rsidDel="00000000" w:rsidP="00000000" w:rsidRDefault="00000000" w:rsidRPr="00000000" w14:paraId="00000028">
      <w:pPr>
        <w:spacing w:after="140" w:lineRule="auto"/>
        <w:rPr/>
      </w:pPr>
      <w:r w:rsidDel="00000000" w:rsidR="00000000" w:rsidRPr="00000000">
        <w:rPr>
          <w:color w:val="0d1b3e"/>
          <w:sz w:val="20"/>
          <w:szCs w:val="20"/>
          <w:rtl w:val="0"/>
        </w:rPr>
        <w:t xml:space="preserve">Build CITY WALLET — a working end-to-end MVP for an AI-powered city wallet that detects the most relevant local offer for a user in real time, generates it dynamically, and makes it redeemable through a simulated checkout.</w:t>
      </w:r>
      <w:r w:rsidDel="00000000" w:rsidR="00000000" w:rsidRPr="00000000">
        <w:rPr>
          <w:rtl w:val="0"/>
        </w:rPr>
      </w:r>
    </w:p>
    <w:p w:rsidR="00000000" w:rsidDel="00000000" w:rsidP="00000000" w:rsidRDefault="00000000" w:rsidRPr="00000000" w14:paraId="00000029">
      <w:pPr>
        <w:spacing w:after="140" w:lineRule="auto"/>
        <w:rPr>
          <w:color w:val="0d1b3e"/>
          <w:sz w:val="20"/>
          <w:szCs w:val="20"/>
        </w:rPr>
      </w:pPr>
      <w:r w:rsidDel="00000000" w:rsidR="00000000" w:rsidRPr="00000000">
        <w:rPr>
          <w:color w:val="0d1b3e"/>
          <w:sz w:val="20"/>
          <w:szCs w:val="20"/>
          <w:rtl w:val="0"/>
        </w:rPr>
        <w:t xml:space="preserve">At the centre is a mobile user experience that surfaces locally relevant offers in everyday situations — not as static coupons but as dynamically generated, context-aware recommendations. These are </w:t>
      </w:r>
    </w:p>
    <w:p w:rsidR="00000000" w:rsidDel="00000000" w:rsidP="00000000" w:rsidRDefault="00000000" w:rsidRPr="00000000" w14:paraId="0000002A">
      <w:pPr>
        <w:spacing w:after="140" w:lineRule="auto"/>
        <w:rPr>
          <w:color w:val="0d1b3e"/>
          <w:sz w:val="20"/>
          <w:szCs w:val="20"/>
        </w:rPr>
      </w:pPr>
      <w:r w:rsidDel="00000000" w:rsidR="00000000" w:rsidRPr="00000000">
        <w:rPr>
          <w:color w:val="0d1b3e"/>
          <w:sz w:val="20"/>
          <w:szCs w:val="20"/>
          <w:rtl w:val="0"/>
        </w:rPr>
        <w:t xml:space="preserve">grounded in real-time signals: weather, time of day, location, local events, and demand patterns. The solution serves end users first, but also connects local merchants: merchants participate with minimal effort by setting simple rules or goals, while the AI generates the actual offer automatically (within guiding parameters).</w:t>
      </w:r>
    </w:p>
    <w:p w:rsidR="00000000" w:rsidDel="00000000" w:rsidP="00000000" w:rsidRDefault="00000000" w:rsidRPr="00000000" w14:paraId="0000002B">
      <w:pPr>
        <w:spacing w:after="140" w:lineRule="auto"/>
        <w:rPr/>
      </w:pPr>
      <w:r w:rsidDel="00000000" w:rsidR="00000000" w:rsidRPr="00000000">
        <w:rPr>
          <w:color w:val="0d1b3e"/>
          <w:sz w:val="20"/>
          <w:szCs w:val="20"/>
          <w:rtl w:val="0"/>
        </w:rPr>
        <w:t xml:space="preserve">UX design is as much part of the challenge as the technology. How, when and in what form the offer appears determines whether it is accepted or ignored.</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tl w:val="0"/>
        </w:rPr>
      </w:r>
    </w:p>
    <w:tbl>
      <w:tblPr>
        <w:tblStyle w:val="Table2"/>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tcBorders>
              <w:top w:color="4dbbef" w:space="0" w:sz="4" w:val="single"/>
              <w:left w:color="4dbbef" w:space="0" w:sz="12" w:val="single"/>
              <w:bottom w:color="4dbbef" w:space="0" w:sz="4" w:val="single"/>
              <w:right w:color="4dbbef" w:space="0" w:sz="4" w:val="single"/>
            </w:tcBorders>
            <w:shd w:fill="f5f7ff" w:val="clear"/>
            <w:tcMar>
              <w:top w:w="200.0" w:type="dxa"/>
              <w:left w:w="280.0" w:type="dxa"/>
              <w:bottom w:w="200.0" w:type="dxa"/>
              <w:right w:w="280.0" w:type="dxa"/>
            </w:tcMar>
          </w:tcPr>
          <w:p w:rsidR="00000000" w:rsidDel="00000000" w:rsidP="00000000" w:rsidRDefault="00000000" w:rsidRPr="00000000" w14:paraId="0000002D">
            <w:pPr>
              <w:spacing w:after="60" w:lineRule="auto"/>
              <w:rPr/>
            </w:pPr>
            <w:r w:rsidDel="00000000" w:rsidR="00000000" w:rsidRPr="00000000">
              <w:rPr>
                <w:rFonts w:ascii="Arial Black" w:cs="Arial Black" w:eastAsia="Arial Black" w:hAnsi="Arial Black"/>
                <w:b w:val="1"/>
                <w:bCs w:val="1"/>
                <w:color w:val="0d1b3e"/>
                <w:sz w:val="20"/>
                <w:szCs w:val="20"/>
                <w:rtl w:val="0"/>
              </w:rPr>
              <w:t xml:space="preserve">A Living Wallet — not a coupon app</w:t>
            </w:r>
            <w:r w:rsidDel="00000000" w:rsidR="00000000" w:rsidRPr="00000000">
              <w:rPr>
                <w:rtl w:val="0"/>
              </w:rPr>
            </w:r>
          </w:p>
          <w:p w:rsidR="00000000" w:rsidDel="00000000" w:rsidP="00000000" w:rsidRDefault="00000000" w:rsidRPr="00000000" w14:paraId="0000002E">
            <w:pPr>
              <w:rPr/>
            </w:pPr>
            <w:r w:rsidDel="00000000" w:rsidR="00000000" w:rsidRPr="00000000">
              <w:rPr>
                <w:color w:val="444444"/>
                <w:sz w:val="20"/>
                <w:szCs w:val="20"/>
                <w:rtl w:val="0"/>
              </w:rPr>
              <w:t xml:space="preserve">Your solution must work as a real-time context layer — not a static database of offers. Think of it as a system where offers don't exist until the moment they are needed, and are generated specifically for this user, this location, this minute. The merchant sets rules and goals; the AI creates the offer. Country-specific or city-specific parameters (merchant inventory signals, local event data, weather, time patterns) should be inputs to your system, not hardcoded assumptions.</w:t>
            </w:r>
            <w:r w:rsidDel="00000000" w:rsidR="00000000" w:rsidRPr="00000000">
              <w:rPr>
                <w:rtl w:val="0"/>
              </w:rPr>
            </w:r>
          </w:p>
        </w:tc>
      </w:tr>
    </w:tbl>
    <w:p w:rsidR="00000000" w:rsidDel="00000000" w:rsidP="00000000" w:rsidRDefault="00000000" w:rsidRPr="00000000" w14:paraId="0000002F">
      <w:pPr>
        <w:spacing w:before="200" w:lineRule="auto"/>
        <w:rPr/>
      </w:pPr>
      <w:r w:rsidDel="00000000" w:rsidR="00000000" w:rsidRPr="00000000">
        <w:rPr>
          <w:rtl w:val="0"/>
        </w:rPr>
      </w:r>
    </w:p>
    <w:p w:rsidR="00000000" w:rsidDel="00000000" w:rsidP="00000000" w:rsidRDefault="00000000" w:rsidRPr="00000000" w14:paraId="00000030">
      <w:pPr>
        <w:spacing w:after="100" w:before="100" w:lineRule="auto"/>
        <w:rPr/>
      </w:pPr>
      <w:r w:rsidDel="00000000" w:rsidR="00000000" w:rsidRPr="00000000">
        <w:rPr>
          <w:b w:val="1"/>
          <w:bCs w:val="1"/>
          <w:color w:val="0d1b3e"/>
          <w:rtl w:val="0"/>
        </w:rPr>
        <w:t xml:space="preserve">Build all three of these modules:</w:t>
      </w:r>
      <w:r w:rsidDel="00000000" w:rsidR="00000000" w:rsidRPr="00000000">
        <w:rPr>
          <w:rtl w:val="0"/>
        </w:rPr>
      </w:r>
    </w:p>
    <w:p w:rsidR="00000000" w:rsidDel="00000000" w:rsidP="00000000" w:rsidRDefault="00000000" w:rsidRPr="00000000" w14:paraId="00000031">
      <w:pPr>
        <w:spacing w:before="120" w:lineRule="auto"/>
        <w:rPr/>
      </w:pP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Arial Black" w:cs="Arial Black" w:eastAsia="Arial Black" w:hAnsi="Arial Black"/>
          <w:b w:val="1"/>
          <w:bCs w:val="1"/>
          <w:color w:val="0d1b3e"/>
          <w:rtl w:val="0"/>
        </w:rPr>
        <w:t xml:space="preserve">Build all three of these modules:</w:t>
      </w: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tcBorders>
              <w:top w:color="4dbbef" w:space="0" w:sz="4" w:val="single"/>
              <w:left w:color="4dbbef" w:space="0" w:sz="16" w:val="single"/>
            </w:tcBorders>
            <w:shd w:fill="eef0ff" w:val="clear"/>
            <w:tcMar>
              <w:top w:w="200.0" w:type="dxa"/>
              <w:left w:w="280.0" w:type="dxa"/>
              <w:bottom w:w="200.0" w:type="dxa"/>
              <w:right w:w="280.0" w:type="dxa"/>
            </w:tcMar>
          </w:tcPr>
          <w:p w:rsidR="00000000" w:rsidDel="00000000" w:rsidP="00000000" w:rsidRDefault="00000000" w:rsidRPr="00000000" w14:paraId="00000033">
            <w:pPr>
              <w:spacing w:after="60" w:lineRule="auto"/>
              <w:rPr/>
            </w:pPr>
            <w:r w:rsidDel="00000000" w:rsidR="00000000" w:rsidRPr="00000000">
              <w:rPr>
                <w:rFonts w:ascii="Arial Black" w:cs="Arial Black" w:eastAsia="Arial Black" w:hAnsi="Arial Black"/>
                <w:b w:val="1"/>
                <w:bCs w:val="1"/>
                <w:color w:val="0d1b3e"/>
                <w:rtl w:val="0"/>
              </w:rPr>
              <w:t xml:space="preserve">01  Context Sensing Layer</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color w:val="444444"/>
                <w:sz w:val="20"/>
                <w:szCs w:val="20"/>
                <w:rtl w:val="0"/>
              </w:rPr>
              <w:t xml:space="preserve">Aggregate real-time context signals: weather data, local event calendars (city festivals, sports events), user location via geo-fencing, and — as a key DSV asset — Payone transaction density at nearby merchants. The system must recognise a composite context state (e.g. 'raining + Tuesday afternoon + partner café transaction volume unusually low') and trigger the generative pipeline. Context signals must be configurable without changing the codebase — a different city or data source should slot in as a configuration, not a rewrite.</w:t>
            </w: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color w:val="0f4761"/>
                <w:sz w:val="20"/>
                <w:szCs w:val="20"/>
                <w:rtl w:val="0"/>
              </w:rPr>
              <w:t xml:space="preserve">Required: </w:t>
            </w:r>
            <w:r w:rsidDel="00000000" w:rsidR="00000000" w:rsidRPr="00000000">
              <w:rPr>
                <w:i w:val="1"/>
                <w:iCs w:val="1"/>
                <w:color w:val="444444"/>
                <w:sz w:val="20"/>
                <w:szCs w:val="20"/>
                <w:rtl w:val="0"/>
              </w:rPr>
              <w:t xml:space="preserve">Must incorporate at least two real context signal categories visible to the user — weather, location, time, local events or demand proxies.</w:t>
            </w:r>
            <w:r w:rsidDel="00000000" w:rsidR="00000000" w:rsidRPr="00000000">
              <w:rPr>
                <w:rtl w:val="0"/>
              </w:rPr>
            </w:r>
          </w:p>
        </w:tc>
      </w:tr>
    </w:tbl>
    <w:p w:rsidR="00000000" w:rsidDel="00000000" w:rsidP="00000000" w:rsidRDefault="00000000" w:rsidRPr="00000000" w14:paraId="00000036">
      <w:pPr>
        <w:spacing w:after="160" w:lineRule="auto"/>
        <w:rPr/>
      </w:pPr>
      <w:r w:rsidDel="00000000" w:rsidR="00000000" w:rsidRPr="00000000">
        <w:rPr>
          <w:rtl w:val="0"/>
        </w:rPr>
      </w:r>
    </w:p>
    <w:tbl>
      <w:tblPr>
        <w:tblStyle w:val="Table4"/>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tcBorders>
              <w:top w:color="4dbbef" w:space="0" w:sz="4" w:val="single"/>
              <w:left w:color="4dbbef" w:space="0" w:sz="16" w:val="single"/>
            </w:tcBorders>
            <w:shd w:fill="eef0ff" w:val="clear"/>
            <w:tcMar>
              <w:top w:w="200.0" w:type="dxa"/>
              <w:left w:w="280.0" w:type="dxa"/>
              <w:bottom w:w="200.0" w:type="dxa"/>
              <w:right w:w="280.0" w:type="dxa"/>
            </w:tcMar>
          </w:tcPr>
          <w:p w:rsidR="00000000" w:rsidDel="00000000" w:rsidP="00000000" w:rsidRDefault="00000000" w:rsidRPr="00000000" w14:paraId="00000037">
            <w:pPr>
              <w:spacing w:after="60" w:lineRule="auto"/>
              <w:rPr/>
            </w:pPr>
            <w:r w:rsidDel="00000000" w:rsidR="00000000" w:rsidRPr="00000000">
              <w:rPr>
                <w:rFonts w:ascii="Arial Black" w:cs="Arial Black" w:eastAsia="Arial Black" w:hAnsi="Arial Black"/>
                <w:b w:val="1"/>
                <w:bCs w:val="1"/>
                <w:color w:val="0d1b3e"/>
                <w:rtl w:val="0"/>
              </w:rPr>
              <w:t xml:space="preserve">02  Generative Offer Engine</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color w:val="444444"/>
                <w:sz w:val="20"/>
                <w:szCs w:val="20"/>
                <w:rtl w:val="0"/>
              </w:rPr>
              <w:t xml:space="preserve">Based on the context state, the system autonomously generates a targeted campaign: content, discount parameters, visual design, and timing. This is not template-filling — use Generative UI (GenUI) techniques to create a fitting interface element (widget) including appropriate imagery, tone, and emotional framing. The merchant specifies only rules or goals ('max 20% discount to fill quiet hours'); the AI handles the creative execution. On-device Small Language Models (SLMs) are encouraged for privacy compliance (GDPR): local preference and movement data should not reach the cloud. Only an abstract 'intent' signal is sent upstream.</w:t>
            </w: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color w:val="0f4761"/>
                <w:sz w:val="20"/>
                <w:szCs w:val="20"/>
                <w:rtl w:val="0"/>
              </w:rPr>
              <w:t xml:space="preserve">Required: </w:t>
            </w:r>
            <w:r w:rsidDel="00000000" w:rsidR="00000000" w:rsidRPr="00000000">
              <w:rPr>
                <w:i w:val="1"/>
                <w:iCs w:val="1"/>
                <w:color w:val="444444"/>
                <w:sz w:val="20"/>
                <w:szCs w:val="20"/>
                <w:rtl w:val="0"/>
              </w:rPr>
              <w:t xml:space="preserve">Offer must be generated dynamically, not retrieved from a static database. Show the merchant-side rule interface — even as a mockup.</w:t>
            </w:r>
            <w:r w:rsidDel="00000000" w:rsidR="00000000" w:rsidRPr="00000000">
              <w:rPr>
                <w:rtl w:val="0"/>
              </w:rPr>
            </w:r>
          </w:p>
        </w:tc>
      </w:tr>
    </w:tbl>
    <w:p w:rsidR="00000000" w:rsidDel="00000000" w:rsidP="00000000" w:rsidRDefault="00000000" w:rsidRPr="00000000" w14:paraId="0000003A">
      <w:pPr>
        <w:spacing w:after="160" w:lineRule="auto"/>
        <w:rPr/>
      </w:pPr>
      <w:r w:rsidDel="00000000" w:rsidR="00000000" w:rsidRPr="00000000">
        <w:rPr>
          <w:rtl w:val="0"/>
        </w:rPr>
      </w:r>
    </w:p>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tcBorders>
              <w:top w:color="4dbbef" w:space="0" w:sz="4" w:val="single"/>
              <w:left w:color="4dbbef" w:space="0" w:sz="16" w:val="single"/>
            </w:tcBorders>
            <w:shd w:fill="eef0ff" w:val="clear"/>
            <w:tcMar>
              <w:top w:w="200.0" w:type="dxa"/>
              <w:left w:w="280.0" w:type="dxa"/>
              <w:bottom w:w="200.0" w:type="dxa"/>
              <w:right w:w="280.0" w:type="dxa"/>
            </w:tcMar>
          </w:tcPr>
          <w:p w:rsidR="00000000" w:rsidDel="00000000" w:rsidP="00000000" w:rsidRDefault="00000000" w:rsidRPr="00000000" w14:paraId="0000003B">
            <w:pPr>
              <w:spacing w:after="60" w:lineRule="auto"/>
              <w:rPr/>
            </w:pPr>
            <w:r w:rsidDel="00000000" w:rsidR="00000000" w:rsidRPr="00000000">
              <w:rPr>
                <w:rFonts w:ascii="Arial Black" w:cs="Arial Black" w:eastAsia="Arial Black" w:hAnsi="Arial Black"/>
                <w:b w:val="1"/>
                <w:bCs w:val="1"/>
                <w:color w:val="0d1b3e"/>
                <w:rtl w:val="0"/>
              </w:rPr>
              <w:t xml:space="preserve">03  Seamless Checkout &amp; Redemption</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color w:val="444444"/>
                <w:sz w:val="20"/>
                <w:szCs w:val="20"/>
                <w:rtl w:val="0"/>
              </w:rPr>
              <w:t xml:space="preserve">When the user accepts an offer, the system generates a dynamic QR code or token that is validated via API. The redemption experience must be seamless to the point of a simulated checkout: QR scan, token, or cashback mechanic. Alternatively — and more simply — after a successful transaction the customer receives a cashback credit for the discount amount. Build both a consumer view and a merchant view: the merchant sees offer performance and accept/decline rates in aggregate.</w:t>
            </w: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color w:val="0f4761"/>
                <w:sz w:val="20"/>
                <w:szCs w:val="20"/>
                <w:rtl w:val="0"/>
              </w:rPr>
              <w:t xml:space="preserve">Required: </w:t>
            </w:r>
            <w:r w:rsidDel="00000000" w:rsidR="00000000" w:rsidRPr="00000000">
              <w:rPr>
                <w:i w:val="1"/>
                <w:iCs w:val="1"/>
                <w:color w:val="444444"/>
                <w:sz w:val="20"/>
                <w:szCs w:val="20"/>
                <w:rtl w:val="0"/>
              </w:rPr>
              <w:t xml:space="preserve">Must demonstrate end-to-end flow from offer generation to simulated redemption. Merchant dashboard or summary view required, even as static mockup.</w:t>
            </w:r>
            <w:r w:rsidDel="00000000" w:rsidR="00000000" w:rsidRPr="00000000">
              <w:rPr>
                <w:rtl w:val="0"/>
              </w:rPr>
            </w:r>
          </w:p>
        </w:tc>
      </w:tr>
    </w:tbl>
    <w:p w:rsidR="00000000" w:rsidDel="00000000" w:rsidP="00000000" w:rsidRDefault="00000000" w:rsidRPr="00000000" w14:paraId="0000003E">
      <w:pPr>
        <w:spacing w:before="200" w:lineRule="auto"/>
        <w:rPr/>
      </w:pPr>
      <w:r w:rsidDel="00000000" w:rsidR="00000000" w:rsidRPr="00000000">
        <w:rPr>
          <w:rtl w:val="0"/>
        </w:rPr>
      </w:r>
    </w:p>
    <w:p w:rsidR="00000000" w:rsidDel="00000000" w:rsidP="00000000" w:rsidRDefault="00000000" w:rsidRPr="00000000" w14:paraId="0000003F">
      <w:pPr>
        <w:pBdr>
          <w:bottom w:color="4dbbef" w:space="0" w:sz="4" w:val="single"/>
        </w:pBdr>
        <w:spacing w:after="100" w:before="260" w:lineRule="auto"/>
        <w:rPr/>
      </w:pPr>
      <w:r w:rsidDel="00000000" w:rsidR="00000000" w:rsidRPr="00000000">
        <w:rPr>
          <w:rFonts w:ascii="Arial Black" w:cs="Arial Black" w:eastAsia="Arial Black" w:hAnsi="Arial Black"/>
          <w:b w:val="1"/>
          <w:bCs w:val="1"/>
          <w:color w:val="0d1b3e"/>
          <w:sz w:val="28"/>
          <w:szCs w:val="28"/>
          <w:rtl w:val="0"/>
        </w:rPr>
        <w:t xml:space="preserve">The UX Requirement</w:t>
      </w:r>
      <w:r w:rsidDel="00000000" w:rsidR="00000000" w:rsidRPr="00000000">
        <w:rPr>
          <w:rtl w:val="0"/>
        </w:rPr>
      </w:r>
    </w:p>
    <w:p w:rsidR="00000000" w:rsidDel="00000000" w:rsidP="00000000" w:rsidRDefault="00000000" w:rsidRPr="00000000" w14:paraId="00000040">
      <w:pPr>
        <w:spacing w:after="140" w:lineRule="auto"/>
        <w:rPr/>
      </w:pPr>
      <w:r w:rsidDel="00000000" w:rsidR="00000000" w:rsidRPr="00000000">
        <w:rPr>
          <w:color w:val="0d1b3e"/>
          <w:sz w:val="20"/>
          <w:szCs w:val="20"/>
          <w:rtl w:val="0"/>
        </w:rPr>
        <w:t xml:space="preserve">Design is not decoration; it is the mechanism of acceptance or rejection. Your prototype must address the following explicitly:</w:t>
      </w:r>
      <w:r w:rsidDel="00000000" w:rsidR="00000000" w:rsidRPr="00000000">
        <w:rPr>
          <w:rtl w:val="0"/>
        </w:rPr>
      </w:r>
    </w:p>
    <w:p w:rsidR="00000000" w:rsidDel="00000000" w:rsidP="00000000" w:rsidRDefault="00000000" w:rsidRPr="00000000" w14:paraId="00000041">
      <w:pPr>
        <w:spacing w:after="80" w:lineRule="auto"/>
        <w:ind w:left="360" w:hanging="240"/>
        <w:rPr/>
      </w:pPr>
      <w:r w:rsidDel="00000000" w:rsidR="00000000" w:rsidRPr="00000000">
        <w:rPr>
          <w:b w:val="1"/>
          <w:bCs w:val="1"/>
          <w:color w:val="4dbbef"/>
          <w:sz w:val="20"/>
          <w:szCs w:val="20"/>
          <w:rtl w:val="0"/>
        </w:rPr>
        <w:t xml:space="preserve">• </w:t>
      </w:r>
      <w:r w:rsidDel="00000000" w:rsidR="00000000" w:rsidRPr="00000000">
        <w:rPr>
          <w:color w:val="0d1b3e"/>
          <w:sz w:val="20"/>
          <w:szCs w:val="20"/>
          <w:rtl w:val="0"/>
        </w:rPr>
        <w:t xml:space="preserve">Where does the interaction happen? (Push notification, in-app card, lock-screen widget, homescreen banner — each channel has different attention rules and drop-off risks.)</w:t>
      </w:r>
      <w:r w:rsidDel="00000000" w:rsidR="00000000" w:rsidRPr="00000000">
        <w:rPr>
          <w:rtl w:val="0"/>
        </w:rPr>
      </w:r>
    </w:p>
    <w:p w:rsidR="00000000" w:rsidDel="00000000" w:rsidP="00000000" w:rsidRDefault="00000000" w:rsidRPr="00000000" w14:paraId="00000042">
      <w:pPr>
        <w:spacing w:after="80" w:lineRule="auto"/>
        <w:ind w:left="360" w:hanging="240"/>
        <w:rPr/>
      </w:pPr>
      <w:r w:rsidDel="00000000" w:rsidR="00000000" w:rsidRPr="00000000">
        <w:rPr>
          <w:b w:val="1"/>
          <w:bCs w:val="1"/>
          <w:color w:val="4dbbef"/>
          <w:sz w:val="20"/>
          <w:szCs w:val="20"/>
          <w:rtl w:val="0"/>
        </w:rPr>
        <w:t xml:space="preserve">• </w:t>
      </w:r>
      <w:r w:rsidDel="00000000" w:rsidR="00000000" w:rsidRPr="00000000">
        <w:rPr>
          <w:color w:val="0d1b3e"/>
          <w:sz w:val="20"/>
          <w:szCs w:val="20"/>
          <w:rtl w:val="0"/>
        </w:rPr>
        <w:t xml:space="preserve">How does the offer address the user? Factual-informative ('15% off at Café Müller, 300m away') or emotional-situational ('Cold outside? Your cappuccino is waiting.')?</w:t>
      </w:r>
      <w:r w:rsidDel="00000000" w:rsidR="00000000" w:rsidRPr="00000000">
        <w:rPr>
          <w:rtl w:val="0"/>
        </w:rPr>
      </w:r>
    </w:p>
    <w:p w:rsidR="00000000" w:rsidDel="00000000" w:rsidP="00000000" w:rsidRDefault="00000000" w:rsidRPr="00000000" w14:paraId="00000043">
      <w:pPr>
        <w:spacing w:after="80" w:lineRule="auto"/>
        <w:ind w:left="360" w:hanging="240"/>
        <w:rPr/>
      </w:pPr>
      <w:r w:rsidDel="00000000" w:rsidR="00000000" w:rsidRPr="00000000">
        <w:rPr>
          <w:b w:val="1"/>
          <w:bCs w:val="1"/>
          <w:color w:val="4dbbef"/>
          <w:sz w:val="20"/>
          <w:szCs w:val="20"/>
          <w:rtl w:val="0"/>
        </w:rPr>
        <w:t xml:space="preserve">• </w:t>
      </w:r>
      <w:r w:rsidDel="00000000" w:rsidR="00000000" w:rsidRPr="00000000">
        <w:rPr>
          <w:color w:val="0d1b3e"/>
          <w:sz w:val="20"/>
          <w:szCs w:val="20"/>
          <w:rtl w:val="0"/>
        </w:rPr>
        <w:t xml:space="preserve">What happens in the first 3 seconds? The offer must be understood without scrolling or deliberation. How does your UI achieve this?</w:t>
      </w:r>
      <w:r w:rsidDel="00000000" w:rsidR="00000000" w:rsidRPr="00000000">
        <w:rPr>
          <w:rtl w:val="0"/>
        </w:rPr>
      </w:r>
    </w:p>
    <w:p w:rsidR="00000000" w:rsidDel="00000000" w:rsidP="00000000" w:rsidRDefault="00000000" w:rsidRPr="00000000" w14:paraId="00000044">
      <w:pPr>
        <w:spacing w:after="80" w:lineRule="auto"/>
        <w:ind w:left="360" w:hanging="240"/>
        <w:rPr>
          <w:color w:val="0d1b3e"/>
          <w:sz w:val="20"/>
          <w:szCs w:val="20"/>
        </w:rPr>
      </w:pPr>
      <w:r w:rsidDel="00000000" w:rsidR="00000000" w:rsidRPr="00000000">
        <w:rPr>
          <w:b w:val="1"/>
          <w:bCs w:val="1"/>
          <w:color w:val="4dbbef"/>
          <w:sz w:val="20"/>
          <w:szCs w:val="20"/>
          <w:rtl w:val="0"/>
        </w:rPr>
        <w:t xml:space="preserve">• </w:t>
      </w:r>
      <w:r w:rsidDel="00000000" w:rsidR="00000000" w:rsidRPr="00000000">
        <w:rPr>
          <w:color w:val="0d1b3e"/>
          <w:sz w:val="20"/>
          <w:szCs w:val="20"/>
          <w:rtl w:val="0"/>
        </w:rPr>
        <w:t xml:space="preserve">How does the offer end? Expiry, acceptance, or dismissal — each should feel intentional and leave the user experience intact.</w:t>
      </w:r>
    </w:p>
    <w:p w:rsidR="00000000" w:rsidDel="00000000" w:rsidP="00000000" w:rsidRDefault="00000000" w:rsidRPr="00000000" w14:paraId="00000045">
      <w:pPr>
        <w:spacing w:after="80" w:lineRule="auto"/>
        <w:ind w:left="360" w:hanging="240"/>
        <w:rPr>
          <w:color w:val="0f4761"/>
        </w:rPr>
      </w:pPr>
      <w:r w:rsidDel="00000000" w:rsidR="00000000" w:rsidRPr="00000000">
        <w:rPr>
          <w:b w:val="1"/>
          <w:bCs w:val="1"/>
          <w:color w:val="0f4761"/>
          <w:sz w:val="20"/>
          <w:szCs w:val="20"/>
          <w:rtl w:val="0"/>
        </w:rPr>
        <w:t xml:space="preserve">Show the UX clearly in your demo and highlight how it addressed these four points</w:t>
      </w:r>
      <w:r w:rsidDel="00000000" w:rsidR="00000000" w:rsidRPr="00000000">
        <w:rPr>
          <w:rtl w:val="0"/>
        </w:rPr>
      </w:r>
    </w:p>
    <w:p w:rsidR="00000000" w:rsidDel="00000000" w:rsidP="00000000" w:rsidRDefault="00000000" w:rsidRPr="00000000" w14:paraId="00000046">
      <w:pPr>
        <w:pBdr>
          <w:bottom w:color="1900f7" w:space="6" w:sz="8" w:val="single"/>
        </w:pBdr>
        <w:spacing w:after="200" w:before="520" w:lineRule="auto"/>
        <w:rPr/>
      </w:pPr>
      <w:r w:rsidDel="00000000" w:rsidR="00000000" w:rsidRPr="00000000">
        <w:rPr>
          <w:b w:val="1"/>
          <w:bCs w:val="1"/>
          <w:color w:val="0d1b3e"/>
          <w:sz w:val="30"/>
          <w:szCs w:val="30"/>
          <w:rtl w:val="0"/>
        </w:rPr>
        <w:t xml:space="preserve">Data Sources and Hints</w:t>
      </w:r>
      <w:r w:rsidDel="00000000" w:rsidR="00000000" w:rsidRPr="00000000">
        <w:rPr>
          <w:rtl w:val="0"/>
        </w:rPr>
      </w:r>
    </w:p>
    <w:p w:rsidR="00000000" w:rsidDel="00000000" w:rsidP="00000000" w:rsidRDefault="00000000" w:rsidRPr="00000000" w14:paraId="00000047">
      <w:pPr>
        <w:spacing w:after="140" w:lineRule="auto"/>
        <w:rPr/>
      </w:pPr>
      <w:r w:rsidDel="00000000" w:rsidR="00000000" w:rsidRPr="00000000">
        <w:rPr>
          <w:color w:val="0d1b3e"/>
          <w:sz w:val="20"/>
          <w:szCs w:val="20"/>
          <w:rtl w:val="0"/>
        </w:rPr>
        <w:t xml:space="preserve">Your tool should be grounded in real or realistic data — not only synthetic proxies. You are encouraged to incorporate signal categories from the sources below.</w:t>
      </w:r>
      <w:r w:rsidDel="00000000" w:rsidR="00000000" w:rsidRPr="00000000">
        <w:rPr>
          <w:rtl w:val="0"/>
        </w:rPr>
      </w:r>
    </w:p>
    <w:tbl>
      <w:tblPr>
        <w:tblStyle w:val="Table6"/>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1"/>
        <w:gridCol w:w="6747"/>
        <w:tblGridChange w:id="0">
          <w:tblGrid>
            <w:gridCol w:w="2891"/>
            <w:gridCol w:w="6747"/>
          </w:tblGrid>
        </w:tblGridChange>
      </w:tblGrid>
      <w:tr>
        <w:trPr>
          <w:cantSplit w:val="0"/>
          <w:tblHeader w:val="0"/>
        </w:trPr>
        <w:tc>
          <w:tcPr>
            <w:shd w:fill="0d1b3e" w:val="clear"/>
            <w:tcMar>
              <w:top w:w="160.0" w:type="dxa"/>
              <w:left w:w="200.0" w:type="dxa"/>
              <w:bottom w:w="160.0" w:type="dxa"/>
              <w:right w:w="200.0" w:type="dxa"/>
            </w:tcMar>
          </w:tcPr>
          <w:p w:rsidR="00000000" w:rsidDel="00000000" w:rsidP="00000000" w:rsidRDefault="00000000" w:rsidRPr="00000000" w14:paraId="00000048">
            <w:pPr>
              <w:rPr/>
            </w:pPr>
            <w:r w:rsidDel="00000000" w:rsidR="00000000" w:rsidRPr="00000000">
              <w:rPr>
                <w:rFonts w:ascii="Arial Black" w:cs="Arial Black" w:eastAsia="Arial Black" w:hAnsi="Arial Black"/>
                <w:b w:val="1"/>
                <w:bCs w:val="1"/>
                <w:color w:val="ffffff"/>
                <w:sz w:val="18"/>
                <w:szCs w:val="18"/>
                <w:rtl w:val="0"/>
              </w:rPr>
              <w:t xml:space="preserve">CONTEXT &amp; LOCATION</w:t>
            </w:r>
            <w:r w:rsidDel="00000000" w:rsidR="00000000" w:rsidRPr="00000000">
              <w:rPr>
                <w:rtl w:val="0"/>
              </w:rPr>
            </w:r>
          </w:p>
        </w:tc>
        <w:tc>
          <w:tcPr>
            <w:shd w:fill="0d1b3e" w:val="clear"/>
            <w:tcMar>
              <w:top w:w="160.0" w:type="dxa"/>
              <w:left w:w="200.0" w:type="dxa"/>
              <w:bottom w:w="160.0" w:type="dxa"/>
              <w:right w:w="200.0" w:type="dxa"/>
            </w:tcMar>
          </w:tcPr>
          <w:p w:rsidR="00000000" w:rsidDel="00000000" w:rsidP="00000000" w:rsidRDefault="00000000" w:rsidRPr="00000000" w14:paraId="00000049">
            <w:pPr>
              <w:rPr/>
            </w:pPr>
            <w:r w:rsidDel="00000000" w:rsidR="00000000" w:rsidRPr="00000000">
              <w:rPr>
                <w:rtl w:val="0"/>
              </w:rPr>
            </w:r>
          </w:p>
        </w:tc>
      </w:tr>
      <w:tr>
        <w:trPr>
          <w:cantSplit w:val="0"/>
          <w:tblHeader w:val="0"/>
        </w:trPr>
        <w:tc>
          <w:tcPr>
            <w:shd w:fill="f5f7ff" w:val="clear"/>
            <w:tcMar>
              <w:top w:w="160.0" w:type="dxa"/>
              <w:left w:w="200.0" w:type="dxa"/>
              <w:bottom w:w="160.0" w:type="dxa"/>
              <w:right w:w="200.0" w:type="dxa"/>
            </w:tcMar>
          </w:tcPr>
          <w:p w:rsidR="00000000" w:rsidDel="00000000" w:rsidP="00000000" w:rsidRDefault="00000000" w:rsidRPr="00000000" w14:paraId="0000004A">
            <w:pPr>
              <w:rPr/>
            </w:pPr>
            <w:r w:rsidDel="00000000" w:rsidR="00000000" w:rsidRPr="00000000">
              <w:rPr>
                <w:b w:val="1"/>
                <w:bCs w:val="1"/>
                <w:color w:val="0d1b3e"/>
                <w:sz w:val="18"/>
                <w:szCs w:val="18"/>
                <w:rtl w:val="0"/>
              </w:rPr>
              <w:t xml:space="preserve">OpenWeatherMap / DWD</w:t>
            </w:r>
            <w:r w:rsidDel="00000000" w:rsidR="00000000" w:rsidRPr="00000000">
              <w:rPr>
                <w:rtl w:val="0"/>
              </w:rPr>
            </w:r>
          </w:p>
        </w:tc>
        <w:tc>
          <w:tcPr>
            <w:shd w:fill="f5f7ff" w:val="clear"/>
            <w:tcMar>
              <w:top w:w="160.0" w:type="dxa"/>
              <w:left w:w="200.0" w:type="dxa"/>
              <w:bottom w:w="160.0" w:type="dxa"/>
              <w:right w:w="200.0" w:type="dxa"/>
            </w:tcMar>
          </w:tcPr>
          <w:p w:rsidR="00000000" w:rsidDel="00000000" w:rsidP="00000000" w:rsidRDefault="00000000" w:rsidRPr="00000000" w14:paraId="0000004B">
            <w:pPr>
              <w:rPr/>
            </w:pPr>
            <w:r w:rsidDel="00000000" w:rsidR="00000000" w:rsidRPr="00000000">
              <w:rPr>
                <w:color w:val="0d1b3e"/>
                <w:sz w:val="18"/>
                <w:szCs w:val="18"/>
                <w:rtl w:val="0"/>
              </w:rPr>
              <w:t xml:space="preserve">Real-time and forecast weather data by city/location — core context trigger signal.</w:t>
            </w:r>
            <w:r w:rsidDel="00000000" w:rsidR="00000000" w:rsidRPr="00000000">
              <w:rPr>
                <w:rtl w:val="0"/>
              </w:rPr>
            </w:r>
          </w:p>
        </w:tc>
      </w:tr>
      <w:tr>
        <w:trPr>
          <w:cantSplit w:val="0"/>
          <w:tblHeader w:val="0"/>
        </w:trPr>
        <w:tc>
          <w:tcPr>
            <w:shd w:fill="eef0ff" w:val="clear"/>
            <w:tcMar>
              <w:top w:w="160.0" w:type="dxa"/>
              <w:left w:w="200.0" w:type="dxa"/>
              <w:bottom w:w="160.0" w:type="dxa"/>
              <w:right w:w="200.0" w:type="dxa"/>
            </w:tcMar>
          </w:tcPr>
          <w:p w:rsidR="00000000" w:rsidDel="00000000" w:rsidP="00000000" w:rsidRDefault="00000000" w:rsidRPr="00000000" w14:paraId="0000004C">
            <w:pPr>
              <w:rPr/>
            </w:pPr>
            <w:r w:rsidDel="00000000" w:rsidR="00000000" w:rsidRPr="00000000">
              <w:rPr>
                <w:b w:val="1"/>
                <w:bCs w:val="1"/>
                <w:color w:val="0d1b3e"/>
                <w:sz w:val="18"/>
                <w:szCs w:val="18"/>
                <w:rtl w:val="0"/>
              </w:rPr>
              <w:t xml:space="preserve">Eventbrite / Local event APIs</w:t>
            </w:r>
            <w:r w:rsidDel="00000000" w:rsidR="00000000" w:rsidRPr="00000000">
              <w:rPr>
                <w:rtl w:val="0"/>
              </w:rPr>
            </w:r>
          </w:p>
        </w:tc>
        <w:tc>
          <w:tcPr>
            <w:shd w:fill="eef0ff" w:val="clear"/>
            <w:tcMar>
              <w:top w:w="160.0" w:type="dxa"/>
              <w:left w:w="200.0" w:type="dxa"/>
              <w:bottom w:w="160.0" w:type="dxa"/>
              <w:right w:w="200.0" w:type="dxa"/>
            </w:tcMar>
          </w:tcPr>
          <w:p w:rsidR="00000000" w:rsidDel="00000000" w:rsidP="00000000" w:rsidRDefault="00000000" w:rsidRPr="00000000" w14:paraId="0000004D">
            <w:pPr>
              <w:rPr/>
            </w:pPr>
            <w:r w:rsidDel="00000000" w:rsidR="00000000" w:rsidRPr="00000000">
              <w:rPr>
                <w:color w:val="0d1b3e"/>
                <w:sz w:val="18"/>
                <w:szCs w:val="18"/>
                <w:rtl w:val="0"/>
              </w:rPr>
              <w:t xml:space="preserve">Local event calendars — city festivals, sports events, concerts — for demand spike detection.</w:t>
            </w:r>
            <w:r w:rsidDel="00000000" w:rsidR="00000000" w:rsidRPr="00000000">
              <w:rPr>
                <w:rtl w:val="0"/>
              </w:rPr>
            </w:r>
          </w:p>
        </w:tc>
      </w:tr>
      <w:tr>
        <w:trPr>
          <w:cantSplit w:val="0"/>
          <w:tblHeader w:val="0"/>
        </w:trPr>
        <w:tc>
          <w:tcPr>
            <w:shd w:fill="f5f7ff" w:val="clear"/>
            <w:tcMar>
              <w:top w:w="160.0" w:type="dxa"/>
              <w:left w:w="200.0" w:type="dxa"/>
              <w:bottom w:w="160.0" w:type="dxa"/>
              <w:right w:w="200.0" w:type="dxa"/>
            </w:tcMar>
          </w:tcPr>
          <w:p w:rsidR="00000000" w:rsidDel="00000000" w:rsidP="00000000" w:rsidRDefault="00000000" w:rsidRPr="00000000" w14:paraId="0000004E">
            <w:pPr>
              <w:rPr/>
            </w:pPr>
            <w:r w:rsidDel="00000000" w:rsidR="00000000" w:rsidRPr="00000000">
              <w:rPr>
                <w:b w:val="1"/>
                <w:bCs w:val="1"/>
                <w:color w:val="0d1b3e"/>
                <w:sz w:val="18"/>
                <w:szCs w:val="18"/>
                <w:rtl w:val="0"/>
              </w:rPr>
              <w:t xml:space="preserve">Google Maps Platform / OSM</w:t>
            </w:r>
            <w:r w:rsidDel="00000000" w:rsidR="00000000" w:rsidRPr="00000000">
              <w:rPr>
                <w:rtl w:val="0"/>
              </w:rPr>
            </w:r>
          </w:p>
        </w:tc>
        <w:tc>
          <w:tcPr>
            <w:shd w:fill="f5f7ff" w:val="clear"/>
            <w:tcMar>
              <w:top w:w="160.0" w:type="dxa"/>
              <w:left w:w="200.0" w:type="dxa"/>
              <w:bottom w:w="160.0" w:type="dxa"/>
              <w:right w:w="200.0" w:type="dxa"/>
            </w:tcMar>
          </w:tcPr>
          <w:p w:rsidR="00000000" w:rsidDel="00000000" w:rsidP="00000000" w:rsidRDefault="00000000" w:rsidRPr="00000000" w14:paraId="0000004F">
            <w:pPr>
              <w:rPr/>
            </w:pPr>
            <w:r w:rsidDel="00000000" w:rsidR="00000000" w:rsidRPr="00000000">
              <w:rPr>
                <w:color w:val="0d1b3e"/>
                <w:sz w:val="18"/>
                <w:szCs w:val="18"/>
                <w:rtl w:val="0"/>
              </w:rPr>
              <w:t xml:space="preserve">POI data, footfall signals, route density — for proximity and relevance scoring.</w:t>
            </w:r>
            <w:r w:rsidDel="00000000" w:rsidR="00000000" w:rsidRPr="00000000">
              <w:rPr>
                <w:rtl w:val="0"/>
              </w:rPr>
            </w:r>
          </w:p>
        </w:tc>
      </w:tr>
      <w:tr>
        <w:trPr>
          <w:cantSplit w:val="0"/>
          <w:tblHeader w:val="0"/>
        </w:trPr>
        <w:tc>
          <w:tcPr>
            <w:shd w:fill="0d1b3e" w:val="clear"/>
            <w:tcMar>
              <w:top w:w="160.0" w:type="dxa"/>
              <w:left w:w="200.0" w:type="dxa"/>
              <w:bottom w:w="160.0" w:type="dxa"/>
              <w:right w:w="200.0" w:type="dxa"/>
            </w:tcMar>
          </w:tcPr>
          <w:p w:rsidR="00000000" w:rsidDel="00000000" w:rsidP="00000000" w:rsidRDefault="00000000" w:rsidRPr="00000000" w14:paraId="00000050">
            <w:pPr>
              <w:rPr/>
            </w:pPr>
            <w:r w:rsidDel="00000000" w:rsidR="00000000" w:rsidRPr="00000000">
              <w:rPr>
                <w:rFonts w:ascii="Arial Black" w:cs="Arial Black" w:eastAsia="Arial Black" w:hAnsi="Arial Black"/>
                <w:b w:val="1"/>
                <w:bCs w:val="1"/>
                <w:color w:val="ffffff"/>
                <w:sz w:val="18"/>
                <w:szCs w:val="18"/>
                <w:rtl w:val="0"/>
              </w:rPr>
              <w:t xml:space="preserve">MERCHANT &amp; TRANSACTION DATA</w:t>
            </w:r>
            <w:r w:rsidDel="00000000" w:rsidR="00000000" w:rsidRPr="00000000">
              <w:rPr>
                <w:rtl w:val="0"/>
              </w:rPr>
            </w:r>
          </w:p>
        </w:tc>
        <w:tc>
          <w:tcPr>
            <w:shd w:fill="0d1b3e" w:val="clear"/>
            <w:tcMar>
              <w:top w:w="160.0" w:type="dxa"/>
              <w:left w:w="200.0" w:type="dxa"/>
              <w:bottom w:w="160.0" w:type="dxa"/>
              <w:right w:w="200.0" w:type="dxa"/>
            </w:tcMar>
          </w:tcPr>
          <w:p w:rsidR="00000000" w:rsidDel="00000000" w:rsidP="00000000" w:rsidRDefault="00000000" w:rsidRPr="00000000" w14:paraId="00000051">
            <w:pPr>
              <w:rPr/>
            </w:pPr>
            <w:r w:rsidDel="00000000" w:rsidR="00000000" w:rsidRPr="00000000">
              <w:rPr>
                <w:rtl w:val="0"/>
              </w:rPr>
            </w:r>
          </w:p>
        </w:tc>
      </w:tr>
      <w:tr>
        <w:trPr>
          <w:cantSplit w:val="0"/>
          <w:tblHeader w:val="0"/>
        </w:trPr>
        <w:tc>
          <w:tcPr>
            <w:shd w:fill="eef0ff" w:val="clear"/>
            <w:tcMar>
              <w:top w:w="160.0" w:type="dxa"/>
              <w:left w:w="200.0" w:type="dxa"/>
              <w:bottom w:w="160.0" w:type="dxa"/>
              <w:right w:w="200.0" w:type="dxa"/>
            </w:tcMar>
          </w:tcPr>
          <w:p w:rsidR="00000000" w:rsidDel="00000000" w:rsidP="00000000" w:rsidRDefault="00000000" w:rsidRPr="00000000" w14:paraId="00000052">
            <w:pPr>
              <w:rPr/>
            </w:pPr>
            <w:r w:rsidDel="00000000" w:rsidR="00000000" w:rsidRPr="00000000">
              <w:rPr>
                <w:b w:val="1"/>
                <w:bCs w:val="1"/>
                <w:color w:val="0d1b3e"/>
                <w:sz w:val="18"/>
                <w:szCs w:val="18"/>
                <w:rtl w:val="0"/>
              </w:rPr>
              <w:t xml:space="preserve">Simulated Payone transaction feed</w:t>
            </w:r>
            <w:r w:rsidDel="00000000" w:rsidR="00000000" w:rsidRPr="00000000">
              <w:rPr>
                <w:rtl w:val="0"/>
              </w:rPr>
            </w:r>
          </w:p>
        </w:tc>
        <w:tc>
          <w:tcPr>
            <w:shd w:fill="eef0ff" w:val="clear"/>
            <w:tcMar>
              <w:top w:w="160.0" w:type="dxa"/>
              <w:left w:w="200.0" w:type="dxa"/>
              <w:bottom w:w="160.0" w:type="dxa"/>
              <w:right w:w="200.0" w:type="dxa"/>
            </w:tcMar>
          </w:tcPr>
          <w:p w:rsidR="00000000" w:rsidDel="00000000" w:rsidP="00000000" w:rsidRDefault="00000000" w:rsidRPr="00000000" w14:paraId="00000053">
            <w:pPr>
              <w:rPr/>
            </w:pPr>
            <w:r w:rsidDel="00000000" w:rsidR="00000000" w:rsidRPr="00000000">
              <w:rPr>
                <w:color w:val="0d1b3e"/>
                <w:sz w:val="18"/>
                <w:szCs w:val="18"/>
                <w:rtl w:val="0"/>
              </w:rPr>
              <w:t xml:space="preserve">Simulate or stub Payone transaction density data per merchant — a core DSV asset for identifying quiet periods and triggering dynamic offers.</w:t>
            </w:r>
            <w:r w:rsidDel="00000000" w:rsidR="00000000" w:rsidRPr="00000000">
              <w:rPr>
                <w:rtl w:val="0"/>
              </w:rPr>
            </w:r>
          </w:p>
        </w:tc>
      </w:tr>
      <w:tr>
        <w:trPr>
          <w:cantSplit w:val="0"/>
          <w:tblHeader w:val="0"/>
        </w:trPr>
        <w:tc>
          <w:tcPr>
            <w:shd w:fill="0d1b3e" w:val="clear"/>
            <w:tcMar>
              <w:top w:w="160.0" w:type="dxa"/>
              <w:left w:w="200.0" w:type="dxa"/>
              <w:bottom w:w="160.0" w:type="dxa"/>
              <w:right w:w="200.0" w:type="dxa"/>
            </w:tcMar>
          </w:tcPr>
          <w:p w:rsidR="00000000" w:rsidDel="00000000" w:rsidP="00000000" w:rsidRDefault="00000000" w:rsidRPr="00000000" w14:paraId="00000054">
            <w:pPr>
              <w:rPr/>
            </w:pPr>
            <w:r w:rsidDel="00000000" w:rsidR="00000000" w:rsidRPr="00000000">
              <w:rPr>
                <w:rFonts w:ascii="Arial Black" w:cs="Arial Black" w:eastAsia="Arial Black" w:hAnsi="Arial Black"/>
                <w:b w:val="1"/>
                <w:bCs w:val="1"/>
                <w:color w:val="ffffff"/>
                <w:sz w:val="18"/>
                <w:szCs w:val="18"/>
                <w:rtl w:val="0"/>
              </w:rPr>
              <w:t xml:space="preserve">AI &amp; GENERATIVE UI</w:t>
            </w:r>
            <w:r w:rsidDel="00000000" w:rsidR="00000000" w:rsidRPr="00000000">
              <w:rPr>
                <w:rtl w:val="0"/>
              </w:rPr>
            </w:r>
          </w:p>
        </w:tc>
        <w:tc>
          <w:tcPr>
            <w:shd w:fill="0d1b3e" w:val="clear"/>
            <w:tcMar>
              <w:top w:w="160.0" w:type="dxa"/>
              <w:left w:w="200.0" w:type="dxa"/>
              <w:bottom w:w="160.0" w:type="dxa"/>
              <w:right w:w="200.0" w:type="dxa"/>
            </w:tcMar>
          </w:tcPr>
          <w:p w:rsidR="00000000" w:rsidDel="00000000" w:rsidP="00000000" w:rsidRDefault="00000000" w:rsidRPr="00000000" w14:paraId="00000055">
            <w:pPr>
              <w:rPr/>
            </w:pPr>
            <w:r w:rsidDel="00000000" w:rsidR="00000000" w:rsidRPr="00000000">
              <w:rPr>
                <w:rtl w:val="0"/>
              </w:rPr>
            </w:r>
          </w:p>
        </w:tc>
      </w:tr>
      <w:tr>
        <w:trPr>
          <w:cantSplit w:val="0"/>
          <w:tblHeader w:val="0"/>
        </w:trPr>
        <w:tc>
          <w:tcPr>
            <w:shd w:fill="eef0ff" w:val="clear"/>
            <w:tcMar>
              <w:top w:w="160.0" w:type="dxa"/>
              <w:left w:w="200.0" w:type="dxa"/>
              <w:bottom w:w="160.0" w:type="dxa"/>
              <w:right w:w="200.0" w:type="dxa"/>
            </w:tcMar>
          </w:tcPr>
          <w:p w:rsidR="00000000" w:rsidDel="00000000" w:rsidP="00000000" w:rsidRDefault="00000000" w:rsidRPr="00000000" w14:paraId="00000056">
            <w:pPr>
              <w:rPr/>
            </w:pPr>
            <w:r w:rsidDel="00000000" w:rsidR="00000000" w:rsidRPr="00000000">
              <w:rPr>
                <w:b w:val="1"/>
                <w:bCs w:val="1"/>
                <w:color w:val="0d1b3e"/>
                <w:sz w:val="18"/>
                <w:szCs w:val="18"/>
                <w:rtl w:val="0"/>
              </w:rPr>
              <w:t xml:space="preserve">On-device SLMs (Phi-3, Gemma, etc.)</w:t>
            </w:r>
            <w:r w:rsidDel="00000000" w:rsidR="00000000" w:rsidRPr="00000000">
              <w:rPr>
                <w:rtl w:val="0"/>
              </w:rPr>
            </w:r>
          </w:p>
        </w:tc>
        <w:tc>
          <w:tcPr>
            <w:shd w:fill="eef0ff" w:val="clear"/>
            <w:tcMar>
              <w:top w:w="160.0" w:type="dxa"/>
              <w:left w:w="200.0" w:type="dxa"/>
              <w:bottom w:w="160.0" w:type="dxa"/>
              <w:right w:w="200.0" w:type="dxa"/>
            </w:tcMar>
          </w:tcPr>
          <w:p w:rsidR="00000000" w:rsidDel="00000000" w:rsidP="00000000" w:rsidRDefault="00000000" w:rsidRPr="00000000" w14:paraId="00000057">
            <w:pPr>
              <w:rPr/>
            </w:pPr>
            <w:r w:rsidDel="00000000" w:rsidR="00000000" w:rsidRPr="00000000">
              <w:rPr>
                <w:color w:val="0d1b3e"/>
                <w:sz w:val="18"/>
                <w:szCs w:val="18"/>
                <w:rtl w:val="0"/>
              </w:rPr>
              <w:t xml:space="preserve">Small language models running on-device for GDPR-compliant local personalisation — only an abstract 'intent' signal reaches the server.</w:t>
            </w:r>
            <w:r w:rsidDel="00000000" w:rsidR="00000000" w:rsidRPr="00000000">
              <w:rPr>
                <w:rtl w:val="0"/>
              </w:rPr>
            </w:r>
          </w:p>
        </w:tc>
      </w:tr>
      <w:tr>
        <w:trPr>
          <w:cantSplit w:val="0"/>
          <w:tblHeader w:val="0"/>
        </w:trPr>
        <w:tc>
          <w:tcPr>
            <w:shd w:fill="f5f7ff" w:val="clear"/>
            <w:tcMar>
              <w:top w:w="160.0" w:type="dxa"/>
              <w:left w:w="200.0" w:type="dxa"/>
              <w:bottom w:w="160.0" w:type="dxa"/>
              <w:right w:w="200.0" w:type="dxa"/>
            </w:tcMar>
          </w:tcPr>
          <w:p w:rsidR="00000000" w:rsidDel="00000000" w:rsidP="00000000" w:rsidRDefault="00000000" w:rsidRPr="00000000" w14:paraId="00000058">
            <w:pPr>
              <w:rPr/>
            </w:pPr>
            <w:r w:rsidDel="00000000" w:rsidR="00000000" w:rsidRPr="00000000">
              <w:rPr>
                <w:b w:val="1"/>
                <w:bCs w:val="1"/>
                <w:color w:val="0d1b3e"/>
                <w:sz w:val="18"/>
                <w:szCs w:val="18"/>
                <w:rtl w:val="0"/>
              </w:rPr>
              <w:t xml:space="preserve">React Native / Flutter GenUI</w:t>
            </w:r>
            <w:r w:rsidDel="00000000" w:rsidR="00000000" w:rsidRPr="00000000">
              <w:rPr>
                <w:rtl w:val="0"/>
              </w:rPr>
            </w:r>
          </w:p>
        </w:tc>
        <w:tc>
          <w:tcPr>
            <w:shd w:fill="f5f7ff" w:val="clear"/>
            <w:tcMar>
              <w:top w:w="160.0" w:type="dxa"/>
              <w:left w:w="200.0" w:type="dxa"/>
              <w:bottom w:w="160.0" w:type="dxa"/>
              <w:right w:w="200.0" w:type="dxa"/>
            </w:tcMar>
          </w:tcPr>
          <w:p w:rsidR="00000000" w:rsidDel="00000000" w:rsidP="00000000" w:rsidRDefault="00000000" w:rsidRPr="00000000" w14:paraId="00000059">
            <w:pPr>
              <w:rPr/>
            </w:pPr>
            <w:r w:rsidDel="00000000" w:rsidR="00000000" w:rsidRPr="00000000">
              <w:rPr>
                <w:color w:val="0d1b3e"/>
                <w:sz w:val="18"/>
                <w:szCs w:val="18"/>
                <w:rtl w:val="0"/>
              </w:rPr>
              <w:t xml:space="preserve">Generative UI frameworks for streaming dynamically generated interface components — the offer widget is built at runtime, not retrieved from a template library.</w:t>
            </w:r>
            <w:r w:rsidDel="00000000" w:rsidR="00000000" w:rsidRPr="00000000">
              <w:rPr>
                <w:rtl w:val="0"/>
              </w:rPr>
            </w:r>
          </w:p>
        </w:tc>
      </w:tr>
    </w:tbl>
    <w:p w:rsidR="00000000" w:rsidDel="00000000" w:rsidP="00000000" w:rsidRDefault="00000000" w:rsidRPr="00000000" w14:paraId="0000005A">
      <w:pPr>
        <w:pBdr>
          <w:bottom w:color="4dbbef" w:space="0" w:sz="4" w:val="single"/>
        </w:pBdr>
        <w:spacing w:after="100" w:before="260" w:lineRule="auto"/>
        <w:rPr>
          <w:rFonts w:ascii="Arial Black" w:cs="Arial Black" w:eastAsia="Arial Black" w:hAnsi="Arial Black"/>
          <w:b w:val="1"/>
          <w:bCs w:val="1"/>
          <w:color w:val="0d1b3e"/>
          <w:sz w:val="28"/>
          <w:szCs w:val="28"/>
        </w:rPr>
      </w:pPr>
      <w:r w:rsidDel="00000000" w:rsidR="00000000" w:rsidRPr="00000000">
        <w:rPr>
          <w:rtl w:val="0"/>
        </w:rPr>
      </w:r>
    </w:p>
    <w:p w:rsidR="00000000" w:rsidDel="00000000" w:rsidP="00000000" w:rsidRDefault="00000000" w:rsidRPr="00000000" w14:paraId="0000005B">
      <w:pPr>
        <w:pBdr>
          <w:bottom w:color="4dbbef" w:space="0" w:sz="4" w:val="single"/>
        </w:pBdr>
        <w:spacing w:after="100" w:before="260" w:lineRule="auto"/>
        <w:rPr/>
      </w:pPr>
      <w:r w:rsidDel="00000000" w:rsidR="00000000" w:rsidRPr="00000000">
        <w:rPr>
          <w:rFonts w:ascii="Arial Black" w:cs="Arial Black" w:eastAsia="Arial Black" w:hAnsi="Arial Black"/>
          <w:b w:val="1"/>
          <w:bCs w:val="1"/>
          <w:color w:val="0d1b3e"/>
          <w:sz w:val="28"/>
          <w:szCs w:val="28"/>
          <w:rtl w:val="0"/>
        </w:rPr>
        <w:t xml:space="preserve">What Makes a Strong Submission</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0"/>
        </w:trPr>
        <w:tc>
          <w:tcPr>
            <w:shd w:fill="0d1b3e" w:val="clear"/>
            <w:tcMar>
              <w:top w:w="160.0" w:type="dxa"/>
              <w:left w:w="200.0" w:type="dxa"/>
              <w:bottom w:w="160.0" w:type="dxa"/>
              <w:right w:w="200.0" w:type="dxa"/>
            </w:tcMar>
          </w:tcPr>
          <w:p w:rsidR="00000000" w:rsidDel="00000000" w:rsidP="00000000" w:rsidRDefault="00000000" w:rsidRPr="00000000" w14:paraId="0000005D">
            <w:pPr>
              <w:rPr/>
            </w:pPr>
            <w:r w:rsidDel="00000000" w:rsidR="00000000" w:rsidRPr="00000000">
              <w:rPr>
                <w:rFonts w:ascii="Arial Black" w:cs="Arial Black" w:eastAsia="Arial Black" w:hAnsi="Arial Black"/>
                <w:b w:val="1"/>
                <w:bCs w:val="1"/>
                <w:color w:val="ffffff"/>
                <w:sz w:val="20"/>
                <w:szCs w:val="20"/>
                <w:rtl w:val="0"/>
              </w:rPr>
              <w:t xml:space="preserve">Strong Submissions...</w:t>
            </w:r>
            <w:r w:rsidDel="00000000" w:rsidR="00000000" w:rsidRPr="00000000">
              <w:rPr>
                <w:rtl w:val="0"/>
              </w:rPr>
            </w:r>
          </w:p>
        </w:tc>
        <w:tc>
          <w:tcPr>
            <w:shd w:fill="0d1b3e" w:val="clear"/>
            <w:tcMar>
              <w:top w:w="160.0" w:type="dxa"/>
              <w:left w:w="200.0" w:type="dxa"/>
              <w:bottom w:w="160.0" w:type="dxa"/>
              <w:right w:w="200.0" w:type="dxa"/>
            </w:tcMar>
          </w:tcPr>
          <w:p w:rsidR="00000000" w:rsidDel="00000000" w:rsidP="00000000" w:rsidRDefault="00000000" w:rsidRPr="00000000" w14:paraId="0000005E">
            <w:pPr>
              <w:rPr/>
            </w:pPr>
            <w:r w:rsidDel="00000000" w:rsidR="00000000" w:rsidRPr="00000000">
              <w:rPr>
                <w:rFonts w:ascii="Arial Black" w:cs="Arial Black" w:eastAsia="Arial Black" w:hAnsi="Arial Black"/>
                <w:b w:val="1"/>
                <w:bCs w:val="1"/>
                <w:color w:val="ffffff"/>
                <w:sz w:val="20"/>
                <w:szCs w:val="20"/>
                <w:rtl w:val="0"/>
              </w:rPr>
              <w:t xml:space="preserve">Weak Submissions...</w:t>
            </w:r>
            <w:r w:rsidDel="00000000" w:rsidR="00000000" w:rsidRPr="00000000">
              <w:rPr>
                <w:rtl w:val="0"/>
              </w:rPr>
            </w:r>
          </w:p>
        </w:tc>
      </w:tr>
      <w:tr>
        <w:trPr>
          <w:cantSplit w:val="0"/>
          <w:tblHeader w:val="0"/>
        </w:trPr>
        <w:tc>
          <w:tcPr>
            <w:shd w:fill="f0fff4" w:val="clear"/>
            <w:tcMar>
              <w:top w:w="160.0" w:type="dxa"/>
              <w:left w:w="200.0" w:type="dxa"/>
              <w:bottom w:w="160.0" w:type="dxa"/>
              <w:right w:w="200.0" w:type="dxa"/>
            </w:tcMar>
          </w:tcPr>
          <w:p w:rsidR="00000000" w:rsidDel="00000000" w:rsidP="00000000" w:rsidRDefault="00000000" w:rsidRPr="00000000" w14:paraId="0000005F">
            <w:pPr>
              <w:rPr/>
            </w:pPr>
            <w:r w:rsidDel="00000000" w:rsidR="00000000" w:rsidRPr="00000000">
              <w:rPr>
                <w:b w:val="1"/>
                <w:bCs w:val="1"/>
                <w:color w:val="0d1b3e"/>
                <w:sz w:val="18"/>
                <w:szCs w:val="18"/>
                <w:rtl w:val="0"/>
              </w:rPr>
              <w:t xml:space="preserve">— </w:t>
            </w:r>
            <w:r w:rsidDel="00000000" w:rsidR="00000000" w:rsidRPr="00000000">
              <w:rPr>
                <w:color w:val="0d1b3e"/>
                <w:sz w:val="18"/>
                <w:szCs w:val="18"/>
                <w:rtl w:val="0"/>
              </w:rPr>
              <w:t xml:space="preserve">Show real context in action. Demonstrate the system responding to a concrete scenario (e.g. rain + low transaction volume) and generating a specific, plausible offer.</w:t>
            </w:r>
            <w:r w:rsidDel="00000000" w:rsidR="00000000" w:rsidRPr="00000000">
              <w:rPr>
                <w:rtl w:val="0"/>
              </w:rPr>
            </w:r>
          </w:p>
        </w:tc>
        <w:tc>
          <w:tcPr>
            <w:shd w:fill="fff5f5" w:val="clear"/>
            <w:tcMar>
              <w:top w:w="160.0" w:type="dxa"/>
              <w:left w:w="200.0" w:type="dxa"/>
              <w:bottom w:w="160.0" w:type="dxa"/>
              <w:right w:w="200.0" w:type="dxa"/>
            </w:tcMar>
          </w:tcPr>
          <w:p w:rsidR="00000000" w:rsidDel="00000000" w:rsidP="00000000" w:rsidRDefault="00000000" w:rsidRPr="00000000" w14:paraId="00000060">
            <w:pPr>
              <w:rPr/>
            </w:pPr>
            <w:r w:rsidDel="00000000" w:rsidR="00000000" w:rsidRPr="00000000">
              <w:rPr>
                <w:b w:val="1"/>
                <w:bCs w:val="1"/>
                <w:color w:val="dc1e1e"/>
                <w:sz w:val="18"/>
                <w:szCs w:val="18"/>
                <w:rtl w:val="0"/>
              </w:rPr>
              <w:t xml:space="preserve">— </w:t>
            </w:r>
            <w:r w:rsidDel="00000000" w:rsidR="00000000" w:rsidRPr="00000000">
              <w:rPr>
                <w:color w:val="0d1b3e"/>
                <w:sz w:val="18"/>
                <w:szCs w:val="18"/>
                <w:rtl w:val="0"/>
              </w:rPr>
              <w:t xml:space="preserve">Build a beautiful UI that shows static dummy offers with no real generative logic behind them.</w:t>
            </w:r>
            <w:r w:rsidDel="00000000" w:rsidR="00000000" w:rsidRPr="00000000">
              <w:rPr>
                <w:rtl w:val="0"/>
              </w:rPr>
            </w:r>
          </w:p>
        </w:tc>
      </w:tr>
      <w:tr>
        <w:trPr>
          <w:cantSplit w:val="0"/>
          <w:tblHeader w:val="0"/>
        </w:trPr>
        <w:tc>
          <w:tcPr>
            <w:shd w:fill="f0fff4" w:val="clear"/>
            <w:tcMar>
              <w:top w:w="160.0" w:type="dxa"/>
              <w:left w:w="200.0" w:type="dxa"/>
              <w:bottom w:w="160.0" w:type="dxa"/>
              <w:right w:w="200.0" w:type="dxa"/>
            </w:tcMar>
          </w:tcPr>
          <w:p w:rsidR="00000000" w:rsidDel="00000000" w:rsidP="00000000" w:rsidRDefault="00000000" w:rsidRPr="00000000" w14:paraId="00000061">
            <w:pPr>
              <w:rPr/>
            </w:pPr>
            <w:r w:rsidDel="00000000" w:rsidR="00000000" w:rsidRPr="00000000">
              <w:rPr>
                <w:b w:val="1"/>
                <w:bCs w:val="1"/>
                <w:color w:val="0d1b3e"/>
                <w:sz w:val="18"/>
                <w:szCs w:val="18"/>
                <w:rtl w:val="0"/>
              </w:rPr>
              <w:t xml:space="preserve">— </w:t>
            </w:r>
            <w:r w:rsidDel="00000000" w:rsidR="00000000" w:rsidRPr="00000000">
              <w:rPr>
                <w:color w:val="0d1b3e"/>
                <w:sz w:val="18"/>
                <w:szCs w:val="18"/>
                <w:rtl w:val="0"/>
              </w:rPr>
              <w:t xml:space="preserve">Design for 3-second comprehension. The offer must be understood instantly. Show how your UI achieves this — layout, language, hierarchy.</w:t>
            </w:r>
            <w:r w:rsidDel="00000000" w:rsidR="00000000" w:rsidRPr="00000000">
              <w:rPr>
                <w:rtl w:val="0"/>
              </w:rPr>
            </w:r>
          </w:p>
        </w:tc>
        <w:tc>
          <w:tcPr>
            <w:shd w:fill="fff5f5" w:val="clear"/>
            <w:tcMar>
              <w:top w:w="160.0" w:type="dxa"/>
              <w:left w:w="200.0" w:type="dxa"/>
              <w:bottom w:w="160.0" w:type="dxa"/>
              <w:right w:w="200.0" w:type="dxa"/>
            </w:tcMar>
          </w:tcPr>
          <w:p w:rsidR="00000000" w:rsidDel="00000000" w:rsidP="00000000" w:rsidRDefault="00000000" w:rsidRPr="00000000" w14:paraId="00000062">
            <w:pPr>
              <w:rPr/>
            </w:pPr>
            <w:r w:rsidDel="00000000" w:rsidR="00000000" w:rsidRPr="00000000">
              <w:rPr>
                <w:b w:val="1"/>
                <w:bCs w:val="1"/>
                <w:color w:val="dc1e1e"/>
                <w:sz w:val="18"/>
                <w:szCs w:val="18"/>
                <w:rtl w:val="0"/>
              </w:rPr>
              <w:t xml:space="preserve">— </w:t>
            </w:r>
            <w:r w:rsidDel="00000000" w:rsidR="00000000" w:rsidRPr="00000000">
              <w:rPr>
                <w:color w:val="0d1b3e"/>
                <w:sz w:val="18"/>
                <w:szCs w:val="18"/>
                <w:rtl w:val="0"/>
              </w:rPr>
              <w:t xml:space="preserve">Treat the merchant and customer side as an afterthought. The interface — even a mockup — is a required deliverable.</w:t>
            </w:r>
            <w:r w:rsidDel="00000000" w:rsidR="00000000" w:rsidRPr="00000000">
              <w:rPr>
                <w:rtl w:val="0"/>
              </w:rPr>
            </w:r>
          </w:p>
        </w:tc>
      </w:tr>
      <w:tr>
        <w:trPr>
          <w:cantSplit w:val="0"/>
          <w:tblHeader w:val="0"/>
        </w:trPr>
        <w:tc>
          <w:tcPr>
            <w:shd w:fill="f0fff4" w:val="clear"/>
            <w:tcMar>
              <w:top w:w="160.0" w:type="dxa"/>
              <w:left w:w="200.0" w:type="dxa"/>
              <w:bottom w:w="160.0" w:type="dxa"/>
              <w:right w:w="200.0" w:type="dxa"/>
            </w:tcMar>
          </w:tcPr>
          <w:p w:rsidR="00000000" w:rsidDel="00000000" w:rsidP="00000000" w:rsidRDefault="00000000" w:rsidRPr="00000000" w14:paraId="00000063">
            <w:pPr>
              <w:rPr/>
            </w:pPr>
            <w:r w:rsidDel="00000000" w:rsidR="00000000" w:rsidRPr="00000000">
              <w:rPr>
                <w:b w:val="1"/>
                <w:bCs w:val="1"/>
                <w:color w:val="0d1b3e"/>
                <w:sz w:val="18"/>
                <w:szCs w:val="18"/>
                <w:rtl w:val="0"/>
              </w:rPr>
              <w:t xml:space="preserve">— </w:t>
            </w:r>
            <w:sdt>
              <w:sdtPr>
                <w:id w:val="-922644290"/>
                <w:tag w:val="goog_rdk_0"/>
              </w:sdtPr>
              <w:sdtContent>
                <w:r w:rsidDel="00000000" w:rsidR="00000000" w:rsidRPr="00000000">
                  <w:rPr>
                    <w:rFonts w:ascii="Arial Unicode MS" w:cs="Arial Unicode MS" w:eastAsia="Arial Unicode MS" w:hAnsi="Arial Unicode MS"/>
                    <w:color w:val="0d1b3e"/>
                    <w:sz w:val="18"/>
                    <w:szCs w:val="18"/>
                    <w:rtl w:val="0"/>
                  </w:rPr>
                  <w:t xml:space="preserve">Close the loop. Show the full journey: context detection → offer generation → display → accept/decline → simulated checkout. Even a partial but connected flow beats a polished stub.</w:t>
                </w:r>
              </w:sdtContent>
            </w:sdt>
            <w:r w:rsidDel="00000000" w:rsidR="00000000" w:rsidRPr="00000000">
              <w:rPr>
                <w:rtl w:val="0"/>
              </w:rPr>
            </w:r>
          </w:p>
        </w:tc>
        <w:tc>
          <w:tcPr>
            <w:shd w:fill="fff5f5" w:val="clear"/>
            <w:tcMar>
              <w:top w:w="160.0" w:type="dxa"/>
              <w:left w:w="200.0" w:type="dxa"/>
              <w:bottom w:w="160.0" w:type="dxa"/>
              <w:right w:w="200.0" w:type="dxa"/>
            </w:tcMar>
          </w:tcPr>
          <w:p w:rsidR="00000000" w:rsidDel="00000000" w:rsidP="00000000" w:rsidRDefault="00000000" w:rsidRPr="00000000" w14:paraId="00000064">
            <w:pPr>
              <w:rPr/>
            </w:pPr>
            <w:r w:rsidDel="00000000" w:rsidR="00000000" w:rsidRPr="00000000">
              <w:rPr>
                <w:b w:val="1"/>
                <w:bCs w:val="1"/>
                <w:color w:val="dc1e1e"/>
                <w:sz w:val="18"/>
                <w:szCs w:val="18"/>
                <w:rtl w:val="0"/>
              </w:rPr>
              <w:t xml:space="preserve">— </w:t>
            </w:r>
            <w:r w:rsidDel="00000000" w:rsidR="00000000" w:rsidRPr="00000000">
              <w:rPr>
                <w:color w:val="0d1b3e"/>
                <w:sz w:val="18"/>
                <w:szCs w:val="18"/>
                <w:rtl w:val="0"/>
              </w:rPr>
              <w:t xml:space="preserve">Over-engineer the AI stack and under-engineer the experience. This challenge is won in the interaction design, not the model architecture.</w:t>
            </w:r>
            <w:r w:rsidDel="00000000" w:rsidR="00000000" w:rsidRPr="00000000">
              <w:rPr>
                <w:rtl w:val="0"/>
              </w:rPr>
            </w:r>
          </w:p>
        </w:tc>
      </w:tr>
      <w:tr>
        <w:trPr>
          <w:cantSplit w:val="0"/>
          <w:tblHeader w:val="0"/>
        </w:trPr>
        <w:tc>
          <w:tcPr>
            <w:shd w:fill="f0fff4" w:val="clear"/>
            <w:tcMar>
              <w:top w:w="160.0" w:type="dxa"/>
              <w:left w:w="200.0" w:type="dxa"/>
              <w:bottom w:w="160.0" w:type="dxa"/>
              <w:right w:w="200.0" w:type="dxa"/>
            </w:tcMar>
          </w:tcPr>
          <w:p w:rsidR="00000000" w:rsidDel="00000000" w:rsidP="00000000" w:rsidRDefault="00000000" w:rsidRPr="00000000" w14:paraId="00000065">
            <w:pPr>
              <w:rPr/>
            </w:pPr>
            <w:r w:rsidDel="00000000" w:rsidR="00000000" w:rsidRPr="00000000">
              <w:rPr>
                <w:b w:val="1"/>
                <w:bCs w:val="1"/>
                <w:color w:val="0d1b3e"/>
                <w:sz w:val="18"/>
                <w:szCs w:val="18"/>
                <w:rtl w:val="0"/>
              </w:rPr>
              <w:t xml:space="preserve">— </w:t>
            </w:r>
            <w:r w:rsidDel="00000000" w:rsidR="00000000" w:rsidRPr="00000000">
              <w:rPr>
                <w:color w:val="0d1b3e"/>
                <w:sz w:val="18"/>
                <w:szCs w:val="18"/>
                <w:rtl w:val="0"/>
              </w:rPr>
              <w:t xml:space="preserve">Be honest about privacy. Address GDPR explicitly — how does your system protect user data? On-device inference, anonymisation, or consent flows all count.</w:t>
            </w:r>
            <w:r w:rsidDel="00000000" w:rsidR="00000000" w:rsidRPr="00000000">
              <w:rPr>
                <w:rtl w:val="0"/>
              </w:rPr>
            </w:r>
          </w:p>
        </w:tc>
        <w:tc>
          <w:tcPr>
            <w:shd w:fill="fff5f5" w:val="clear"/>
            <w:tcMar>
              <w:top w:w="160.0" w:type="dxa"/>
              <w:left w:w="200.0" w:type="dxa"/>
              <w:bottom w:w="160.0" w:type="dxa"/>
              <w:right w:w="200.0" w:type="dxa"/>
            </w:tcMar>
          </w:tcPr>
          <w:p w:rsidR="00000000" w:rsidDel="00000000" w:rsidP="00000000" w:rsidRDefault="00000000" w:rsidRPr="00000000" w14:paraId="00000066">
            <w:pPr>
              <w:rPr/>
            </w:pPr>
            <w:r w:rsidDel="00000000" w:rsidR="00000000" w:rsidRPr="00000000">
              <w:rPr>
                <w:b w:val="1"/>
                <w:bCs w:val="1"/>
                <w:color w:val="dc1e1e"/>
                <w:sz w:val="18"/>
                <w:szCs w:val="18"/>
                <w:rtl w:val="0"/>
              </w:rPr>
              <w:t xml:space="preserve">— </w:t>
            </w:r>
            <w:r w:rsidDel="00000000" w:rsidR="00000000" w:rsidRPr="00000000">
              <w:rPr>
                <w:color w:val="0d1b3e"/>
                <w:sz w:val="18"/>
                <w:szCs w:val="18"/>
                <w:rtl w:val="0"/>
              </w:rPr>
              <w:t xml:space="preserve">Ignore the merchant's perspective. A city wallet without happy merchants has no supply side — and no future.</w:t>
            </w:r>
            <w:r w:rsidDel="00000000" w:rsidR="00000000" w:rsidRPr="00000000">
              <w:rPr>
                <w:rtl w:val="0"/>
              </w:rPr>
            </w:r>
          </w:p>
        </w:tc>
      </w:tr>
    </w:tbl>
    <w:p w:rsidR="00000000" w:rsidDel="00000000" w:rsidP="00000000" w:rsidRDefault="00000000" w:rsidRPr="00000000" w14:paraId="00000067">
      <w:pPr>
        <w:spacing w:after="280" w:lineRule="auto"/>
        <w:rPr/>
      </w:pPr>
      <w:r w:rsidDel="00000000" w:rsidR="00000000" w:rsidRPr="00000000">
        <w:rPr>
          <w:rtl w:val="0"/>
        </w:rPr>
      </w:r>
    </w:p>
    <w:p w:rsidR="00000000" w:rsidDel="00000000" w:rsidP="00000000" w:rsidRDefault="00000000" w:rsidRPr="00000000" w14:paraId="00000068">
      <w:pPr>
        <w:pBdr>
          <w:bottom w:color="4dbbef" w:space="0" w:sz="4" w:val="single"/>
        </w:pBdr>
        <w:spacing w:after="100" w:before="260" w:lineRule="auto"/>
        <w:rPr/>
      </w:pPr>
      <w:r w:rsidDel="00000000" w:rsidR="00000000" w:rsidRPr="00000000">
        <w:rPr>
          <w:rFonts w:ascii="Arial Black" w:cs="Arial Black" w:eastAsia="Arial Black" w:hAnsi="Arial Black"/>
          <w:b w:val="1"/>
          <w:bCs w:val="1"/>
          <w:color w:val="0d1b3e"/>
          <w:sz w:val="28"/>
          <w:szCs w:val="28"/>
          <w:rtl w:val="0"/>
        </w:rPr>
        <w:t xml:space="preserve">Why This Matters</w:t>
      </w:r>
      <w:r w:rsidDel="00000000" w:rsidR="00000000" w:rsidRPr="00000000">
        <w:rPr>
          <w:rtl w:val="0"/>
        </w:rPr>
      </w:r>
    </w:p>
    <w:p w:rsidR="00000000" w:rsidDel="00000000" w:rsidP="00000000" w:rsidRDefault="00000000" w:rsidRPr="00000000" w14:paraId="00000069">
      <w:pPr>
        <w:spacing w:after="140" w:lineRule="auto"/>
        <w:rPr/>
      </w:pPr>
      <w:r w:rsidDel="00000000" w:rsidR="00000000" w:rsidRPr="00000000">
        <w:rPr>
          <w:color w:val="0d1b3e"/>
          <w:sz w:val="20"/>
          <w:szCs w:val="20"/>
          <w:rtl w:val="0"/>
        </w:rPr>
        <w:t xml:space="preserve">The decline of inner-city retail is a real structural threat — not only to local economies but to the regional business model of savings banks (Sparkassen) that are embedded in those same communities. Traditional loyalty programmes and static coupon books have failed to slow it. Meanwhile global e-commerce platforms have access to dynamic pricing, real-time demand signals, and algorithmic personalisation that local merchants simply cannot match.</w:t>
      </w:r>
      <w:r w:rsidDel="00000000" w:rsidR="00000000" w:rsidRPr="00000000">
        <w:rPr>
          <w:rtl w:val="0"/>
        </w:rPr>
      </w:r>
    </w:p>
    <w:p w:rsidR="00000000" w:rsidDel="00000000" w:rsidP="00000000" w:rsidRDefault="00000000" w:rsidRPr="00000000" w14:paraId="0000006A">
      <w:pPr>
        <w:spacing w:after="140" w:lineRule="auto"/>
        <w:rPr/>
      </w:pPr>
      <w:r w:rsidDel="00000000" w:rsidR="00000000" w:rsidRPr="00000000">
        <w:rPr>
          <w:color w:val="0d1b3e"/>
          <w:sz w:val="20"/>
          <w:szCs w:val="20"/>
          <w:rtl w:val="0"/>
        </w:rPr>
        <w:t xml:space="preserve">DSV Gruppe — as part of the German Savings Banks Financial Group — sits at the intersection of payments infrastructure (Payone), merchant portals (S-Markt &amp; Mehrwert), and regional banking relationships. This is a unique position from which to build something global e-commerce cannot replicate: an AI layer that knows the local context, respects privacy by design, and makes the merchant on the corner as responsive to demand as a marketplace algorithm.</w:t>
      </w:r>
      <w:r w:rsidDel="00000000" w:rsidR="00000000" w:rsidRPr="00000000">
        <w:rPr>
          <w:rtl w:val="0"/>
        </w:rPr>
      </w:r>
    </w:p>
    <w:p w:rsidR="00000000" w:rsidDel="00000000" w:rsidP="00000000" w:rsidRDefault="00000000" w:rsidRPr="00000000" w14:paraId="0000006B">
      <w:pPr>
        <w:pBdr>
          <w:bottom w:color="4dbbef" w:space="0" w:sz="4" w:val="single"/>
        </w:pBdr>
        <w:spacing w:after="100" w:before="260" w:lineRule="auto"/>
        <w:rPr/>
      </w:pPr>
      <w:r w:rsidDel="00000000" w:rsidR="00000000" w:rsidRPr="00000000">
        <w:rPr>
          <w:rFonts w:ascii="Arial Black" w:cs="Arial Black" w:eastAsia="Arial Black" w:hAnsi="Arial Black"/>
          <w:b w:val="1"/>
          <w:bCs w:val="1"/>
          <w:color w:val="0d1b3e"/>
          <w:sz w:val="28"/>
          <w:szCs w:val="28"/>
          <w:rtl w:val="0"/>
        </w:rPr>
        <w:t xml:space="preserve">Appendix — Contact &amp; Additional Resources</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tl w:val="0"/>
        </w:rPr>
      </w:r>
    </w:p>
    <w:p w:rsidR="00000000" w:rsidDel="00000000" w:rsidP="00000000" w:rsidRDefault="00000000" w:rsidRPr="00000000" w14:paraId="0000006D">
      <w:pPr>
        <w:spacing w:after="140" w:lineRule="auto"/>
        <w:rPr/>
      </w:pPr>
      <w:r w:rsidDel="00000000" w:rsidR="00000000" w:rsidRPr="00000000">
        <w:rPr>
          <w:b w:val="1"/>
          <w:bCs w:val="1"/>
          <w:color w:val="0d1b3e"/>
          <w:sz w:val="20"/>
          <w:szCs w:val="20"/>
          <w:rtl w:val="0"/>
        </w:rPr>
        <w:t xml:space="preserve">Challenge contact: </w:t>
      </w:r>
      <w:r w:rsidDel="00000000" w:rsidR="00000000" w:rsidRPr="00000000">
        <w:rPr>
          <w:color w:val="0d1b3e"/>
          <w:sz w:val="20"/>
          <w:szCs w:val="20"/>
          <w:rtl w:val="0"/>
        </w:rPr>
        <w:t xml:space="preserve">Tim Heuschele, Referent Strategisches Portfoliomanagement, DSV Gruppe</w:t>
      </w:r>
      <w:r w:rsidDel="00000000" w:rsidR="00000000" w:rsidRPr="00000000">
        <w:rPr>
          <w:rtl w:val="0"/>
        </w:rPr>
      </w:r>
    </w:p>
    <w:p w:rsidR="00000000" w:rsidDel="00000000" w:rsidP="00000000" w:rsidRDefault="00000000" w:rsidRPr="00000000" w14:paraId="0000006E">
      <w:pPr>
        <w:spacing w:after="140" w:lineRule="auto"/>
        <w:rPr/>
      </w:pPr>
      <w:r w:rsidDel="00000000" w:rsidR="00000000" w:rsidRPr="00000000">
        <w:rPr>
          <w:b w:val="1"/>
          <w:bCs w:val="1"/>
          <w:color w:val="0d1b3e"/>
          <w:sz w:val="20"/>
          <w:szCs w:val="20"/>
          <w:rtl w:val="0"/>
        </w:rPr>
        <w:t xml:space="preserve">Email: </w:t>
      </w:r>
      <w:r w:rsidDel="00000000" w:rsidR="00000000" w:rsidRPr="00000000">
        <w:rPr>
          <w:color w:val="0d1b3e"/>
          <w:sz w:val="20"/>
          <w:szCs w:val="20"/>
          <w:rtl w:val="0"/>
        </w:rPr>
        <w:t xml:space="preserve">tim.heuschele@dsv-gruppe.de</w:t>
      </w:r>
      <w:r w:rsidDel="00000000" w:rsidR="00000000" w:rsidRPr="00000000">
        <w:rPr>
          <w:rtl w:val="0"/>
        </w:rPr>
      </w:r>
    </w:p>
    <w:p w:rsidR="00000000" w:rsidDel="00000000" w:rsidP="00000000" w:rsidRDefault="00000000" w:rsidRPr="00000000" w14:paraId="0000006F">
      <w:pPr>
        <w:spacing w:before="160" w:lineRule="auto"/>
        <w:rPr/>
      </w:pPr>
      <w:r w:rsidDel="00000000" w:rsidR="00000000" w:rsidRPr="00000000">
        <w:rPr>
          <w:rtl w:val="0"/>
        </w:rPr>
      </w:r>
    </w:p>
    <w:p w:rsidR="00000000" w:rsidDel="00000000" w:rsidP="00000000" w:rsidRDefault="00000000" w:rsidRPr="00000000" w14:paraId="00000070">
      <w:pPr>
        <w:spacing w:before="160" w:lineRule="auto"/>
        <w:rPr/>
      </w:pPr>
      <w:r w:rsidDel="00000000" w:rsidR="00000000" w:rsidRPr="00000000">
        <w:rPr>
          <w:rtl w:val="0"/>
        </w:rPr>
      </w:r>
    </w:p>
    <w:sectPr>
      <w:headerReference r:id="rId12" w:type="default"/>
      <w:footerReference r:id="rId13" w:type="default"/>
      <w:type w:val="nextPage"/>
      <w:pgSz w:h="16838" w:w="11906" w:orient="portrait"/>
      <w:pgMar w:bottom="1440" w:top="120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color="cccccc" w:space="4" w:sz="4" w:val="single"/>
      </w:pBdr>
      <w:jc w:val="center"/>
      <w:rPr/>
    </w:pPr>
    <w:r w:rsidDel="00000000" w:rsidR="00000000" w:rsidRPr="00000000">
      <w:rPr>
        <w:color w:val="6b7280"/>
        <w:sz w:val="17"/>
        <w:szCs w:val="17"/>
        <w:rtl w:val="0"/>
      </w:rPr>
      <w:t xml:space="preserve">Hack-Nation × World Bank Youth Summit  ·  Global AI Hackathon 2026  ·  Page </w:t>
    </w:r>
    <w:r w:rsidDel="00000000" w:rsidR="00000000" w:rsidRPr="00000000">
      <w:rPr>
        <w:color w:val="6b7280"/>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1a1a2e"/>
        <w:sz w:val="22"/>
        <w:szCs w:val="22"/>
        <w:u w:val="none"/>
        <w:shd w:fill="auto" w:val="clear"/>
        <w:vertAlign w:val="baseline"/>
      </w:rPr>
    </w:pPr>
    <w:r w:rsidDel="00000000" w:rsidR="00000000" w:rsidRPr="00000000">
      <w:rPr>
        <w:rtl w:val="0"/>
      </w:rPr>
    </w:r>
  </w:p>
  <w:tbl>
    <w:tblPr>
      <w:tblStyle w:val="Table8"/>
      <w:tblW w:w="9026.0" w:type="dxa"/>
      <w:jc w:val="left"/>
      <w:tblBorders>
        <w:bottom w:color="1900f7" w:space="0" w:sz="4" w:val="single"/>
        <w:insideH w:color="000000" w:space="0" w:sz="4" w:val="single"/>
        <w:insideV w:color="000000" w:space="0" w:sz="4" w:val="single"/>
      </w:tblBorders>
      <w:tblLayout w:type="fixed"/>
      <w:tblLook w:val="0400"/>
    </w:tblPr>
    <w:tblGrid>
      <w:gridCol w:w="1285"/>
      <w:gridCol w:w="6587"/>
      <w:gridCol w:w="1154"/>
      <w:tblGridChange w:id="0">
        <w:tblGrid>
          <w:gridCol w:w="1285"/>
          <w:gridCol w:w="6587"/>
          <w:gridCol w:w="1154"/>
        </w:tblGrid>
      </w:tblGridChange>
    </w:tblGrid>
    <w:tr>
      <w:trPr>
        <w:cantSplit w:val="0"/>
        <w:tblHeader w:val="0"/>
      </w:trPr>
      <w:tc>
        <w:tcPr>
          <w:tcMar>
            <w:top w:w="40.0" w:type="dxa"/>
            <w:left w:w="0.0" w:type="dxa"/>
            <w:bottom w:w="100.0" w:type="dxa"/>
            <w:right w:w="80.0" w:type="dxa"/>
          </w:tcMar>
          <w:vAlign w:val="center"/>
        </w:tcPr>
        <w:p w:rsidR="00000000" w:rsidDel="00000000" w:rsidP="00000000" w:rsidRDefault="00000000" w:rsidRPr="00000000" w14:paraId="00000075">
          <w:pPr>
            <w:rPr/>
          </w:pPr>
          <w:r w:rsidDel="00000000" w:rsidR="00000000" w:rsidRPr="00000000">
            <w:rPr>
              <w:color w:val="000000"/>
              <w:sz w:val="20"/>
              <w:szCs w:val="20"/>
            </w:rPr>
            <w:drawing>
              <wp:inline distB="0" distT="0" distL="0" distR="0">
                <wp:extent cx="590550" cy="204884"/>
                <wp:effectExtent b="0" l="0" r="0" t="0"/>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90550" cy="204884"/>
                        </a:xfrm>
                        <a:prstGeom prst="rect"/>
                        <a:ln/>
                      </pic:spPr>
                    </pic:pic>
                  </a:graphicData>
                </a:graphic>
              </wp:inline>
            </w:drawing>
          </w:r>
          <w:r w:rsidDel="00000000" w:rsidR="00000000" w:rsidRPr="00000000">
            <w:rPr>
              <w:rtl w:val="0"/>
            </w:rPr>
          </w:r>
        </w:p>
      </w:tc>
      <w:tc>
        <w:tcPr>
          <w:tcMar>
            <w:top w:w="40.0" w:type="dxa"/>
            <w:left w:w="0.0" w:type="dxa"/>
            <w:bottom w:w="100.0" w:type="dxa"/>
            <w:right w:w="0.0" w:type="dxa"/>
          </w:tcMar>
          <w:vAlign w:val="center"/>
        </w:tcPr>
        <w:p w:rsidR="00000000" w:rsidDel="00000000" w:rsidP="00000000" w:rsidRDefault="00000000" w:rsidRPr="00000000" w14:paraId="00000076">
          <w:pPr>
            <w:jc w:val="center"/>
            <w:rPr/>
          </w:pPr>
          <w:r w:rsidDel="00000000" w:rsidR="00000000" w:rsidRPr="00000000">
            <w:rPr>
              <w:b w:val="1"/>
              <w:bCs w:val="1"/>
              <w:color w:val="6b7280"/>
              <w:sz w:val="17"/>
              <w:szCs w:val="17"/>
              <w:rtl w:val="0"/>
            </w:rPr>
            <w:t xml:space="preserve">CITY-WALLET ·  DSV-GRUPPE × Hack-Nation  ·  Challenge Brief</w:t>
          </w:r>
          <w:r w:rsidDel="00000000" w:rsidR="00000000" w:rsidRPr="00000000">
            <w:rPr>
              <w:rtl w:val="0"/>
            </w:rPr>
          </w:r>
        </w:p>
      </w:tc>
      <w:tc>
        <w:tcPr>
          <w:tcMar>
            <w:top w:w="40.0" w:type="dxa"/>
            <w:left w:w="80.0" w:type="dxa"/>
            <w:bottom w:w="100.0" w:type="dxa"/>
            <w:right w:w="0.0" w:type="dxa"/>
          </w:tcMar>
          <w:vAlign w:val="center"/>
        </w:tcPr>
        <w:p w:rsidR="00000000" w:rsidDel="00000000" w:rsidP="00000000" w:rsidRDefault="00000000" w:rsidRPr="00000000" w14:paraId="00000077">
          <w:pPr>
            <w:jc w:val="right"/>
            <w:rPr/>
          </w:pPr>
          <w:r w:rsidDel="00000000" w:rsidR="00000000" w:rsidRPr="00000000">
            <w:rPr/>
            <w:drawing>
              <wp:inline distB="0" distT="0" distL="0" distR="0">
                <wp:extent cx="479804" cy="142875"/>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479804" cy="1428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1.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O1qoccrr09+JjPSPJ3kiD1fpA==">CgMxLjAaHQoBMBIYChYIB0ISEhBBcmlhbCBVbmljb2RlIE1TOAByITFocVBYYjZrNzlwQ0s4Mi1kckc1dFBsM1U5bHo0eHJ5WQ==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