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CEAF7"/>
  <w:body>
    <w:p w:rsidR="00000000" w:rsidDel="00000000" w:rsidP="00000000" w:rsidRDefault="00000000" w:rsidRPr="00000000" w14:paraId="00000001">
      <w:pPr>
        <w:spacing w:after="100" w:before="440" w:lineRule="auto"/>
        <w:jc w:val="center"/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39700" cy="5429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8340" l="0" r="11088" t="21766"/>
                    <a:stretch>
                      <a:fillRect/>
                    </a:stretch>
                  </pic:blipFill>
                  <pic:spPr>
                    <a:xfrm>
                      <a:off x="0" y="0"/>
                      <a:ext cx="14397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="260" w:lineRule="auto"/>
        <w:jc w:val="center"/>
        <w:rPr/>
      </w:pPr>
      <w:r w:rsidDel="00000000" w:rsidR="00000000" w:rsidRPr="00000000">
        <w:rPr>
          <w:color w:val="0f4761"/>
          <w:sz w:val="16"/>
          <w:szCs w:val="16"/>
          <w:rtl w:val="0"/>
        </w:rPr>
        <w:t xml:space="preserve">In collaboration with MIT Club of Northern California and MIT Club of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4dbbef" w:space="1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260" w:lineRule="auto"/>
        <w:jc w:val="center"/>
        <w:rPr/>
      </w:pPr>
      <w:r w:rsidDel="00000000" w:rsidR="00000000" w:rsidRPr="00000000">
        <w:rPr>
          <w:color w:val="0f4761"/>
          <w:rtl w:val="0"/>
        </w:rPr>
        <w:t xml:space="preserve">C H A L L E N G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f4761"/>
          <w:sz w:val="320"/>
          <w:szCs w:val="320"/>
          <w:rtl w:val="0"/>
        </w:rPr>
        <w:t xml:space="preserve">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/>
      </w:pPr>
      <w:r w:rsidDel="00000000" w:rsidR="00000000" w:rsidRPr="00000000">
        <w:rPr>
          <w:color w:val="4dbbef"/>
          <w:sz w:val="16"/>
          <w:szCs w:val="16"/>
          <w:rtl w:val="0"/>
        </w:rPr>
        <w:t xml:space="preserve">· · · · · · · · · · · · · · · · · · · 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4dbbef" w:space="1" w:sz="8" w:val="single"/>
        </w:pBd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f4761"/>
          <w:sz w:val="60"/>
          <w:szCs w:val="60"/>
          <w:rtl w:val="0"/>
        </w:rPr>
        <w:t xml:space="preserve">The AI Scientist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0f4761"/>
          <w:sz w:val="24"/>
          <w:szCs w:val="24"/>
          <w:rtl w:val="0"/>
        </w:rPr>
        <w:t xml:space="preserve">From hypothesis to runnable experiment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4dbbef" w:space="1" w:sz="4" w:val="single"/>
        </w:pBd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="260" w:lineRule="auto"/>
        <w:jc w:val="center"/>
        <w:rPr/>
      </w:pPr>
      <w:r w:rsidDel="00000000" w:rsidR="00000000" w:rsidRPr="00000000">
        <w:rPr>
          <w:color w:val="0f4761"/>
          <w:sz w:val="18"/>
          <w:szCs w:val="18"/>
          <w:rtl w:val="0"/>
        </w:rPr>
        <w:t xml:space="preserve">P O W E R E D   B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20" w:lineRule="auto"/>
        <w:jc w:val="center"/>
        <w:rPr>
          <w:rFonts w:ascii="Arial Black" w:cs="Arial Black" w:eastAsia="Arial Black" w:hAnsi="Arial Black"/>
          <w:b w:val="1"/>
          <w:bCs w:val="1"/>
          <w:color w:val="0f4761"/>
          <w:sz w:val="28"/>
          <w:szCs w:val="28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f4761"/>
          <w:sz w:val="28"/>
          <w:szCs w:val="28"/>
        </w:rPr>
        <w:drawing>
          <wp:inline distB="0" distT="0" distL="0" distR="0">
            <wp:extent cx="1422098" cy="57249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36094" l="4649" r="3037" t="26743"/>
                    <a:stretch>
                      <a:fillRect/>
                    </a:stretch>
                  </pic:blipFill>
                  <pic:spPr>
                    <a:xfrm>
                      <a:off x="0" y="0"/>
                      <a:ext cx="1422098" cy="572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20" w:lineRule="auto"/>
        <w:jc w:val="center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f4761"/>
          <w:sz w:val="28"/>
          <w:szCs w:val="28"/>
          <w:rtl w:val="0"/>
        </w:rPr>
        <w:t xml:space="preserve">FULCRUM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headerReference r:id="rId9" w:type="default"/>
          <w:headerReference r:id="rId10" w:type="first"/>
          <w:headerReference r:id="rId11" w:type="even"/>
          <w:pgSz w:h="16838" w:w="11906" w:orient="portrait"/>
          <w:pgMar w:bottom="1440" w:top="0" w:left="1440" w:right="1440" w:header="708" w:footer="708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900f7" w:space="4" w:sz="8" w:val="single"/>
        </w:pBdr>
        <w:spacing w:after="180" w:before="440" w:line="300" w:lineRule="auto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d1b3e"/>
          <w:sz w:val="30"/>
          <w:szCs w:val="30"/>
          <w:rtl w:val="0"/>
        </w:rPr>
        <w:t xml:space="preserve">The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d1b3e"/>
          <w:sz w:val="30"/>
          <w:szCs w:val="30"/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Turning a scientific question into a runnable experiment takes weeks of manual work — designing the protocol, estimating costs, sourcing materials, staffing the team. It’s not the ideas that slow science down; it’s the operations.</w:t>
      </w:r>
    </w:p>
    <w:p w:rsidR="00000000" w:rsidDel="00000000" w:rsidP="00000000" w:rsidRDefault="00000000" w:rsidRPr="00000000" w14:paraId="00000013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Here’s how it typically works: an organisation — a pharma company, a university, a research funder — sends a brief to a specialist lab or Contract Research Organisation (CRO). The lab’s scientists scope the work: they figure out what steps to follow, what to buy, how long it will take, and how much it will cost. Then they send back a proposal. A senior scientist who’s run a similar experiment before can do this in hours. One who hasn’t may take days — and the quality difference is real. A plan with the wrong chemical concentration or an unrealistic timeline can send a lab down the wrong path for weeks.</w:t>
      </w:r>
    </w:p>
    <w:p w:rsidR="00000000" w:rsidDel="00000000" w:rsidP="00000000" w:rsidRDefault="00000000" w:rsidRPr="00000000" w14:paraId="00000014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Your challenge is to build an AI-powered tool that compresses this process: take a scientific question as input, and generate a complete, operationally realistic experiment plan that a real lab could pick up and execute. You don’t need to be a scientist to build this — you need to know how to build tools that make experts faster.</w:t>
      </w:r>
    </w:p>
    <w:p w:rsidR="00000000" w:rsidDel="00000000" w:rsidP="00000000" w:rsidRDefault="00000000" w:rsidRPr="00000000" w14:paraId="0000001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900f7" w:space="0" w:sz="22" w:val="single"/>
              <w:bottom w:color="dddddd" w:space="0" w:sz="4" w:val="single"/>
              <w:right w:color="dddddd" w:space="0" w:sz="4" w:val="single"/>
            </w:tcBorders>
            <w:shd w:fill="eef0ff" w:val="clear"/>
            <w:tcMar>
              <w:top w:w="160.0" w:type="dxa"/>
              <w:left w:w="18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0f4761"/>
                <w:sz w:val="16"/>
                <w:szCs w:val="16"/>
                <w:rtl w:val="0"/>
              </w:rPr>
              <w:t xml:space="preserve">The mRNA 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60.0" w:type="dxa"/>
              <w:left w:w="180.0" w:type="dxa"/>
              <w:bottom w:w="16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line="300" w:lineRule="auto"/>
              <w:rPr/>
            </w:pPr>
            <w:r w:rsidDel="00000000" w:rsidR="00000000" w:rsidRPr="00000000">
              <w:rPr>
                <w:color w:val="0d1b3e"/>
                <w:sz w:val="16"/>
                <w:szCs w:val="16"/>
                <w:rtl w:val="0"/>
              </w:rPr>
              <w:t xml:space="preserve">What accelerated COVID-19 vaccine development wasn’t a new idea — the mRNA hypothesis had existed for decades. It was the ability to move from hypothesis to executable experiment at unprecedented speed. That’s the gap you’re closing.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Bdr>
          <w:bottom w:color="1900f7" w:space="4" w:sz="8" w:val="single"/>
        </w:pBdr>
        <w:spacing w:after="180" w:before="440" w:line="300" w:lineRule="auto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d1b3e"/>
          <w:sz w:val="30"/>
          <w:szCs w:val="30"/>
          <w:rtl w:val="0"/>
        </w:rPr>
        <w:t xml:space="preserve">What You're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A focused, end-to-end application with three stages: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8"/>
        <w:gridCol w:w="3009"/>
        <w:gridCol w:w="3009"/>
        <w:tblGridChange w:id="0">
          <w:tblGrid>
            <w:gridCol w:w="3008"/>
            <w:gridCol w:w="3009"/>
            <w:gridCol w:w="30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900f7" w:space="0" w:sz="12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0ff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spacing w:after="120" w:lineRule="auto"/>
              <w:rPr/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0f4761"/>
                <w:rtl w:val="0"/>
              </w:rPr>
              <w:t xml:space="preserve">1. Input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 language scientific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900f7" w:space="0" w:sz="12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0ff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120" w:lineRule="auto"/>
              <w:rPr/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0f4761"/>
                <w:rtl w:val="0"/>
              </w:rPr>
              <w:t xml:space="preserve">2. Literature QC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3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this exact protocol been done before?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900f7" w:space="0" w:sz="12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0ff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after="120" w:lineRule="auto"/>
              <w:rPr/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0f4761"/>
                <w:rtl w:val="0"/>
              </w:rPr>
              <w:t xml:space="preserve">3. Experiment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operational plan — the core deliverable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1900f7" w:space="4" w:sz="8" w:val="single"/>
        </w:pBdr>
        <w:spacing w:after="180" w:before="440" w:line="300" w:lineRule="auto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d1b3e"/>
          <w:sz w:val="30"/>
          <w:szCs w:val="30"/>
          <w:rtl w:val="0"/>
        </w:rPr>
        <w:t xml:space="preserve">Primary Challenge: Full Experiment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This is where you can make your mark. Can you build the tool that a real PI would actually want to use? Can you generate an experiment plan so complete, so operationally grounded, that a lab could pick it up on Monday and start running it by Friday? Here's what that looks like in practice — a plan that includes: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3e"/>
          <w:sz w:val="20"/>
          <w:szCs w:val="20"/>
          <w:u w:val="none"/>
          <w:shd w:fill="auto" w:val="clear"/>
          <w:vertAlign w:val="baseline"/>
          <w:rtl w:val="0"/>
        </w:rPr>
        <w:t xml:space="preserve">Protocol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step-by-step methodology grounded in real published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3e"/>
          <w:sz w:val="20"/>
          <w:szCs w:val="20"/>
          <w:u w:val="none"/>
          <w:shd w:fill="auto" w:val="clear"/>
          <w:vertAlign w:val="baseline"/>
          <w:rtl w:val="0"/>
        </w:rPr>
        <w:t xml:space="preserve">Materials and supply chain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specific reagents, catalog numbers, suppliers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3e"/>
          <w:sz w:val="20"/>
          <w:szCs w:val="20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realistic cost estimate with line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3e"/>
          <w:sz w:val="20"/>
          <w:szCs w:val="20"/>
          <w:u w:val="none"/>
          <w:shd w:fill="auto" w:val="clear"/>
          <w:vertAlign w:val="baseline"/>
          <w:rtl w:val="0"/>
        </w:rPr>
        <w:t xml:space="preserve">Timeline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phased breakdown with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3e"/>
          <w:sz w:val="20"/>
          <w:szCs w:val="20"/>
          <w:u w:val="none"/>
          <w:shd w:fill="auto" w:val="clear"/>
          <w:vertAlign w:val="baseline"/>
          <w:rtl w:val="0"/>
        </w:rPr>
        <w:t xml:space="preserve">Validation 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how success or failure will be measured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900f7" w:space="0" w:sz="22" w:val="single"/>
              <w:bottom w:color="dddddd" w:space="0" w:sz="4" w:val="single"/>
              <w:right w:color="dddddd" w:space="0" w:sz="4" w:val="single"/>
            </w:tcBorders>
            <w:shd w:fill="eef0ff" w:val="clear"/>
            <w:tcMar>
              <w:top w:w="160.0" w:type="dxa"/>
              <w:left w:w="18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0f4761"/>
                <w:sz w:val="16"/>
                <w:szCs w:val="16"/>
                <w:rtl w:val="0"/>
              </w:rPr>
              <w:t xml:space="preserve">Quality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60.0" w:type="dxa"/>
              <w:left w:w="180.0" w:type="dxa"/>
              <w:bottom w:w="1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line="300" w:lineRule="auto"/>
              <w:rPr/>
            </w:pPr>
            <w:r w:rsidDel="00000000" w:rsidR="00000000" w:rsidRPr="00000000">
              <w:rPr>
                <w:color w:val="0d1b3e"/>
                <w:sz w:val="16"/>
                <w:szCs w:val="16"/>
                <w:rtl w:val="0"/>
              </w:rPr>
              <w:t xml:space="preserve">Would a real scientist trust this plan enough to order the materials and start running it? That is the standard.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bottom w:color="1900f7" w:space="4" w:sz="8" w:val="single"/>
        </w:pBdr>
        <w:spacing w:after="180" w:before="440" w:line="300" w:lineRule="auto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d1b3e"/>
          <w:sz w:val="30"/>
          <w:szCs w:val="30"/>
          <w:rtl w:val="0"/>
        </w:rPr>
        <w:t xml:space="preserve">Literature Quality Control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Before generating the plan, run a quick check: has this experiment, or something very close to it, been done before?</w:t>
      </w:r>
    </w:p>
    <w:p w:rsidR="00000000" w:rsidDel="00000000" w:rsidP="00000000" w:rsidRDefault="00000000" w:rsidRPr="00000000" w14:paraId="0000002C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Think of this as a plagiarism check, but for science. It’s not a deep literature review — it’s a fast signal that tells the scientist whether they’re breaking new ground or building on existing work. The output should be simple: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16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novelty signal: “not found”, “similar work exists”, or “exact match found”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1–3 relevant references where applicable, so the scientist can follow up</w:t>
      </w:r>
    </w:p>
    <w:p w:rsidR="00000000" w:rsidDel="00000000" w:rsidP="00000000" w:rsidRDefault="00000000" w:rsidRPr="00000000" w14:paraId="0000002F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Use any literature source you like — arXiv, Semantic Scholar, protocol repositories, or others. The source matters less than the signal being accurate and fast.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1900f7" w:space="4" w:sz="8" w:val="single"/>
        </w:pBdr>
        <w:spacing w:after="180" w:before="440" w:line="300" w:lineRule="auto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d1b3e"/>
          <w:sz w:val="30"/>
          <w:szCs w:val="30"/>
          <w:rtl w:val="0"/>
        </w:rPr>
        <w:t xml:space="preserve">The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Build a polished end-to-end interface. Submitted projects will be evaluated on both the quality of the generated plan and the quality of the experience.</w:t>
      </w:r>
    </w:p>
    <w:p w:rsidR="00000000" w:rsidDel="00000000" w:rsidP="00000000" w:rsidRDefault="00000000" w:rsidRPr="00000000" w14:paraId="00000032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The UI should make it easy to: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a scientific question in plain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See the literature QC result clearly before the plan is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 and navigate the full experiment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the budget, timeline, and materials 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1900f7" w:space="4" w:sz="8" w:val="single"/>
        </w:pBdr>
        <w:spacing w:after="180" w:before="440" w:line="300" w:lineRule="auto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d1b3e"/>
          <w:sz w:val="30"/>
          <w:szCs w:val="30"/>
          <w:rtl w:val="0"/>
        </w:rPr>
        <w:t xml:space="preserve">Stretch Goal: Scientist Review — Closing the Learning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This is the hardest challenge in the brief, and the one with the highest ceiling.</w:t>
      </w:r>
    </w:p>
    <w:p w:rsidR="00000000" w:rsidDel="00000000" w:rsidP="00000000" w:rsidRDefault="00000000" w:rsidRPr="00000000" w14:paraId="00000039">
      <w:pPr>
        <w:spacing w:before="160" w:line="300" w:lineRule="auto"/>
        <w:rPr/>
      </w:pPr>
      <w:r w:rsidDel="00000000" w:rsidR="00000000" w:rsidRPr="00000000">
        <w:rPr>
          <w:b w:val="1"/>
          <w:bCs w:val="1"/>
          <w:color w:val="0d1b3e"/>
          <w:rtl w:val="0"/>
        </w:rPr>
        <w:t xml:space="preserve">The core idea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every time a scientist reviews and corrects a generated plan, that feedback becomes a training signal. Over time, the system gets better at generating plans for similar experiment types — learning from expert knowledge rather than just retrieving it.</w:t>
      </w:r>
    </w:p>
    <w:p w:rsidR="00000000" w:rsidDel="00000000" w:rsidP="00000000" w:rsidRDefault="00000000" w:rsidRPr="00000000" w14:paraId="0000003A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What this looks like in practice: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structured review interface where a scientist can rate, correct, and annotate sections of the plan — protocol steps, reagent choices, budget lines, timeline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feedback store that captures corrections in structured form, tagged by experiment type and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generation layer that incorporates prior feedback when producing new plans of a similar type — at minimum as few-shot examples, at best as a lightweight fine-tuning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The demo that wins this stretch goal is one where a judge can watch the system generate a plan, a scientist leave structured corrections, and the next plan for a similar experiment visibly reflect those corrections — without being explicitly re-prompted.</w:t>
      </w:r>
    </w:p>
    <w:p w:rsidR="00000000" w:rsidDel="00000000" w:rsidP="00000000" w:rsidRDefault="00000000" w:rsidRPr="00000000" w14:paraId="0000003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900f7" w:space="0" w:sz="22" w:val="single"/>
              <w:bottom w:color="dddddd" w:space="0" w:sz="4" w:val="single"/>
              <w:right w:color="dddddd" w:space="0" w:sz="4" w:val="single"/>
            </w:tcBorders>
            <w:shd w:fill="eef0ff" w:val="clear"/>
            <w:tcMar>
              <w:top w:w="160.0" w:type="dxa"/>
              <w:left w:w="18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0f4761"/>
                <w:sz w:val="16"/>
                <w:szCs w:val="16"/>
                <w:rtl w:val="0"/>
              </w:rPr>
              <w:t xml:space="preserve">Why this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60.0" w:type="dxa"/>
              <w:left w:w="180.0" w:type="dxa"/>
              <w:bottom w:w="1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line="300" w:lineRule="auto"/>
              <w:rPr/>
            </w:pPr>
            <w:r w:rsidDel="00000000" w:rsidR="00000000" w:rsidRPr="00000000">
              <w:rPr>
                <w:color w:val="0d1b3e"/>
                <w:sz w:val="16"/>
                <w:szCs w:val="16"/>
                <w:rtl w:val="0"/>
              </w:rPr>
              <w:t xml:space="preserve">A system that learns from scientist feedback compounds in value over time. Every review makes the next plan better. This is the difference between a tool and a platform.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Bdr>
          <w:bottom w:color="1900f7" w:space="4" w:sz="8" w:val="single"/>
        </w:pBdr>
        <w:spacing w:after="180" w:before="440" w:line="300" w:lineRule="auto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d1b3e"/>
          <w:sz w:val="30"/>
          <w:szCs w:val="30"/>
          <w:rtl w:val="0"/>
        </w:rPr>
        <w:t xml:space="preserve">Sample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Not sure what to test your tool with? Here are four example inputs — each is a real scientific hypothesis written the way a researcher would actually phrase it. Your tool should be able to take any of these and produce a full experiment plan.</w:t>
      </w:r>
    </w:p>
    <w:p w:rsidR="00000000" w:rsidDel="00000000" w:rsidP="00000000" w:rsidRDefault="00000000" w:rsidRPr="00000000" w14:paraId="00000044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Don’t worry if the scientific terminology is unfamiliar — we’ve added plain-English translations for each one.</w:t>
      </w:r>
    </w:p>
    <w:p w:rsidR="00000000" w:rsidDel="00000000" w:rsidP="00000000" w:rsidRDefault="00000000" w:rsidRPr="00000000" w14:paraId="00000045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900f7" w:space="0" w:sz="22" w:val="single"/>
              <w:bottom w:color="dddddd" w:space="0" w:sz="4" w:val="single"/>
              <w:right w:color="dddddd" w:space="0" w:sz="4" w:val="single"/>
            </w:tcBorders>
            <w:shd w:fill="eef0ff" w:val="clear"/>
            <w:tcMar>
              <w:top w:w="160.0" w:type="dxa"/>
              <w:left w:w="18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0f4761"/>
                <w:sz w:val="16"/>
                <w:szCs w:val="16"/>
                <w:rtl w:val="0"/>
              </w:rPr>
              <w:t xml:space="preserve">Diagnostics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spacing w:after="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color w:val="0d1b3e"/>
                <w:sz w:val="16"/>
                <w:szCs w:val="16"/>
                <w:rtl w:val="0"/>
              </w:rPr>
              <w:t xml:space="preserve">A paper-based electrochemical biosensor functionalized with anti-CRP antibodies will detect C-reactive protein in whole blood at concentrations below 0.5 mg/L within 10 minutes, matching laboratory ELISA sensitivity without requiring sample preprocessing.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In plain English: can we build a cheap, fast blood test for inflammation that works without lab equipment?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900f7" w:space="0" w:sz="22" w:val="single"/>
              <w:bottom w:color="dddddd" w:space="0" w:sz="4" w:val="single"/>
              <w:right w:color="dddddd" w:space="0" w:sz="4" w:val="single"/>
            </w:tcBorders>
            <w:shd w:fill="eef0ff" w:val="clear"/>
            <w:tcMar>
              <w:top w:w="160.0" w:type="dxa"/>
              <w:left w:w="18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0f4761"/>
                <w:sz w:val="16"/>
                <w:szCs w:val="16"/>
                <w:rtl w:val="0"/>
              </w:rPr>
              <w:t xml:space="preserve">Gut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after="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color w:val="0d1b3e"/>
                <w:sz w:val="16"/>
                <w:szCs w:val="16"/>
                <w:rtl w:val="0"/>
              </w:rPr>
              <w:t xml:space="preserve">Supplementing C57BL/6 mice with Lactobacillus rhamnosus GG for 4 weeks will reduce intestinal permeability by at least 30% compared to controls, measured by FITC-dextran assay, due to upregulation of tight junction proteins claudin-1 and occludin.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In plain English: does a specific probiotic measurably strengthen the gut lining in mice?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900f7" w:space="0" w:sz="22" w:val="single"/>
              <w:bottom w:color="dddddd" w:space="0" w:sz="4" w:val="single"/>
              <w:right w:color="dddddd" w:space="0" w:sz="4" w:val="single"/>
            </w:tcBorders>
            <w:shd w:fill="eef0ff" w:val="clear"/>
            <w:tcMar>
              <w:top w:w="160.0" w:type="dxa"/>
              <w:left w:w="18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0f4761"/>
                <w:sz w:val="16"/>
                <w:szCs w:val="16"/>
                <w:rtl w:val="0"/>
              </w:rPr>
              <w:t xml:space="preserve">Cell Biology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after="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color w:val="0d1b3e"/>
                <w:sz w:val="16"/>
                <w:szCs w:val="16"/>
                <w:rtl w:val="0"/>
              </w:rPr>
              <w:t xml:space="preserve">Replacing sucrose with trehalose as a cryoprotectant in the freezing medium will increase post-thaw viability of HeLa cells by at least 15 percentage points compared to the standard DMSO protocol, due to trehalose’s superior membrane stabilization at low temperatures.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In plain English: can we keep more cells alive when freezing them by swapping one preservative for another?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900f7" w:space="0" w:sz="22" w:val="single"/>
              <w:bottom w:color="dddddd" w:space="0" w:sz="4" w:val="single"/>
              <w:right w:color="dddddd" w:space="0" w:sz="4" w:val="single"/>
            </w:tcBorders>
            <w:shd w:fill="eef0ff" w:val="clear"/>
            <w:tcMar>
              <w:top w:w="160.0" w:type="dxa"/>
              <w:left w:w="18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0f4761"/>
                <w:sz w:val="16"/>
                <w:szCs w:val="16"/>
                <w:rtl w:val="0"/>
              </w:rPr>
              <w:t xml:space="preserve">Climate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after="8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76552975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d1b3e"/>
                    <w:sz w:val="16"/>
                    <w:szCs w:val="16"/>
                    <w:rtl w:val="0"/>
                  </w:rPr>
                  <w:t xml:space="preserve">Introducing Sporomusa ovata into a bioelectrochemical system at a cathode potential of −400mV vs SHE will fix CO₂ into acetate at a rate of at least 150 mmol/L/day, outperforming current biocatalytic carbon capture benchmarks by at least 20%.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In plain English: can a specific microbe be used to convert CO₂ into a useful chemical compound more efficiently than current methods?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900f7" w:space="0" w:sz="22" w:val="single"/>
              <w:bottom w:color="dddddd" w:space="0" w:sz="4" w:val="single"/>
              <w:right w:color="dddddd" w:space="0" w:sz="4" w:val="single"/>
            </w:tcBorders>
            <w:shd w:fill="eef0ff" w:val="clear"/>
            <w:tcMar>
              <w:top w:w="160.0" w:type="dxa"/>
              <w:left w:w="18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0f4761"/>
                <w:sz w:val="16"/>
                <w:szCs w:val="16"/>
                <w:rtl w:val="0"/>
              </w:rPr>
              <w:t xml:space="preserve">What makes these strong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60.0" w:type="dxa"/>
              <w:left w:w="180.0" w:type="dxa"/>
              <w:bottom w:w="16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line="300" w:lineRule="auto"/>
              <w:rPr/>
            </w:pPr>
            <w:r w:rsidDel="00000000" w:rsidR="00000000" w:rsidRPr="00000000">
              <w:rPr>
                <w:color w:val="0d1b3e"/>
                <w:sz w:val="16"/>
                <w:szCs w:val="16"/>
                <w:rtl w:val="0"/>
              </w:rPr>
              <w:t xml:space="preserve">Each hypothesis names a specific intervention, states a measurable outcome with a threshold, gives a mechanistic reason, and implies a clear control condition. "AI will improve drug discovery" is a goal, not a hypothesis.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Bdr>
          <w:bottom w:color="1900f7" w:space="4" w:sz="8" w:val="single"/>
        </w:pBdr>
        <w:spacing w:after="180" w:before="440" w:line="300" w:lineRule="auto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d1b3e"/>
          <w:sz w:val="30"/>
          <w:szCs w:val="30"/>
          <w:rtl w:val="0"/>
        </w:rPr>
        <w:t xml:space="preserve">Hints and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320" w:line="300" w:lineRule="auto"/>
        <w:rPr/>
      </w:pPr>
      <w:r w:rsidDel="00000000" w:rsidR="00000000" w:rsidRPr="00000000">
        <w:rPr>
          <w:b w:val="1"/>
          <w:bCs w:val="1"/>
          <w:color w:val="0d1b3e"/>
          <w:sz w:val="22"/>
          <w:szCs w:val="22"/>
          <w:rtl w:val="0"/>
        </w:rPr>
        <w:t xml:space="preserve">Protocol Repositories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80" w:lineRule="auto"/>
        <w:ind w:left="720" w:hanging="360"/>
        <w:rPr>
          <w:color w:val="000000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protocols.io</w:t>
        </w:r>
      </w:hyperlink>
      <w:r w:rsidDel="00000000" w:rsidR="00000000" w:rsidRPr="00000000">
        <w:rPr>
          <w:rtl w:val="0"/>
        </w:rPr>
        <w:t xml:space="preserve">: largest active repository, structured format: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protocols.io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8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Bio-protocol: peer-reviewed, linked to papers: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bio-protocol.org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8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Nature Protocols: premium detail: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nature.com/nprot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8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JOVE: video protocols with written transcripts: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jove.com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8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OpenWetWare: community protocols: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openwetware.org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320" w:line="300" w:lineRule="auto"/>
        <w:rPr/>
      </w:pPr>
      <w:r w:rsidDel="00000000" w:rsidR="00000000" w:rsidRPr="00000000">
        <w:rPr>
          <w:b w:val="1"/>
          <w:bCs w:val="1"/>
          <w:color w:val="0d1b3e"/>
          <w:sz w:val="22"/>
          <w:szCs w:val="22"/>
          <w:rtl w:val="0"/>
        </w:rPr>
        <w:t xml:space="preserve">Supplier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8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Thermo Fisher application notes: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thermofisher.com/us/en/home/technical-resources/application-notes.html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8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Sigma-Aldrich technical bulletins: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sigmaaldrich.com/US/en/technical-documents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8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Promega protocols: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promega.com/resources/protocols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8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Qiagen protocols: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qiagen.com/us/resources/resourcedetail?id=protocols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8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IDT primer design and qPCR: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idtdna.com/pages/tools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0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320" w:line="300" w:lineRule="auto"/>
        <w:rPr/>
      </w:pPr>
      <w:r w:rsidDel="00000000" w:rsidR="00000000" w:rsidRPr="00000000">
        <w:rPr>
          <w:b w:val="1"/>
          <w:bCs w:val="1"/>
          <w:color w:val="0d1b3e"/>
          <w:sz w:val="22"/>
          <w:szCs w:val="22"/>
          <w:rtl w:val="0"/>
        </w:rPr>
        <w:t xml:space="preserve">Reagent and Cell Line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8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ATCC cell line protocols: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atcc.org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8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Addgene cloning and transfection: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addgene.org/protocols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320" w:line="300" w:lineRule="auto"/>
        <w:rPr/>
      </w:pPr>
      <w:r w:rsidDel="00000000" w:rsidR="00000000" w:rsidRPr="00000000">
        <w:rPr>
          <w:b w:val="1"/>
          <w:bCs w:val="1"/>
          <w:color w:val="0d1b3e"/>
          <w:sz w:val="22"/>
          <w:szCs w:val="22"/>
          <w:rtl w:val="0"/>
        </w:rPr>
        <w:t xml:space="preserve">Scientific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MIQE Guidelines for qPCR: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ncbi.nlm.nih.gov/pmc/articles/PMC2737408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60" w:line="3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d1b3e"/>
          <w:rtl w:val="0"/>
        </w:rPr>
        <w:t xml:space="preserve">Contact: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arun@fulcrum.science</w:t>
        </w:r>
      </w:hyperlink>
      <w:r w:rsidDel="00000000" w:rsidR="00000000" w:rsidRPr="00000000">
        <w:rPr>
          <w:rtl w:val="0"/>
        </w:rPr>
        <w:t xml:space="preserve"> /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jonas@fulcrum.science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1900f7" w:space="4" w:sz="8" w:val="single"/>
        </w:pBdr>
        <w:spacing w:after="180" w:before="440" w:line="300" w:lineRule="auto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d1b3e"/>
          <w:sz w:val="30"/>
          <w:szCs w:val="30"/>
          <w:rtl w:val="0"/>
        </w:rPr>
        <w:t xml:space="preserve">What Good Looks 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160"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participant enters: “Can we improve solar cell efficiency by testing alternative materials?”</w:t>
      </w:r>
    </w:p>
    <w:p w:rsidR="00000000" w:rsidDel="00000000" w:rsidP="00000000" w:rsidRDefault="00000000" w:rsidRPr="00000000" w14:paraId="0000006B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The tool checks whether this protocol exists, surfaces 2 prior papers, flags it as “similar work exists”, then generates a full plan: a 6-step synthesis protocol grounded in protocols.io, a materials list with catalog numbers and a £12,000 budget estimate, and a 10-week timeline.</w:t>
      </w:r>
    </w:p>
    <w:p w:rsidR="00000000" w:rsidDel="00000000" w:rsidP="00000000" w:rsidRDefault="00000000" w:rsidRPr="00000000" w14:paraId="0000006C">
      <w:pPr>
        <w:spacing w:before="160" w:line="300" w:lineRule="auto"/>
        <w:rPr/>
      </w:pPr>
      <w:r w:rsidDel="00000000" w:rsidR="00000000" w:rsidRPr="00000000">
        <w:rPr>
          <w:rtl w:val="0"/>
        </w:rPr>
        <w:t xml:space="preserve">That is the bar. Build something a real scientist would want to use.</w:t>
      </w:r>
    </w:p>
    <w:p w:rsidR="00000000" w:rsidDel="00000000" w:rsidP="00000000" w:rsidRDefault="00000000" w:rsidRPr="00000000" w14:paraId="0000006D">
      <w:pPr>
        <w:spacing w:before="160" w:line="300" w:lineRule="auto"/>
        <w:rPr/>
      </w:pPr>
      <w:r w:rsidDel="00000000" w:rsidR="00000000" w:rsidRPr="00000000">
        <w:rPr>
          <w:rtl w:val="0"/>
        </w:rPr>
      </w:r>
    </w:p>
    <w:sectPr>
      <w:headerReference r:id="rId28" w:type="default"/>
      <w:footerReference r:id="rId29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color="cccccc" w:space="4" w:sz="4" w:val="single"/>
      </w:pBdr>
      <w:jc w:val="center"/>
      <w:rPr/>
    </w:pPr>
    <w:r w:rsidDel="00000000" w:rsidR="00000000" w:rsidRPr="00000000">
      <w:rPr>
        <w:color w:val="6b7280"/>
        <w:sz w:val="17"/>
        <w:szCs w:val="17"/>
        <w:rtl w:val="0"/>
      </w:rPr>
      <w:t xml:space="preserve">Hack-Nation × World Bank Youth Summit  ·  Global AI Hackathon 2026  ·  Page </w:t>
    </w:r>
    <w:r w:rsidDel="00000000" w:rsidR="00000000" w:rsidRPr="00000000"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bottom w:color="1900f7" w:space="0" w:sz="4" w:val="single"/>
      </w:tblBorders>
      <w:tblLayout w:type="fixed"/>
      <w:tblLook w:val="0400"/>
    </w:tblPr>
    <w:tblGrid>
      <w:gridCol w:w="1160"/>
      <w:gridCol w:w="6706"/>
      <w:gridCol w:w="1160"/>
      <w:tblGridChange w:id="0">
        <w:tblGrid>
          <w:gridCol w:w="1160"/>
          <w:gridCol w:w="6706"/>
          <w:gridCol w:w="1160"/>
        </w:tblGrid>
      </w:tblGridChange>
    </w:tblGrid>
    <w:tr>
      <w:trPr>
        <w:cantSplit w:val="0"/>
        <w:tblHeader w:val="0"/>
      </w:trPr>
      <w:tc>
        <w:tcPr>
          <w:tcMar>
            <w:top w:w="40.0" w:type="dxa"/>
            <w:left w:w="0.0" w:type="dxa"/>
            <w:bottom w:w="100.0" w:type="dxa"/>
            <w:right w:w="80.0" w:type="dxa"/>
          </w:tcMar>
          <w:vAlign w:val="center"/>
        </w:tcPr>
        <w:p w:rsidR="00000000" w:rsidDel="00000000" w:rsidP="00000000" w:rsidRDefault="00000000" w:rsidRPr="00000000" w14:paraId="00000072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590550" cy="204884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" cy="20488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40.0" w:type="dxa"/>
            <w:left w:w="0.0" w:type="dxa"/>
            <w:bottom w:w="100.0" w:type="dxa"/>
            <w:right w:w="0.0" w:type="dxa"/>
          </w:tcMar>
          <w:vAlign w:val="center"/>
        </w:tcPr>
        <w:p w:rsidR="00000000" w:rsidDel="00000000" w:rsidP="00000000" w:rsidRDefault="00000000" w:rsidRPr="00000000" w14:paraId="00000073">
          <w:pPr>
            <w:jc w:val="center"/>
            <w:rPr/>
          </w:pPr>
          <w:r w:rsidDel="00000000" w:rsidR="00000000" w:rsidRPr="00000000">
            <w:rPr>
              <w:b w:val="1"/>
              <w:bCs w:val="1"/>
              <w:color w:val="6b7280"/>
              <w:sz w:val="17"/>
              <w:szCs w:val="17"/>
              <w:rtl w:val="0"/>
            </w:rPr>
            <w:t xml:space="preserve">THE AI SCIENTIST  ·  FULCRUM × Hack-Nation  ·  Challenge Brief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40.0" w:type="dxa"/>
            <w:left w:w="80.0" w:type="dxa"/>
            <w:bottom w:w="100.0" w:type="dxa"/>
            <w:right w:w="0.0" w:type="dxa"/>
          </w:tcMar>
          <w:vAlign w:val="center"/>
        </w:tcPr>
        <w:p w:rsidR="00000000" w:rsidDel="00000000" w:rsidP="00000000" w:rsidRDefault="00000000" w:rsidRPr="00000000" w14:paraId="00000074">
          <w:pPr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400960" cy="161100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960" cy="161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color w:val="0d1b3e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romega.com/resources/protocols" TargetMode="External"/><Relationship Id="rId22" Type="http://schemas.openxmlformats.org/officeDocument/2006/relationships/hyperlink" Target="https://www.idtdna.com/pages/tools" TargetMode="External"/><Relationship Id="rId21" Type="http://schemas.openxmlformats.org/officeDocument/2006/relationships/hyperlink" Target="https://www.qiagen.com/us/resources/resourcedetail?id=protocols" TargetMode="External"/><Relationship Id="rId24" Type="http://schemas.openxmlformats.org/officeDocument/2006/relationships/hyperlink" Target="https://www.addgene.org/protocols" TargetMode="External"/><Relationship Id="rId23" Type="http://schemas.openxmlformats.org/officeDocument/2006/relationships/hyperlink" Target="https://www.atcc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hyperlink" Target="mailto:arun@fulcrum.science" TargetMode="External"/><Relationship Id="rId25" Type="http://schemas.openxmlformats.org/officeDocument/2006/relationships/hyperlink" Target="https://www.ncbi.nlm.nih.gov/pmc/articles/PMC2737408/" TargetMode="External"/><Relationship Id="rId28" Type="http://schemas.openxmlformats.org/officeDocument/2006/relationships/header" Target="header4.xml"/><Relationship Id="rId27" Type="http://schemas.openxmlformats.org/officeDocument/2006/relationships/hyperlink" Target="mailto:jonas@fulcrum.scienc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hyperlink" Target="https://www.protocols.io" TargetMode="External"/><Relationship Id="rId12" Type="http://schemas.openxmlformats.org/officeDocument/2006/relationships/hyperlink" Target="http://protocols.io" TargetMode="External"/><Relationship Id="rId15" Type="http://schemas.openxmlformats.org/officeDocument/2006/relationships/hyperlink" Target="https://www.nature.com/nprot" TargetMode="External"/><Relationship Id="rId14" Type="http://schemas.openxmlformats.org/officeDocument/2006/relationships/hyperlink" Target="https://bio-protocol.org" TargetMode="External"/><Relationship Id="rId17" Type="http://schemas.openxmlformats.org/officeDocument/2006/relationships/hyperlink" Target="https://openwetware.org" TargetMode="External"/><Relationship Id="rId16" Type="http://schemas.openxmlformats.org/officeDocument/2006/relationships/hyperlink" Target="https://www.jove.com" TargetMode="External"/><Relationship Id="rId19" Type="http://schemas.openxmlformats.org/officeDocument/2006/relationships/hyperlink" Target="https://www.sigmaaldrich.com/US/en/technical-documents" TargetMode="External"/><Relationship Id="rId18" Type="http://schemas.openxmlformats.org/officeDocument/2006/relationships/hyperlink" Target="https://www.thermofisher.com/us/en/home/technical-resources/application-note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4iqBAJRXL83ynKijAm71rLc1vQ==">CgMxLjAaHQoBMBIYChYIB0ISEhBBcmlhbCBVbmljb2RlIE1TOAByITFnY2JJQkdVeEtxWmttUDQ4YjhHXzRGMldiSGNUZTIwUg==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