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21D08" w14:textId="77777777" w:rsidR="003B6535" w:rsidRDefault="00000000">
      <w:pPr>
        <w:spacing w:after="60"/>
      </w:pPr>
      <w:r>
        <w:rPr>
          <w:b/>
          <w:bCs/>
          <w:color w:val="595959"/>
        </w:rPr>
        <w:t>FUNCTIONAL NOTE</w:t>
      </w:r>
    </w:p>
    <w:p w14:paraId="2F70AEB3" w14:textId="77777777" w:rsidR="003B6535" w:rsidRDefault="00000000">
      <w:pPr>
        <w:spacing w:after="100"/>
      </w:pPr>
      <w:r>
        <w:rPr>
          <w:b/>
          <w:bCs/>
          <w:color w:val="C00000"/>
          <w:sz w:val="32"/>
          <w:szCs w:val="32"/>
        </w:rPr>
        <w:t>Bank Accounts, Occupancy States &amp; Billing Pipelines During Active Sale</w:t>
      </w:r>
    </w:p>
    <w:p w14:paraId="10EAC6FF" w14:textId="77777777" w:rsidR="003B6535" w:rsidRDefault="00000000">
      <w:pPr>
        <w:pBdr>
          <w:bottom w:val="single" w:sz="6" w:space="6" w:color="CCCCCC"/>
        </w:pBdr>
        <w:spacing w:after="300"/>
      </w:pPr>
      <w:r>
        <w:rPr>
          <w:i/>
          <w:iCs/>
          <w:color w:val="595959"/>
          <w:sz w:val="22"/>
          <w:szCs w:val="22"/>
        </w:rPr>
        <w:t>Lynx Apartments — how ownership changes move a unit's occupancy status, billing pipeline, and bank account routing</w:t>
      </w:r>
    </w:p>
    <w:p w14:paraId="19E0E06F" w14:textId="77777777" w:rsidR="003B6535" w:rsidRDefault="00000000">
      <w:pPr>
        <w:pStyle w:val="Heading1"/>
        <w:pBdr>
          <w:bottom w:val="single" w:sz="8" w:space="4" w:color="C00000"/>
        </w:pBdr>
        <w:spacing w:before="400" w:after="200"/>
      </w:pPr>
      <w:r>
        <w:rPr>
          <w:b/>
          <w:bCs/>
          <w:color w:val="C00000"/>
          <w:sz w:val="30"/>
          <w:szCs w:val="30"/>
        </w:rPr>
        <w:t>1. The Scenario</w:t>
      </w:r>
    </w:p>
    <w:p w14:paraId="630EB3DA" w14:textId="77777777" w:rsidR="003B6535" w:rsidRDefault="00000000">
      <w:pPr>
        <w:spacing w:after="160" w:line="300" w:lineRule="auto"/>
      </w:pPr>
      <w:r>
        <w:rPr>
          <w:color w:val="222222"/>
          <w:sz w:val="22"/>
          <w:szCs w:val="22"/>
        </w:rPr>
        <w:t>Lynx Apartments is a 250-unit building still in active sale. At any point in time, its units split into two populations: units still owned by the Developer, and units already sold to individual owners. This split is not fixed — every completed sale moves a unit from one side to the other — and each move has direct consequences for occupancy status, the billing pipeline, and which bank account money is routed to.</w:t>
      </w:r>
    </w:p>
    <w:p w14:paraId="46168E82" w14:textId="77777777" w:rsidR="003B6535" w:rsidRDefault="00000000">
      <w:pPr>
        <w:pStyle w:val="Heading1"/>
        <w:pBdr>
          <w:bottom w:val="single" w:sz="8" w:space="4" w:color="C00000"/>
        </w:pBdr>
        <w:spacing w:before="400" w:after="200"/>
      </w:pPr>
      <w:r>
        <w:rPr>
          <w:b/>
          <w:bCs/>
          <w:color w:val="C00000"/>
          <w:sz w:val="30"/>
          <w:szCs w:val="30"/>
        </w:rPr>
        <w:t>2. Occupancy States</w:t>
      </w:r>
    </w:p>
    <w:p w14:paraId="6A65E2AC" w14:textId="77777777" w:rsidR="003B6535" w:rsidRDefault="00000000">
      <w:pPr>
        <w:spacing w:after="160" w:line="300" w:lineRule="auto"/>
      </w:pPr>
      <w:r>
        <w:rPr>
          <w:color w:val="222222"/>
          <w:sz w:val="22"/>
          <w:szCs w:val="22"/>
        </w:rPr>
        <w:t>A unit's occupancy status needs to reflect who is actually living there, independent of ownership. Four distinct states exist, each carrying different consequences for billing and bank routing: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00"/>
        <w:gridCol w:w="3450"/>
      </w:tblGrid>
      <w:tr w:rsidR="003B6535" w14:paraId="1B5ED540" w14:textId="77777777">
        <w:tblPrEx>
          <w:tblCellMar>
            <w:top w:w="0" w:type="dxa"/>
            <w:bottom w:w="0" w:type="dxa"/>
          </w:tblCellMar>
        </w:tblPrEx>
        <w:trPr>
          <w:tblHeader/>
        </w:trPr>
        <w:tc>
          <w:tcPr>
            <w:tcW w:w="2500" w:type="dxa"/>
            <w:shd w:val="clear" w:color="auto" w:fill="C00000"/>
            <w:tcMar>
              <w:top w:w="100" w:type="dxa"/>
              <w:left w:w="120" w:type="dxa"/>
              <w:bottom w:w="100" w:type="dxa"/>
              <w:right w:w="120" w:type="dxa"/>
            </w:tcMar>
          </w:tcPr>
          <w:p w14:paraId="61B5CB55" w14:textId="77777777" w:rsidR="003B6535" w:rsidRDefault="00000000">
            <w:r>
              <w:rPr>
                <w:b/>
                <w:bCs/>
                <w:color w:val="FFFFFF"/>
              </w:rPr>
              <w:t>State</w:t>
            </w:r>
          </w:p>
        </w:tc>
        <w:tc>
          <w:tcPr>
            <w:tcW w:w="3400" w:type="dxa"/>
            <w:shd w:val="clear" w:color="auto" w:fill="C00000"/>
            <w:tcMar>
              <w:top w:w="100" w:type="dxa"/>
              <w:left w:w="120" w:type="dxa"/>
              <w:bottom w:w="100" w:type="dxa"/>
              <w:right w:w="120" w:type="dxa"/>
            </w:tcMar>
          </w:tcPr>
          <w:p w14:paraId="16465678" w14:textId="77777777" w:rsidR="003B6535" w:rsidRDefault="00000000">
            <w:r>
              <w:rPr>
                <w:b/>
                <w:bCs/>
                <w:color w:val="FFFFFF"/>
              </w:rPr>
              <w:t>Who lives there</w:t>
            </w:r>
          </w:p>
        </w:tc>
        <w:tc>
          <w:tcPr>
            <w:tcW w:w="3450" w:type="dxa"/>
            <w:shd w:val="clear" w:color="auto" w:fill="C00000"/>
            <w:tcMar>
              <w:top w:w="100" w:type="dxa"/>
              <w:left w:w="120" w:type="dxa"/>
              <w:bottom w:w="100" w:type="dxa"/>
              <w:right w:w="120" w:type="dxa"/>
            </w:tcMar>
          </w:tcPr>
          <w:p w14:paraId="23700439" w14:textId="77777777" w:rsidR="003B6535" w:rsidRDefault="00000000">
            <w:r>
              <w:rPr>
                <w:b/>
                <w:bCs/>
                <w:color w:val="FFFFFF"/>
              </w:rPr>
              <w:t>Ownership</w:t>
            </w:r>
          </w:p>
        </w:tc>
      </w:tr>
      <w:tr w:rsidR="003B6535" w14:paraId="75BE68C2" w14:textId="77777777">
        <w:tblPrEx>
          <w:tblCellMar>
            <w:top w:w="0" w:type="dxa"/>
            <w:bottom w:w="0" w:type="dxa"/>
          </w:tblCellMar>
        </w:tblPrEx>
        <w:tc>
          <w:tcPr>
            <w:tcW w:w="2500" w:type="dxa"/>
            <w:shd w:val="clear" w:color="auto" w:fill="FFFFFF"/>
            <w:tcMar>
              <w:top w:w="100" w:type="dxa"/>
              <w:left w:w="120" w:type="dxa"/>
              <w:bottom w:w="100" w:type="dxa"/>
              <w:right w:w="120" w:type="dxa"/>
            </w:tcMar>
          </w:tcPr>
          <w:p w14:paraId="2027CA39" w14:textId="77777777" w:rsidR="003B6535" w:rsidRDefault="00000000">
            <w:r>
              <w:rPr>
                <w:color w:val="222222"/>
                <w:sz w:val="19"/>
                <w:szCs w:val="19"/>
              </w:rPr>
              <w:t>Developer-held, tenanted</w:t>
            </w:r>
          </w:p>
        </w:tc>
        <w:tc>
          <w:tcPr>
            <w:tcW w:w="3400" w:type="dxa"/>
            <w:shd w:val="clear" w:color="auto" w:fill="FFFFFF"/>
            <w:tcMar>
              <w:top w:w="100" w:type="dxa"/>
              <w:left w:w="120" w:type="dxa"/>
              <w:bottom w:w="100" w:type="dxa"/>
              <w:right w:w="120" w:type="dxa"/>
            </w:tcMar>
          </w:tcPr>
          <w:p w14:paraId="3185BB9C" w14:textId="77777777" w:rsidR="003B6535" w:rsidRDefault="00000000">
            <w:r>
              <w:rPr>
                <w:color w:val="222222"/>
                <w:sz w:val="19"/>
                <w:szCs w:val="19"/>
              </w:rPr>
              <w:t>Developer's own tenant</w:t>
            </w:r>
          </w:p>
        </w:tc>
        <w:tc>
          <w:tcPr>
            <w:tcW w:w="3450" w:type="dxa"/>
            <w:shd w:val="clear" w:color="auto" w:fill="FFFFFF"/>
            <w:tcMar>
              <w:top w:w="100" w:type="dxa"/>
              <w:left w:w="120" w:type="dxa"/>
              <w:bottom w:w="100" w:type="dxa"/>
              <w:right w:w="120" w:type="dxa"/>
            </w:tcMar>
          </w:tcPr>
          <w:p w14:paraId="727B0D69" w14:textId="77777777" w:rsidR="003B6535" w:rsidRDefault="00000000">
            <w:r>
              <w:rPr>
                <w:color w:val="222222"/>
                <w:sz w:val="19"/>
                <w:szCs w:val="19"/>
              </w:rPr>
              <w:t>Unsold — Developer</w:t>
            </w:r>
          </w:p>
        </w:tc>
      </w:tr>
      <w:tr w:rsidR="003B6535" w14:paraId="29AE4F76" w14:textId="77777777">
        <w:tblPrEx>
          <w:tblCellMar>
            <w:top w:w="0" w:type="dxa"/>
            <w:bottom w:w="0" w:type="dxa"/>
          </w:tblCellMar>
        </w:tblPrEx>
        <w:tc>
          <w:tcPr>
            <w:tcW w:w="2500" w:type="dxa"/>
            <w:shd w:val="clear" w:color="auto" w:fill="F2F2F2"/>
            <w:tcMar>
              <w:top w:w="100" w:type="dxa"/>
              <w:left w:w="120" w:type="dxa"/>
              <w:bottom w:w="100" w:type="dxa"/>
              <w:right w:w="120" w:type="dxa"/>
            </w:tcMar>
          </w:tcPr>
          <w:p w14:paraId="24C5BECF" w14:textId="77777777" w:rsidR="003B6535" w:rsidRDefault="00000000">
            <w:r>
              <w:rPr>
                <w:color w:val="222222"/>
                <w:sz w:val="19"/>
                <w:szCs w:val="19"/>
              </w:rPr>
              <w:t>Sold, self-occupied</w:t>
            </w:r>
          </w:p>
        </w:tc>
        <w:tc>
          <w:tcPr>
            <w:tcW w:w="3400" w:type="dxa"/>
            <w:shd w:val="clear" w:color="auto" w:fill="F2F2F2"/>
            <w:tcMar>
              <w:top w:w="100" w:type="dxa"/>
              <w:left w:w="120" w:type="dxa"/>
              <w:bottom w:w="100" w:type="dxa"/>
              <w:right w:w="120" w:type="dxa"/>
            </w:tcMar>
          </w:tcPr>
          <w:p w14:paraId="5135C711" w14:textId="77777777" w:rsidR="003B6535" w:rsidRDefault="00000000">
            <w:r>
              <w:rPr>
                <w:color w:val="222222"/>
                <w:sz w:val="19"/>
                <w:szCs w:val="19"/>
              </w:rPr>
              <w:t>The unit owner</w:t>
            </w:r>
          </w:p>
        </w:tc>
        <w:tc>
          <w:tcPr>
            <w:tcW w:w="3450" w:type="dxa"/>
            <w:shd w:val="clear" w:color="auto" w:fill="F2F2F2"/>
            <w:tcMar>
              <w:top w:w="100" w:type="dxa"/>
              <w:left w:w="120" w:type="dxa"/>
              <w:bottom w:w="100" w:type="dxa"/>
              <w:right w:w="120" w:type="dxa"/>
            </w:tcMar>
          </w:tcPr>
          <w:p w14:paraId="1722B60A" w14:textId="77777777" w:rsidR="003B6535" w:rsidRDefault="00000000">
            <w:r>
              <w:rPr>
                <w:color w:val="222222"/>
                <w:sz w:val="19"/>
                <w:szCs w:val="19"/>
              </w:rPr>
              <w:t>Sold — Unit Owner</w:t>
            </w:r>
          </w:p>
        </w:tc>
      </w:tr>
      <w:tr w:rsidR="003B6535" w14:paraId="09F44871" w14:textId="77777777">
        <w:tblPrEx>
          <w:tblCellMar>
            <w:top w:w="0" w:type="dxa"/>
            <w:bottom w:w="0" w:type="dxa"/>
          </w:tblCellMar>
        </w:tblPrEx>
        <w:tc>
          <w:tcPr>
            <w:tcW w:w="2500" w:type="dxa"/>
            <w:shd w:val="clear" w:color="auto" w:fill="FFFFFF"/>
            <w:tcMar>
              <w:top w:w="100" w:type="dxa"/>
              <w:left w:w="120" w:type="dxa"/>
              <w:bottom w:w="100" w:type="dxa"/>
              <w:right w:w="120" w:type="dxa"/>
            </w:tcMar>
          </w:tcPr>
          <w:p w14:paraId="1F2B33B1" w14:textId="77777777" w:rsidR="003B6535" w:rsidRDefault="00000000">
            <w:r>
              <w:rPr>
                <w:color w:val="222222"/>
                <w:sz w:val="19"/>
                <w:szCs w:val="19"/>
              </w:rPr>
              <w:t>Sold, owner's tenant (unmanaged)</w:t>
            </w:r>
          </w:p>
        </w:tc>
        <w:tc>
          <w:tcPr>
            <w:tcW w:w="3400" w:type="dxa"/>
            <w:shd w:val="clear" w:color="auto" w:fill="FFFFFF"/>
            <w:tcMar>
              <w:top w:w="100" w:type="dxa"/>
              <w:left w:w="120" w:type="dxa"/>
              <w:bottom w:w="100" w:type="dxa"/>
              <w:right w:w="120" w:type="dxa"/>
            </w:tcMar>
          </w:tcPr>
          <w:p w14:paraId="576ACE43" w14:textId="77777777" w:rsidR="003B6535" w:rsidRDefault="00000000">
            <w:r>
              <w:rPr>
                <w:color w:val="222222"/>
                <w:sz w:val="19"/>
                <w:szCs w:val="19"/>
              </w:rPr>
              <w:t>Owner's own tenant</w:t>
            </w:r>
          </w:p>
        </w:tc>
        <w:tc>
          <w:tcPr>
            <w:tcW w:w="3450" w:type="dxa"/>
            <w:shd w:val="clear" w:color="auto" w:fill="FFFFFF"/>
            <w:tcMar>
              <w:top w:w="100" w:type="dxa"/>
              <w:left w:w="120" w:type="dxa"/>
              <w:bottom w:w="100" w:type="dxa"/>
              <w:right w:w="120" w:type="dxa"/>
            </w:tcMar>
          </w:tcPr>
          <w:p w14:paraId="3777CCB0" w14:textId="77777777" w:rsidR="003B6535" w:rsidRDefault="00000000">
            <w:r>
              <w:rPr>
                <w:color w:val="222222"/>
                <w:sz w:val="19"/>
                <w:szCs w:val="19"/>
              </w:rPr>
              <w:t>Sold — Unit Owner</w:t>
            </w:r>
          </w:p>
        </w:tc>
      </w:tr>
      <w:tr w:rsidR="003B6535" w14:paraId="37DE875A" w14:textId="77777777">
        <w:tblPrEx>
          <w:tblCellMar>
            <w:top w:w="0" w:type="dxa"/>
            <w:bottom w:w="0" w:type="dxa"/>
          </w:tblCellMar>
        </w:tblPrEx>
        <w:tc>
          <w:tcPr>
            <w:tcW w:w="2500" w:type="dxa"/>
            <w:shd w:val="clear" w:color="auto" w:fill="F2F2F2"/>
            <w:tcMar>
              <w:top w:w="100" w:type="dxa"/>
              <w:left w:w="120" w:type="dxa"/>
              <w:bottom w:w="100" w:type="dxa"/>
              <w:right w:w="120" w:type="dxa"/>
            </w:tcMar>
          </w:tcPr>
          <w:p w14:paraId="7B8BDBFB" w14:textId="77777777" w:rsidR="003B6535" w:rsidRDefault="00000000">
            <w:r>
              <w:rPr>
                <w:color w:val="222222"/>
                <w:sz w:val="19"/>
                <w:szCs w:val="19"/>
              </w:rPr>
              <w:t>Sold, owner's tenant (managed)</w:t>
            </w:r>
          </w:p>
        </w:tc>
        <w:tc>
          <w:tcPr>
            <w:tcW w:w="3400" w:type="dxa"/>
            <w:shd w:val="clear" w:color="auto" w:fill="F2F2F2"/>
            <w:tcMar>
              <w:top w:w="100" w:type="dxa"/>
              <w:left w:w="120" w:type="dxa"/>
              <w:bottom w:w="100" w:type="dxa"/>
              <w:right w:w="120" w:type="dxa"/>
            </w:tcMar>
          </w:tcPr>
          <w:p w14:paraId="3F833095" w14:textId="77777777" w:rsidR="003B6535" w:rsidRDefault="00000000">
            <w:r>
              <w:rPr>
                <w:color w:val="222222"/>
                <w:sz w:val="19"/>
                <w:szCs w:val="19"/>
              </w:rPr>
              <w:t>Owner's own tenant</w:t>
            </w:r>
          </w:p>
        </w:tc>
        <w:tc>
          <w:tcPr>
            <w:tcW w:w="3450" w:type="dxa"/>
            <w:shd w:val="clear" w:color="auto" w:fill="F2F2F2"/>
            <w:tcMar>
              <w:top w:w="100" w:type="dxa"/>
              <w:left w:w="120" w:type="dxa"/>
              <w:bottom w:w="100" w:type="dxa"/>
              <w:right w:w="120" w:type="dxa"/>
            </w:tcMar>
          </w:tcPr>
          <w:p w14:paraId="26EB9C79" w14:textId="77777777" w:rsidR="003B6535" w:rsidRDefault="00000000">
            <w:r>
              <w:rPr>
                <w:color w:val="222222"/>
                <w:sz w:val="19"/>
                <w:szCs w:val="19"/>
              </w:rPr>
              <w:t>Sold — Unit Owner</w:t>
            </w:r>
          </w:p>
        </w:tc>
      </w:tr>
    </w:tbl>
    <w:p w14:paraId="6EFB66C7" w14:textId="77777777" w:rsidR="003B6535" w:rsidRDefault="00000000">
      <w:pPr>
        <w:spacing w:after="160" w:line="300" w:lineRule="auto"/>
      </w:pPr>
      <w:r>
        <w:rPr>
          <w:color w:val="222222"/>
          <w:sz w:val="22"/>
          <w:szCs w:val="22"/>
        </w:rPr>
        <w:t>The last two states involve the same physical situation — a sold unit let out by its owner — but differ in whether the owner has asked the estate manager to collect that tenant's rent on their behalf. That difference is what determines whether rent for that unit passes through the platform at all.</w:t>
      </w:r>
    </w:p>
    <w:p w14:paraId="3DA2CD64" w14:textId="77777777" w:rsidR="003B6535" w:rsidRDefault="00000000">
      <w:pPr>
        <w:pStyle w:val="Heading1"/>
        <w:pBdr>
          <w:bottom w:val="single" w:sz="8" w:space="4" w:color="C00000"/>
        </w:pBdr>
        <w:spacing w:before="400" w:after="200"/>
      </w:pPr>
      <w:r>
        <w:rPr>
          <w:b/>
          <w:bCs/>
          <w:color w:val="C00000"/>
          <w:sz w:val="30"/>
          <w:szCs w:val="30"/>
        </w:rPr>
        <w:t>3. Bank Account Routing</w:t>
      </w:r>
    </w:p>
    <w:p w14:paraId="29AE3ACA" w14:textId="77777777" w:rsidR="003B6535" w:rsidRDefault="00000000">
      <w:pPr>
        <w:spacing w:after="160" w:line="300" w:lineRule="auto"/>
        <w:rPr>
          <w:color w:val="222222"/>
          <w:sz w:val="22"/>
          <w:szCs w:val="22"/>
        </w:rPr>
      </w:pPr>
      <w:r>
        <w:rPr>
          <w:color w:val="222222"/>
          <w:sz w:val="22"/>
          <w:szCs w:val="22"/>
        </w:rPr>
        <w:t>Two charge types are unaffected by which of the four states a unit is in: utilities are always billed to whoever occupies the unit, and once a unit is sold, service charge is always billed to its owner. Rent is the only charge type whose destination account changes with the state:</w:t>
      </w:r>
    </w:p>
    <w:p w14:paraId="23BD497C" w14:textId="77777777" w:rsidR="00B80545" w:rsidRDefault="00B80545">
      <w:pPr>
        <w:spacing w:after="160" w:line="300" w:lineRule="auto"/>
        <w:rPr>
          <w:color w:val="222222"/>
        </w:rPr>
      </w:pPr>
    </w:p>
    <w:p w14:paraId="6032B988" w14:textId="77777777" w:rsidR="00B80545" w:rsidRDefault="00B80545">
      <w:pPr>
        <w:spacing w:after="160" w:line="300" w:lineRule="auto"/>
        <w:rPr>
          <w:color w:val="222222"/>
        </w:rPr>
      </w:pPr>
    </w:p>
    <w:p w14:paraId="67360857" w14:textId="77777777" w:rsidR="00B80545" w:rsidRDefault="00B80545">
      <w:pPr>
        <w:spacing w:after="160" w:line="300" w:lineRule="auto"/>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00"/>
        <w:gridCol w:w="2300"/>
        <w:gridCol w:w="2250"/>
      </w:tblGrid>
      <w:tr w:rsidR="003B6535" w14:paraId="4371BD43" w14:textId="77777777">
        <w:tblPrEx>
          <w:tblCellMar>
            <w:top w:w="0" w:type="dxa"/>
            <w:bottom w:w="0" w:type="dxa"/>
          </w:tblCellMar>
        </w:tblPrEx>
        <w:trPr>
          <w:tblHeader/>
        </w:trPr>
        <w:tc>
          <w:tcPr>
            <w:tcW w:w="2500" w:type="dxa"/>
            <w:shd w:val="clear" w:color="auto" w:fill="C00000"/>
            <w:tcMar>
              <w:top w:w="100" w:type="dxa"/>
              <w:left w:w="120" w:type="dxa"/>
              <w:bottom w:w="100" w:type="dxa"/>
              <w:right w:w="120" w:type="dxa"/>
            </w:tcMar>
          </w:tcPr>
          <w:p w14:paraId="1C121979" w14:textId="77777777" w:rsidR="003B6535" w:rsidRDefault="00000000">
            <w:r>
              <w:rPr>
                <w:b/>
                <w:bCs/>
                <w:color w:val="FFFFFF"/>
              </w:rPr>
              <w:lastRenderedPageBreak/>
              <w:t>State</w:t>
            </w:r>
          </w:p>
        </w:tc>
        <w:tc>
          <w:tcPr>
            <w:tcW w:w="2300" w:type="dxa"/>
            <w:shd w:val="clear" w:color="auto" w:fill="C00000"/>
            <w:tcMar>
              <w:top w:w="100" w:type="dxa"/>
              <w:left w:w="120" w:type="dxa"/>
              <w:bottom w:w="100" w:type="dxa"/>
              <w:right w:w="120" w:type="dxa"/>
            </w:tcMar>
          </w:tcPr>
          <w:p w14:paraId="7D67F25F" w14:textId="77777777" w:rsidR="003B6535" w:rsidRDefault="00000000">
            <w:r>
              <w:rPr>
                <w:b/>
                <w:bCs/>
                <w:color w:val="FFFFFF"/>
              </w:rPr>
              <w:t>Utilities account</w:t>
            </w:r>
          </w:p>
        </w:tc>
        <w:tc>
          <w:tcPr>
            <w:tcW w:w="2300" w:type="dxa"/>
            <w:shd w:val="clear" w:color="auto" w:fill="C00000"/>
            <w:tcMar>
              <w:top w:w="100" w:type="dxa"/>
              <w:left w:w="120" w:type="dxa"/>
              <w:bottom w:w="100" w:type="dxa"/>
              <w:right w:w="120" w:type="dxa"/>
            </w:tcMar>
          </w:tcPr>
          <w:p w14:paraId="17CA284A" w14:textId="77777777" w:rsidR="003B6535" w:rsidRDefault="00000000">
            <w:r>
              <w:rPr>
                <w:b/>
                <w:bCs/>
                <w:color w:val="FFFFFF"/>
              </w:rPr>
              <w:t>Service charge account</w:t>
            </w:r>
          </w:p>
        </w:tc>
        <w:tc>
          <w:tcPr>
            <w:tcW w:w="2250" w:type="dxa"/>
            <w:shd w:val="clear" w:color="auto" w:fill="C00000"/>
            <w:tcMar>
              <w:top w:w="100" w:type="dxa"/>
              <w:left w:w="120" w:type="dxa"/>
              <w:bottom w:w="100" w:type="dxa"/>
              <w:right w:w="120" w:type="dxa"/>
            </w:tcMar>
          </w:tcPr>
          <w:p w14:paraId="41786970" w14:textId="77777777" w:rsidR="003B6535" w:rsidRDefault="00000000">
            <w:r>
              <w:rPr>
                <w:b/>
                <w:bCs/>
                <w:color w:val="FFFFFF"/>
              </w:rPr>
              <w:t>Rent account</w:t>
            </w:r>
          </w:p>
        </w:tc>
      </w:tr>
      <w:tr w:rsidR="003B6535" w14:paraId="024102CF" w14:textId="77777777">
        <w:tblPrEx>
          <w:tblCellMar>
            <w:top w:w="0" w:type="dxa"/>
            <w:bottom w:w="0" w:type="dxa"/>
          </w:tblCellMar>
        </w:tblPrEx>
        <w:tc>
          <w:tcPr>
            <w:tcW w:w="2500" w:type="dxa"/>
            <w:shd w:val="clear" w:color="auto" w:fill="FFFFFF"/>
            <w:tcMar>
              <w:top w:w="100" w:type="dxa"/>
              <w:left w:w="120" w:type="dxa"/>
              <w:bottom w:w="100" w:type="dxa"/>
              <w:right w:w="120" w:type="dxa"/>
            </w:tcMar>
          </w:tcPr>
          <w:p w14:paraId="7D76896E" w14:textId="77777777" w:rsidR="003B6535" w:rsidRDefault="00000000">
            <w:r>
              <w:rPr>
                <w:color w:val="222222"/>
                <w:sz w:val="19"/>
                <w:szCs w:val="19"/>
              </w:rPr>
              <w:t>Developer-held, tenanted</w:t>
            </w:r>
          </w:p>
        </w:tc>
        <w:tc>
          <w:tcPr>
            <w:tcW w:w="2300" w:type="dxa"/>
            <w:shd w:val="clear" w:color="auto" w:fill="FFFFFF"/>
            <w:tcMar>
              <w:top w:w="100" w:type="dxa"/>
              <w:left w:w="120" w:type="dxa"/>
              <w:bottom w:w="100" w:type="dxa"/>
              <w:right w:w="120" w:type="dxa"/>
            </w:tcMar>
          </w:tcPr>
          <w:p w14:paraId="478335D9" w14:textId="77777777" w:rsidR="003B6535" w:rsidRDefault="00000000">
            <w:r>
              <w:rPr>
                <w:color w:val="222222"/>
                <w:sz w:val="19"/>
                <w:szCs w:val="19"/>
              </w:rPr>
              <w:t>Estate account</w:t>
            </w:r>
          </w:p>
        </w:tc>
        <w:tc>
          <w:tcPr>
            <w:tcW w:w="2300" w:type="dxa"/>
            <w:shd w:val="clear" w:color="auto" w:fill="FFFFFF"/>
            <w:tcMar>
              <w:top w:w="100" w:type="dxa"/>
              <w:left w:w="120" w:type="dxa"/>
              <w:bottom w:w="100" w:type="dxa"/>
              <w:right w:w="120" w:type="dxa"/>
            </w:tcMar>
          </w:tcPr>
          <w:p w14:paraId="0FB5AD76" w14:textId="77777777" w:rsidR="003B6535" w:rsidRDefault="00000000">
            <w:r>
              <w:rPr>
                <w:color w:val="222222"/>
                <w:sz w:val="19"/>
                <w:szCs w:val="19"/>
              </w:rPr>
              <w:t>N/A — not yet sold</w:t>
            </w:r>
          </w:p>
        </w:tc>
        <w:tc>
          <w:tcPr>
            <w:tcW w:w="2250" w:type="dxa"/>
            <w:shd w:val="clear" w:color="auto" w:fill="FFFFFF"/>
            <w:tcMar>
              <w:top w:w="100" w:type="dxa"/>
              <w:left w:w="120" w:type="dxa"/>
              <w:bottom w:w="100" w:type="dxa"/>
              <w:right w:w="120" w:type="dxa"/>
            </w:tcMar>
          </w:tcPr>
          <w:p w14:paraId="47CC435C" w14:textId="77777777" w:rsidR="003B6535" w:rsidRDefault="00000000">
            <w:r>
              <w:rPr>
                <w:color w:val="222222"/>
                <w:sz w:val="19"/>
                <w:szCs w:val="19"/>
              </w:rPr>
              <w:t>Developer's account</w:t>
            </w:r>
          </w:p>
        </w:tc>
      </w:tr>
      <w:tr w:rsidR="003B6535" w14:paraId="43D1A0CD" w14:textId="77777777">
        <w:tblPrEx>
          <w:tblCellMar>
            <w:top w:w="0" w:type="dxa"/>
            <w:bottom w:w="0" w:type="dxa"/>
          </w:tblCellMar>
        </w:tblPrEx>
        <w:tc>
          <w:tcPr>
            <w:tcW w:w="2500" w:type="dxa"/>
            <w:shd w:val="clear" w:color="auto" w:fill="F2F2F2"/>
            <w:tcMar>
              <w:top w:w="100" w:type="dxa"/>
              <w:left w:w="120" w:type="dxa"/>
              <w:bottom w:w="100" w:type="dxa"/>
              <w:right w:w="120" w:type="dxa"/>
            </w:tcMar>
          </w:tcPr>
          <w:p w14:paraId="13155F46" w14:textId="77777777" w:rsidR="003B6535" w:rsidRDefault="00000000">
            <w:r>
              <w:rPr>
                <w:color w:val="222222"/>
                <w:sz w:val="19"/>
                <w:szCs w:val="19"/>
              </w:rPr>
              <w:t>Sold, self-occupied</w:t>
            </w:r>
          </w:p>
        </w:tc>
        <w:tc>
          <w:tcPr>
            <w:tcW w:w="2300" w:type="dxa"/>
            <w:shd w:val="clear" w:color="auto" w:fill="F2F2F2"/>
            <w:tcMar>
              <w:top w:w="100" w:type="dxa"/>
              <w:left w:w="120" w:type="dxa"/>
              <w:bottom w:w="100" w:type="dxa"/>
              <w:right w:w="120" w:type="dxa"/>
            </w:tcMar>
          </w:tcPr>
          <w:p w14:paraId="35F4AA05" w14:textId="77777777" w:rsidR="003B6535" w:rsidRDefault="00000000">
            <w:r>
              <w:rPr>
                <w:color w:val="222222"/>
                <w:sz w:val="19"/>
                <w:szCs w:val="19"/>
              </w:rPr>
              <w:t>Estate account</w:t>
            </w:r>
          </w:p>
        </w:tc>
        <w:tc>
          <w:tcPr>
            <w:tcW w:w="2300" w:type="dxa"/>
            <w:shd w:val="clear" w:color="auto" w:fill="F2F2F2"/>
            <w:tcMar>
              <w:top w:w="100" w:type="dxa"/>
              <w:left w:w="120" w:type="dxa"/>
              <w:bottom w:w="100" w:type="dxa"/>
              <w:right w:w="120" w:type="dxa"/>
            </w:tcMar>
          </w:tcPr>
          <w:p w14:paraId="062B4508" w14:textId="77777777" w:rsidR="003B6535" w:rsidRDefault="00000000">
            <w:r>
              <w:rPr>
                <w:color w:val="222222"/>
                <w:sz w:val="19"/>
                <w:szCs w:val="19"/>
              </w:rPr>
              <w:t>Estate account (owner is payer)</w:t>
            </w:r>
          </w:p>
        </w:tc>
        <w:tc>
          <w:tcPr>
            <w:tcW w:w="2250" w:type="dxa"/>
            <w:shd w:val="clear" w:color="auto" w:fill="F2F2F2"/>
            <w:tcMar>
              <w:top w:w="100" w:type="dxa"/>
              <w:left w:w="120" w:type="dxa"/>
              <w:bottom w:w="100" w:type="dxa"/>
              <w:right w:w="120" w:type="dxa"/>
            </w:tcMar>
          </w:tcPr>
          <w:p w14:paraId="4503F4C2" w14:textId="77777777" w:rsidR="003B6535" w:rsidRDefault="00000000">
            <w:r>
              <w:rPr>
                <w:color w:val="222222"/>
                <w:sz w:val="19"/>
                <w:szCs w:val="19"/>
              </w:rPr>
              <w:t>N/A — no rent</w:t>
            </w:r>
          </w:p>
        </w:tc>
      </w:tr>
      <w:tr w:rsidR="003B6535" w14:paraId="6C498B7C" w14:textId="77777777">
        <w:tblPrEx>
          <w:tblCellMar>
            <w:top w:w="0" w:type="dxa"/>
            <w:bottom w:w="0" w:type="dxa"/>
          </w:tblCellMar>
        </w:tblPrEx>
        <w:tc>
          <w:tcPr>
            <w:tcW w:w="2500" w:type="dxa"/>
            <w:shd w:val="clear" w:color="auto" w:fill="FFFFFF"/>
            <w:tcMar>
              <w:top w:w="100" w:type="dxa"/>
              <w:left w:w="120" w:type="dxa"/>
              <w:bottom w:w="100" w:type="dxa"/>
              <w:right w:w="120" w:type="dxa"/>
            </w:tcMar>
          </w:tcPr>
          <w:p w14:paraId="5C12A8A5" w14:textId="77777777" w:rsidR="003B6535" w:rsidRDefault="00000000">
            <w:r>
              <w:rPr>
                <w:color w:val="222222"/>
                <w:sz w:val="19"/>
                <w:szCs w:val="19"/>
              </w:rPr>
              <w:t>Sold, owner's tenant (unmanaged)</w:t>
            </w:r>
          </w:p>
        </w:tc>
        <w:tc>
          <w:tcPr>
            <w:tcW w:w="2300" w:type="dxa"/>
            <w:shd w:val="clear" w:color="auto" w:fill="FFFFFF"/>
            <w:tcMar>
              <w:top w:w="100" w:type="dxa"/>
              <w:left w:w="120" w:type="dxa"/>
              <w:bottom w:w="100" w:type="dxa"/>
              <w:right w:w="120" w:type="dxa"/>
            </w:tcMar>
          </w:tcPr>
          <w:p w14:paraId="52DCA96B" w14:textId="77777777" w:rsidR="003B6535" w:rsidRDefault="00000000">
            <w:r>
              <w:rPr>
                <w:color w:val="222222"/>
                <w:sz w:val="19"/>
                <w:szCs w:val="19"/>
              </w:rPr>
              <w:t>Estate account</w:t>
            </w:r>
          </w:p>
        </w:tc>
        <w:tc>
          <w:tcPr>
            <w:tcW w:w="2300" w:type="dxa"/>
            <w:shd w:val="clear" w:color="auto" w:fill="FFFFFF"/>
            <w:tcMar>
              <w:top w:w="100" w:type="dxa"/>
              <w:left w:w="120" w:type="dxa"/>
              <w:bottom w:w="100" w:type="dxa"/>
              <w:right w:w="120" w:type="dxa"/>
            </w:tcMar>
          </w:tcPr>
          <w:p w14:paraId="765C41CA" w14:textId="77777777" w:rsidR="003B6535" w:rsidRDefault="00000000">
            <w:r>
              <w:rPr>
                <w:color w:val="222222"/>
                <w:sz w:val="19"/>
                <w:szCs w:val="19"/>
              </w:rPr>
              <w:t>Estate account (owner is payer)</w:t>
            </w:r>
          </w:p>
        </w:tc>
        <w:tc>
          <w:tcPr>
            <w:tcW w:w="2250" w:type="dxa"/>
            <w:shd w:val="clear" w:color="auto" w:fill="FFFFFF"/>
            <w:tcMar>
              <w:top w:w="100" w:type="dxa"/>
              <w:left w:w="120" w:type="dxa"/>
              <w:bottom w:w="100" w:type="dxa"/>
              <w:right w:w="120" w:type="dxa"/>
            </w:tcMar>
          </w:tcPr>
          <w:p w14:paraId="4C54CD01" w14:textId="77777777" w:rsidR="003B6535" w:rsidRDefault="00000000">
            <w:r>
              <w:rPr>
                <w:color w:val="222222"/>
                <w:sz w:val="19"/>
                <w:szCs w:val="19"/>
              </w:rPr>
              <w:t>Owner's own account, arranged privately — outside the platform</w:t>
            </w:r>
          </w:p>
        </w:tc>
      </w:tr>
      <w:tr w:rsidR="003B6535" w14:paraId="2FCBBFB9" w14:textId="77777777">
        <w:tblPrEx>
          <w:tblCellMar>
            <w:top w:w="0" w:type="dxa"/>
            <w:bottom w:w="0" w:type="dxa"/>
          </w:tblCellMar>
        </w:tblPrEx>
        <w:tc>
          <w:tcPr>
            <w:tcW w:w="2500" w:type="dxa"/>
            <w:shd w:val="clear" w:color="auto" w:fill="F2F2F2"/>
            <w:tcMar>
              <w:top w:w="100" w:type="dxa"/>
              <w:left w:w="120" w:type="dxa"/>
              <w:bottom w:w="100" w:type="dxa"/>
              <w:right w:w="120" w:type="dxa"/>
            </w:tcMar>
          </w:tcPr>
          <w:p w14:paraId="5C78F201" w14:textId="77777777" w:rsidR="003B6535" w:rsidRDefault="00000000">
            <w:r>
              <w:rPr>
                <w:color w:val="222222"/>
                <w:sz w:val="19"/>
                <w:szCs w:val="19"/>
              </w:rPr>
              <w:t>Sold, owner's tenant (managed)</w:t>
            </w:r>
          </w:p>
        </w:tc>
        <w:tc>
          <w:tcPr>
            <w:tcW w:w="2300" w:type="dxa"/>
            <w:shd w:val="clear" w:color="auto" w:fill="F2F2F2"/>
            <w:tcMar>
              <w:top w:w="100" w:type="dxa"/>
              <w:left w:w="120" w:type="dxa"/>
              <w:bottom w:w="100" w:type="dxa"/>
              <w:right w:w="120" w:type="dxa"/>
            </w:tcMar>
          </w:tcPr>
          <w:p w14:paraId="26E9082D" w14:textId="77777777" w:rsidR="003B6535" w:rsidRDefault="00000000">
            <w:r>
              <w:rPr>
                <w:color w:val="222222"/>
                <w:sz w:val="19"/>
                <w:szCs w:val="19"/>
              </w:rPr>
              <w:t>Estate account</w:t>
            </w:r>
          </w:p>
        </w:tc>
        <w:tc>
          <w:tcPr>
            <w:tcW w:w="2300" w:type="dxa"/>
            <w:shd w:val="clear" w:color="auto" w:fill="F2F2F2"/>
            <w:tcMar>
              <w:top w:w="100" w:type="dxa"/>
              <w:left w:w="120" w:type="dxa"/>
              <w:bottom w:w="100" w:type="dxa"/>
              <w:right w:w="120" w:type="dxa"/>
            </w:tcMar>
          </w:tcPr>
          <w:p w14:paraId="54EB6AD5" w14:textId="77777777" w:rsidR="003B6535" w:rsidRDefault="00000000">
            <w:r>
              <w:rPr>
                <w:color w:val="222222"/>
                <w:sz w:val="19"/>
                <w:szCs w:val="19"/>
              </w:rPr>
              <w:t>Estate account (owner is payer)</w:t>
            </w:r>
          </w:p>
        </w:tc>
        <w:tc>
          <w:tcPr>
            <w:tcW w:w="2250" w:type="dxa"/>
            <w:shd w:val="clear" w:color="auto" w:fill="F2F2F2"/>
            <w:tcMar>
              <w:top w:w="100" w:type="dxa"/>
              <w:left w:w="120" w:type="dxa"/>
              <w:bottom w:w="100" w:type="dxa"/>
              <w:right w:w="120" w:type="dxa"/>
            </w:tcMar>
          </w:tcPr>
          <w:p w14:paraId="666E47F7" w14:textId="77777777" w:rsidR="003B6535" w:rsidRDefault="00000000">
            <w:r>
              <w:rPr>
                <w:color w:val="222222"/>
                <w:sz w:val="19"/>
                <w:szCs w:val="19"/>
              </w:rPr>
              <w:t>Owner's account, collected through the platform</w:t>
            </w:r>
          </w:p>
        </w:tc>
      </w:tr>
    </w:tbl>
    <w:p w14:paraId="3686F2C0" w14:textId="77777777" w:rsidR="003B6535" w:rsidRDefault="00000000">
      <w:pPr>
        <w:spacing w:after="160" w:line="300" w:lineRule="auto"/>
      </w:pPr>
      <w:r>
        <w:rPr>
          <w:color w:val="222222"/>
          <w:sz w:val="22"/>
          <w:szCs w:val="22"/>
        </w:rPr>
        <w:t>The practical implication for the Payment Gateway module: rent needs its own configurable bank account per unit, separate from the utilities and service charge accounts, and that rent account needs to be re-pointed the moment a unit's state changes — from the Developer's account to the incoming owner's account on sale, and simply switched on or off (without changing the destination) when an owner turns platform rent-collection on or off.</w:t>
      </w:r>
    </w:p>
    <w:p w14:paraId="721B81B8" w14:textId="77777777" w:rsidR="003B6535" w:rsidRDefault="00000000">
      <w:pPr>
        <w:pStyle w:val="Heading1"/>
        <w:pBdr>
          <w:bottom w:val="single" w:sz="8" w:space="4" w:color="C00000"/>
        </w:pBdr>
        <w:spacing w:before="400" w:after="200"/>
      </w:pPr>
      <w:r>
        <w:rPr>
          <w:b/>
          <w:bCs/>
          <w:color w:val="C00000"/>
          <w:sz w:val="30"/>
          <w:szCs w:val="30"/>
        </w:rPr>
        <w:t>4. Impact on Billing Pipelines</w:t>
      </w:r>
    </w:p>
    <w:p w14:paraId="244C651C" w14:textId="77777777" w:rsidR="003B6535" w:rsidRDefault="00000000">
      <w:pPr>
        <w:spacing w:after="160" w:line="300" w:lineRule="auto"/>
      </w:pPr>
      <w:r>
        <w:rPr>
          <w:color w:val="222222"/>
          <w:sz w:val="22"/>
          <w:szCs w:val="22"/>
        </w:rPr>
        <w:t>Two events move a unit between the states above, and each has a distinct effect on the billing pipeline running for that unit:</w:t>
      </w:r>
    </w:p>
    <w:p w14:paraId="21CFA0FD" w14:textId="77777777" w:rsidR="003B6535" w:rsidRDefault="00000000">
      <w:pPr>
        <w:spacing w:after="160" w:line="300" w:lineRule="auto"/>
      </w:pPr>
      <w:r>
        <w:rPr>
          <w:color w:val="222222"/>
          <w:sz w:val="22"/>
          <w:szCs w:val="22"/>
        </w:rPr>
        <w:t>Unit sold — moving a unit from Developer-held to a new Unit Owner should, in the same action: stop the Developer-rent billing cycle for that unit, start a new service charge billing cycle addressed to the incoming owner, and capture whether the incoming owner will self-occupy, bring their own tenant privately, or ask the estate manager to collect that tenant's rent. Utilities billing continues uninterrupted throughout — the occupant billed for utilities does not change simply because ownership changed.</w:t>
      </w:r>
    </w:p>
    <w:p w14:paraId="355FDE21" w14:textId="77777777" w:rsidR="003B6535" w:rsidRDefault="00000000">
      <w:pPr>
        <w:spacing w:after="160" w:line="300" w:lineRule="auto"/>
      </w:pPr>
      <w:r>
        <w:rPr>
          <w:color w:val="222222"/>
          <w:sz w:val="22"/>
          <w:szCs w:val="22"/>
        </w:rPr>
        <w:t>Rent-collection engagement toggled — when an existing owner asks the estate manager to start or stop collecting their tenant's rent, only the rent billing cycle for that unit should be affected: turning it on adds that unit's tenant and rent amount into the platform's billing pipeline for the next cycle; turning it off removes it from that cycle going forward. The unit's occupancy record, its utilities billing, and the owner's service charge billing must continue on their own cycles, entirely unaffected by this toggle.</w:t>
      </w:r>
    </w:p>
    <w:p w14:paraId="39D9781F" w14:textId="77777777" w:rsidR="003B6535" w:rsidRDefault="00000000">
      <w:pPr>
        <w:spacing w:after="160" w:line="300" w:lineRule="auto"/>
        <w:rPr>
          <w:color w:val="222222"/>
          <w:sz w:val="22"/>
          <w:szCs w:val="22"/>
        </w:rPr>
      </w:pPr>
      <w:r>
        <w:rPr>
          <w:color w:val="222222"/>
          <w:sz w:val="22"/>
          <w:szCs w:val="22"/>
        </w:rPr>
        <w:t>In short: a change in ownership always triggers a change in the service charge and rent pipelines together, while a change in rent-collection engagement affects the rent pipeline alone.</w:t>
      </w:r>
    </w:p>
    <w:p w14:paraId="336E64DA" w14:textId="77777777" w:rsidR="00B80545" w:rsidRDefault="00B80545">
      <w:pPr>
        <w:spacing w:after="160" w:line="300" w:lineRule="auto"/>
        <w:rPr>
          <w:color w:val="222222"/>
          <w:sz w:val="22"/>
          <w:szCs w:val="22"/>
        </w:rPr>
      </w:pPr>
    </w:p>
    <w:p w14:paraId="3646C8F0" w14:textId="77777777" w:rsidR="00B80545" w:rsidRDefault="00B80545">
      <w:pPr>
        <w:spacing w:after="160" w:line="300" w:lineRule="auto"/>
        <w:rPr>
          <w:color w:val="222222"/>
          <w:sz w:val="22"/>
          <w:szCs w:val="22"/>
        </w:rPr>
      </w:pPr>
    </w:p>
    <w:p w14:paraId="52473080" w14:textId="77777777" w:rsidR="00B80545" w:rsidRDefault="00B80545">
      <w:pPr>
        <w:spacing w:after="160" w:line="300" w:lineRule="auto"/>
        <w:rPr>
          <w:color w:val="222222"/>
          <w:sz w:val="22"/>
          <w:szCs w:val="22"/>
        </w:rPr>
      </w:pPr>
    </w:p>
    <w:p w14:paraId="2DB7A4FF" w14:textId="77777777" w:rsidR="00B80545" w:rsidRDefault="00B80545">
      <w:pPr>
        <w:spacing w:after="160" w:line="300" w:lineRule="auto"/>
      </w:pPr>
    </w:p>
    <w:p w14:paraId="66E218D2" w14:textId="77777777" w:rsidR="003B6535" w:rsidRDefault="00000000">
      <w:pPr>
        <w:pStyle w:val="Heading1"/>
        <w:pBdr>
          <w:bottom w:val="single" w:sz="8" w:space="4" w:color="C00000"/>
        </w:pBdr>
        <w:spacing w:before="400" w:after="200"/>
      </w:pPr>
      <w:r>
        <w:rPr>
          <w:b/>
          <w:bCs/>
          <w:color w:val="C00000"/>
          <w:sz w:val="30"/>
          <w:szCs w:val="30"/>
        </w:rPr>
        <w:lastRenderedPageBreak/>
        <w:t>5.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3B6535" w14:paraId="08ED33C6" w14:textId="77777777">
        <w:tblPrEx>
          <w:tblCellMar>
            <w:top w:w="0" w:type="dxa"/>
            <w:bottom w:w="0" w:type="dxa"/>
          </w:tblCellMar>
        </w:tblPrEx>
        <w:trPr>
          <w:tblHeader/>
        </w:trPr>
        <w:tc>
          <w:tcPr>
            <w:tcW w:w="3200" w:type="dxa"/>
            <w:shd w:val="clear" w:color="auto" w:fill="C00000"/>
            <w:tcMar>
              <w:top w:w="100" w:type="dxa"/>
              <w:left w:w="120" w:type="dxa"/>
              <w:bottom w:w="100" w:type="dxa"/>
              <w:right w:w="120" w:type="dxa"/>
            </w:tcMar>
          </w:tcPr>
          <w:p w14:paraId="0ADF2F25" w14:textId="77777777" w:rsidR="003B6535" w:rsidRDefault="00000000">
            <w:r>
              <w:rPr>
                <w:b/>
                <w:bCs/>
                <w:color w:val="FFFFFF"/>
              </w:rPr>
              <w:t>Trigger event</w:t>
            </w:r>
          </w:p>
        </w:tc>
        <w:tc>
          <w:tcPr>
            <w:tcW w:w="6150" w:type="dxa"/>
            <w:shd w:val="clear" w:color="auto" w:fill="C00000"/>
            <w:tcMar>
              <w:top w:w="100" w:type="dxa"/>
              <w:left w:w="120" w:type="dxa"/>
              <w:bottom w:w="100" w:type="dxa"/>
              <w:right w:w="120" w:type="dxa"/>
            </w:tcMar>
          </w:tcPr>
          <w:p w14:paraId="2F2065C6" w14:textId="77777777" w:rsidR="003B6535" w:rsidRDefault="00000000">
            <w:r>
              <w:rPr>
                <w:b/>
                <w:bCs/>
                <w:color w:val="FFFFFF"/>
              </w:rPr>
              <w:t>Effect on billing &amp; bank routing</w:t>
            </w:r>
          </w:p>
        </w:tc>
      </w:tr>
      <w:tr w:rsidR="003B6535" w14:paraId="320BAD57"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0EE7FA6A" w14:textId="77777777" w:rsidR="003B6535" w:rsidRDefault="00000000">
            <w:r>
              <w:rPr>
                <w:color w:val="222222"/>
                <w:sz w:val="19"/>
                <w:szCs w:val="19"/>
              </w:rPr>
              <w:t>Unit sold</w:t>
            </w:r>
          </w:p>
        </w:tc>
        <w:tc>
          <w:tcPr>
            <w:tcW w:w="6150" w:type="dxa"/>
            <w:shd w:val="clear" w:color="auto" w:fill="FFFFFF"/>
            <w:tcMar>
              <w:top w:w="100" w:type="dxa"/>
              <w:left w:w="120" w:type="dxa"/>
              <w:bottom w:w="100" w:type="dxa"/>
              <w:right w:w="120" w:type="dxa"/>
            </w:tcMar>
          </w:tcPr>
          <w:p w14:paraId="747E72EC" w14:textId="77777777" w:rsidR="003B6535" w:rsidRDefault="00000000">
            <w:r>
              <w:rPr>
                <w:color w:val="222222"/>
                <w:sz w:val="19"/>
                <w:szCs w:val="19"/>
              </w:rPr>
              <w:t>Developer-rent pipeline stops; service charge pipeline starts, addressed to the new owner; rent account (if any) re-points to the new owner; utilities pipeline continues unchanged.</w:t>
            </w:r>
          </w:p>
        </w:tc>
      </w:tr>
      <w:tr w:rsidR="003B6535" w14:paraId="7C986B4D"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0505A1C6" w14:textId="77777777" w:rsidR="003B6535" w:rsidRDefault="00000000">
            <w:r>
              <w:rPr>
                <w:color w:val="222222"/>
                <w:sz w:val="19"/>
                <w:szCs w:val="19"/>
              </w:rPr>
              <w:t>Owner enables rent-collection by estate manager</w:t>
            </w:r>
          </w:p>
        </w:tc>
        <w:tc>
          <w:tcPr>
            <w:tcW w:w="6150" w:type="dxa"/>
            <w:shd w:val="clear" w:color="auto" w:fill="F2F2F2"/>
            <w:tcMar>
              <w:top w:w="100" w:type="dxa"/>
              <w:left w:w="120" w:type="dxa"/>
              <w:bottom w:w="100" w:type="dxa"/>
              <w:right w:w="120" w:type="dxa"/>
            </w:tcMar>
          </w:tcPr>
          <w:p w14:paraId="441BE120" w14:textId="77777777" w:rsidR="003B6535" w:rsidRDefault="00000000">
            <w:r>
              <w:rPr>
                <w:color w:val="222222"/>
                <w:sz w:val="19"/>
                <w:szCs w:val="19"/>
              </w:rPr>
              <w:t>Rent pipeline starts for that unit, addressed to the owner's account; service charge and utilities pipelines unaffected.</w:t>
            </w:r>
          </w:p>
        </w:tc>
      </w:tr>
      <w:tr w:rsidR="003B6535" w14:paraId="135617EE"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7E5971A3" w14:textId="77777777" w:rsidR="003B6535" w:rsidRDefault="00000000">
            <w:r>
              <w:rPr>
                <w:color w:val="222222"/>
                <w:sz w:val="19"/>
                <w:szCs w:val="19"/>
              </w:rPr>
              <w:t>Owner disables rent-collection by estate manager</w:t>
            </w:r>
          </w:p>
        </w:tc>
        <w:tc>
          <w:tcPr>
            <w:tcW w:w="6150" w:type="dxa"/>
            <w:shd w:val="clear" w:color="auto" w:fill="FFFFFF"/>
            <w:tcMar>
              <w:top w:w="100" w:type="dxa"/>
              <w:left w:w="120" w:type="dxa"/>
              <w:bottom w:w="100" w:type="dxa"/>
              <w:right w:w="120" w:type="dxa"/>
            </w:tcMar>
          </w:tcPr>
          <w:p w14:paraId="48698668" w14:textId="77777777" w:rsidR="003B6535" w:rsidRDefault="00000000">
            <w:r>
              <w:rPr>
                <w:color w:val="222222"/>
                <w:sz w:val="19"/>
                <w:szCs w:val="19"/>
              </w:rPr>
              <w:t>Rent pipeline stops for that unit; service charge and utilities pipelines unaffected.</w:t>
            </w:r>
          </w:p>
        </w:tc>
      </w:tr>
    </w:tbl>
    <w:p w14:paraId="68E0B843" w14:textId="77777777" w:rsidR="00CD1801" w:rsidRDefault="00CD1801"/>
    <w:sectPr w:rsidR="00CD1801">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557F0"/>
    <w:multiLevelType w:val="hybridMultilevel"/>
    <w:tmpl w:val="9E62B204"/>
    <w:lvl w:ilvl="0" w:tplc="E98C4F76">
      <w:start w:val="1"/>
      <w:numFmt w:val="bullet"/>
      <w:lvlText w:val="●"/>
      <w:lvlJc w:val="left"/>
      <w:pPr>
        <w:ind w:left="720" w:hanging="360"/>
      </w:pPr>
    </w:lvl>
    <w:lvl w:ilvl="1" w:tplc="E3AA7BB2">
      <w:start w:val="1"/>
      <w:numFmt w:val="bullet"/>
      <w:lvlText w:val="○"/>
      <w:lvlJc w:val="left"/>
      <w:pPr>
        <w:ind w:left="1440" w:hanging="360"/>
      </w:pPr>
    </w:lvl>
    <w:lvl w:ilvl="2" w:tplc="BADE44CE">
      <w:start w:val="1"/>
      <w:numFmt w:val="bullet"/>
      <w:lvlText w:val="■"/>
      <w:lvlJc w:val="left"/>
      <w:pPr>
        <w:ind w:left="2160" w:hanging="360"/>
      </w:pPr>
    </w:lvl>
    <w:lvl w:ilvl="3" w:tplc="E6E43F4C">
      <w:start w:val="1"/>
      <w:numFmt w:val="bullet"/>
      <w:lvlText w:val="●"/>
      <w:lvlJc w:val="left"/>
      <w:pPr>
        <w:ind w:left="2880" w:hanging="360"/>
      </w:pPr>
    </w:lvl>
    <w:lvl w:ilvl="4" w:tplc="A9E2D206">
      <w:start w:val="1"/>
      <w:numFmt w:val="bullet"/>
      <w:lvlText w:val="○"/>
      <w:lvlJc w:val="left"/>
      <w:pPr>
        <w:ind w:left="3600" w:hanging="360"/>
      </w:pPr>
    </w:lvl>
    <w:lvl w:ilvl="5" w:tplc="AC14F0CC">
      <w:start w:val="1"/>
      <w:numFmt w:val="bullet"/>
      <w:lvlText w:val="■"/>
      <w:lvlJc w:val="left"/>
      <w:pPr>
        <w:ind w:left="4320" w:hanging="360"/>
      </w:pPr>
    </w:lvl>
    <w:lvl w:ilvl="6" w:tplc="897CF8C4">
      <w:start w:val="1"/>
      <w:numFmt w:val="bullet"/>
      <w:lvlText w:val="●"/>
      <w:lvlJc w:val="left"/>
      <w:pPr>
        <w:ind w:left="5040" w:hanging="360"/>
      </w:pPr>
    </w:lvl>
    <w:lvl w:ilvl="7" w:tplc="3D48550A">
      <w:start w:val="1"/>
      <w:numFmt w:val="bullet"/>
      <w:lvlText w:val="●"/>
      <w:lvlJc w:val="left"/>
      <w:pPr>
        <w:ind w:left="5760" w:hanging="360"/>
      </w:pPr>
    </w:lvl>
    <w:lvl w:ilvl="8" w:tplc="DAB01CEC">
      <w:start w:val="1"/>
      <w:numFmt w:val="bullet"/>
      <w:lvlText w:val="●"/>
      <w:lvlJc w:val="left"/>
      <w:pPr>
        <w:ind w:left="6480" w:hanging="360"/>
      </w:pPr>
    </w:lvl>
  </w:abstractNum>
  <w:num w:numId="1" w16cid:durableId="1774010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535"/>
    <w:rsid w:val="003B6535"/>
    <w:rsid w:val="005F21C9"/>
    <w:rsid w:val="00B80545"/>
    <w:rsid w:val="00CD18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C4851"/>
  <w15:docId w15:val="{654E69F1-A6B9-42C3-ADA3-A2119A97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690</Words>
  <Characters>3936</Characters>
  <Application>Microsoft Office Word</Application>
  <DocSecurity>0</DocSecurity>
  <Lines>32</Lines>
  <Paragraphs>9</Paragraphs>
  <ScaleCrop>false</ScaleCrop>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Albin</cp:lastModifiedBy>
  <cp:revision>2</cp:revision>
  <dcterms:created xsi:type="dcterms:W3CDTF">2026-09-04T20:54:00Z</dcterms:created>
  <dcterms:modified xsi:type="dcterms:W3CDTF">2026-09-04T20:54:00Z</dcterms:modified>
</cp:coreProperties>
</file>