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E42F1" w14:textId="77777777" w:rsidR="00CE2846" w:rsidRPr="00B56583" w:rsidRDefault="00CE2846" w:rsidP="007D308D">
      <w:pPr>
        <w:spacing w:line="240" w:lineRule="auto"/>
        <w:rPr>
          <w:rFonts w:ascii="Times New Roman" w:eastAsia="Times New Roman" w:hAnsi="Times New Roman" w:cs="Times New Roman"/>
          <w:sz w:val="24"/>
          <w:szCs w:val="24"/>
        </w:rPr>
      </w:pPr>
      <w:bookmarkStart w:id="0" w:name="_GoBack"/>
      <w:bookmarkEnd w:id="0"/>
      <w:r w:rsidRPr="00B56583">
        <w:rPr>
          <w:rFonts w:ascii="Times New Roman" w:eastAsia="Times New Roman" w:hAnsi="Times New Roman" w:cs="Times New Roman"/>
          <w:sz w:val="24"/>
          <w:szCs w:val="24"/>
        </w:rPr>
        <w:t xml:space="preserve">July </w:t>
      </w:r>
      <w:r w:rsidR="007A51C4">
        <w:rPr>
          <w:rFonts w:ascii="Times New Roman" w:eastAsia="Times New Roman" w:hAnsi="Times New Roman" w:cs="Times New Roman"/>
          <w:sz w:val="24"/>
          <w:szCs w:val="24"/>
        </w:rPr>
        <w:t>12</w:t>
      </w:r>
      <w:r w:rsidRPr="00B56583">
        <w:rPr>
          <w:rFonts w:ascii="Times New Roman" w:eastAsia="Times New Roman" w:hAnsi="Times New Roman" w:cs="Times New Roman"/>
          <w:sz w:val="24"/>
          <w:szCs w:val="24"/>
        </w:rPr>
        <w:t xml:space="preserve">, 2017 </w:t>
      </w:r>
    </w:p>
    <w:p w14:paraId="4EFAEF97" w14:textId="77777777" w:rsidR="00CE2846" w:rsidRPr="00B56583" w:rsidRDefault="00CE2846" w:rsidP="007D308D">
      <w:pPr>
        <w:spacing w:line="240" w:lineRule="auto"/>
        <w:rPr>
          <w:rFonts w:ascii="Times New Roman" w:eastAsia="Times New Roman" w:hAnsi="Times New Roman" w:cs="Times New Roman"/>
          <w:sz w:val="24"/>
          <w:szCs w:val="24"/>
        </w:rPr>
      </w:pPr>
    </w:p>
    <w:p w14:paraId="0BC65E1B" w14:textId="77777777" w:rsidR="007913CA" w:rsidRPr="00B56583" w:rsidRDefault="00CE2846"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The Honorable Betsy DeVos</w:t>
      </w:r>
    </w:p>
    <w:p w14:paraId="5414FB03" w14:textId="77777777" w:rsidR="00CE2846" w:rsidRPr="00B56583" w:rsidRDefault="00CE2846"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Secretary of Education</w:t>
      </w:r>
    </w:p>
    <w:p w14:paraId="43EE8DB0" w14:textId="77777777" w:rsidR="00CE2846" w:rsidRDefault="00CE2846"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U.S. Department of Education</w:t>
      </w:r>
    </w:p>
    <w:p w14:paraId="31BE6C7C" w14:textId="77777777" w:rsidR="0096327F" w:rsidRPr="00B56583" w:rsidRDefault="0096327F" w:rsidP="007D30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 Maryland Ave. SW</w:t>
      </w:r>
    </w:p>
    <w:p w14:paraId="715498D3" w14:textId="77777777" w:rsidR="00CE2846" w:rsidRPr="00B56583" w:rsidRDefault="00CE2846"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Washington, DC 20202</w:t>
      </w:r>
    </w:p>
    <w:p w14:paraId="5577D74E" w14:textId="77777777" w:rsidR="00CE2846" w:rsidRPr="00B56583" w:rsidRDefault="00CE2846" w:rsidP="007D308D">
      <w:pPr>
        <w:spacing w:line="240" w:lineRule="auto"/>
        <w:rPr>
          <w:rFonts w:ascii="Times New Roman" w:eastAsia="Times New Roman" w:hAnsi="Times New Roman" w:cs="Times New Roman"/>
          <w:sz w:val="24"/>
          <w:szCs w:val="24"/>
        </w:rPr>
      </w:pPr>
    </w:p>
    <w:p w14:paraId="718BA087" w14:textId="77777777" w:rsidR="00CE2846" w:rsidRPr="00B56583" w:rsidRDefault="00CE2846" w:rsidP="007D308D">
      <w:pPr>
        <w:spacing w:line="240" w:lineRule="auto"/>
        <w:ind w:left="720"/>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Re: Docket ID ED-2017-OPE-0076</w:t>
      </w:r>
      <w:r w:rsidR="009802A6" w:rsidRPr="00B56583">
        <w:rPr>
          <w:rFonts w:ascii="Times New Roman" w:eastAsia="Times New Roman" w:hAnsi="Times New Roman" w:cs="Times New Roman"/>
          <w:sz w:val="24"/>
          <w:szCs w:val="24"/>
        </w:rPr>
        <w:t>; Comments on proposed negotiated rulemaking to revise the gainful employment and borrower defense regulations</w:t>
      </w:r>
    </w:p>
    <w:p w14:paraId="149A490A" w14:textId="77777777" w:rsidR="00CE2846" w:rsidRPr="00B56583" w:rsidRDefault="00CE2846" w:rsidP="007D308D">
      <w:pPr>
        <w:spacing w:line="240" w:lineRule="auto"/>
        <w:rPr>
          <w:rFonts w:ascii="Times New Roman" w:eastAsia="Times New Roman" w:hAnsi="Times New Roman" w:cs="Times New Roman"/>
          <w:sz w:val="24"/>
          <w:szCs w:val="24"/>
        </w:rPr>
      </w:pPr>
    </w:p>
    <w:p w14:paraId="7DF0D0FB" w14:textId="77777777" w:rsidR="00CE2846" w:rsidRPr="00B56583" w:rsidRDefault="00CE2846"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Dear Secretary DeVos:</w:t>
      </w:r>
    </w:p>
    <w:p w14:paraId="1A8E30E9" w14:textId="77777777" w:rsidR="007913CA" w:rsidRPr="00B56583" w:rsidRDefault="007913CA" w:rsidP="007D308D">
      <w:pPr>
        <w:spacing w:line="240" w:lineRule="auto"/>
        <w:rPr>
          <w:rFonts w:ascii="Times New Roman" w:eastAsia="Times New Roman" w:hAnsi="Times New Roman" w:cs="Times New Roman"/>
          <w:sz w:val="24"/>
          <w:szCs w:val="24"/>
        </w:rPr>
      </w:pPr>
    </w:p>
    <w:p w14:paraId="5BF71AB5" w14:textId="77777777" w:rsidR="00C303EE" w:rsidRPr="00B56583" w:rsidRDefault="00885357"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 xml:space="preserve">As organizations working on behalf of </w:t>
      </w:r>
      <w:r w:rsidR="00CE2846" w:rsidRPr="00B56583">
        <w:rPr>
          <w:rFonts w:ascii="Times New Roman" w:eastAsia="Times New Roman" w:hAnsi="Times New Roman" w:cs="Times New Roman"/>
          <w:sz w:val="24"/>
          <w:szCs w:val="24"/>
        </w:rPr>
        <w:t>XXXX</w:t>
      </w:r>
      <w:r w:rsidRPr="00B56583">
        <w:rPr>
          <w:rFonts w:ascii="Times New Roman" w:eastAsia="Times New Roman" w:hAnsi="Times New Roman" w:cs="Times New Roman"/>
          <w:sz w:val="24"/>
          <w:szCs w:val="24"/>
        </w:rPr>
        <w:t xml:space="preserve">, </w:t>
      </w:r>
      <w:r w:rsidR="009802A6" w:rsidRPr="00B56583">
        <w:rPr>
          <w:rFonts w:ascii="Times New Roman" w:eastAsia="Times New Roman" w:hAnsi="Times New Roman" w:cs="Times New Roman"/>
          <w:sz w:val="24"/>
          <w:szCs w:val="24"/>
        </w:rPr>
        <w:t>we strongly oppose the delay, dismantling</w:t>
      </w:r>
      <w:r w:rsidR="000527BD">
        <w:rPr>
          <w:rFonts w:ascii="Times New Roman" w:eastAsia="Times New Roman" w:hAnsi="Times New Roman" w:cs="Times New Roman"/>
          <w:sz w:val="24"/>
          <w:szCs w:val="24"/>
        </w:rPr>
        <w:t>,</w:t>
      </w:r>
      <w:r w:rsidR="009802A6" w:rsidRPr="00B56583">
        <w:rPr>
          <w:rFonts w:ascii="Times New Roman" w:eastAsia="Times New Roman" w:hAnsi="Times New Roman" w:cs="Times New Roman"/>
          <w:sz w:val="24"/>
          <w:szCs w:val="24"/>
        </w:rPr>
        <w:t xml:space="preserve"> or weakening of the gainful employment regulations finalized in October 2014 and the “borrower defense to repayment” and college accountability regulations finalized in November 2016. </w:t>
      </w:r>
      <w:r w:rsidR="00C303EE" w:rsidRPr="00B56583">
        <w:rPr>
          <w:rFonts w:ascii="Times New Roman" w:eastAsia="Times New Roman" w:hAnsi="Times New Roman" w:cs="Times New Roman"/>
          <w:sz w:val="24"/>
          <w:szCs w:val="24"/>
        </w:rPr>
        <w:t xml:space="preserve">Students, veterans, and taxpayers have waited far too long already for these critical protections from unmanageable student debt, sudden school closures, and waste, fraud and abuse in higher education. </w:t>
      </w:r>
      <w:r w:rsidR="005700BD">
        <w:rPr>
          <w:rFonts w:ascii="Times New Roman" w:eastAsia="Times New Roman" w:hAnsi="Times New Roman" w:cs="Times New Roman"/>
          <w:sz w:val="24"/>
          <w:szCs w:val="24"/>
        </w:rPr>
        <w:t>Students</w:t>
      </w:r>
      <w:r w:rsidR="005700BD" w:rsidRPr="00B56583">
        <w:rPr>
          <w:rFonts w:ascii="Times New Roman" w:eastAsia="Times New Roman" w:hAnsi="Times New Roman" w:cs="Times New Roman"/>
          <w:sz w:val="24"/>
          <w:szCs w:val="24"/>
        </w:rPr>
        <w:t xml:space="preserve"> </w:t>
      </w:r>
      <w:r w:rsidR="00364EF7">
        <w:rPr>
          <w:rFonts w:ascii="Times New Roman" w:eastAsia="Times New Roman" w:hAnsi="Times New Roman" w:cs="Times New Roman"/>
          <w:sz w:val="24"/>
          <w:szCs w:val="24"/>
        </w:rPr>
        <w:t xml:space="preserve">and taxpayers </w:t>
      </w:r>
      <w:r w:rsidR="00991A29" w:rsidRPr="00B56583">
        <w:rPr>
          <w:rFonts w:ascii="Times New Roman" w:eastAsia="Times New Roman" w:hAnsi="Times New Roman" w:cs="Times New Roman"/>
          <w:sz w:val="24"/>
          <w:szCs w:val="24"/>
        </w:rPr>
        <w:t xml:space="preserve">cannot afford </w:t>
      </w:r>
      <w:r w:rsidR="005700BD">
        <w:rPr>
          <w:rFonts w:ascii="Times New Roman" w:eastAsia="Times New Roman" w:hAnsi="Times New Roman" w:cs="Times New Roman"/>
          <w:sz w:val="24"/>
          <w:szCs w:val="24"/>
        </w:rPr>
        <w:t>a</w:t>
      </w:r>
      <w:r w:rsidR="00991A29" w:rsidRPr="00B56583">
        <w:rPr>
          <w:rFonts w:ascii="Times New Roman" w:eastAsia="Times New Roman" w:hAnsi="Times New Roman" w:cs="Times New Roman"/>
          <w:sz w:val="24"/>
          <w:szCs w:val="24"/>
        </w:rPr>
        <w:t xml:space="preserve"> </w:t>
      </w:r>
      <w:r w:rsidR="00C303EE" w:rsidRPr="00B56583">
        <w:rPr>
          <w:rFonts w:ascii="Times New Roman" w:eastAsia="Times New Roman" w:hAnsi="Times New Roman" w:cs="Times New Roman"/>
          <w:sz w:val="24"/>
          <w:szCs w:val="24"/>
        </w:rPr>
        <w:t xml:space="preserve">“pause” </w:t>
      </w:r>
      <w:r w:rsidR="005700BD">
        <w:rPr>
          <w:rFonts w:ascii="Times New Roman" w:eastAsia="Times New Roman" w:hAnsi="Times New Roman" w:cs="Times New Roman"/>
          <w:sz w:val="24"/>
          <w:szCs w:val="24"/>
        </w:rPr>
        <w:t xml:space="preserve">in </w:t>
      </w:r>
      <w:r w:rsidR="00C303EE" w:rsidRPr="00B56583">
        <w:rPr>
          <w:rFonts w:ascii="Times New Roman" w:eastAsia="Times New Roman" w:hAnsi="Times New Roman" w:cs="Times New Roman"/>
          <w:sz w:val="24"/>
          <w:szCs w:val="24"/>
        </w:rPr>
        <w:t>the Education Department’s progress against fraud and waste.</w:t>
      </w:r>
      <w:r w:rsidR="00991A29" w:rsidRPr="00B56583">
        <w:rPr>
          <w:rFonts w:ascii="Times New Roman" w:eastAsia="Times New Roman" w:hAnsi="Times New Roman" w:cs="Times New Roman"/>
          <w:sz w:val="24"/>
          <w:szCs w:val="24"/>
        </w:rPr>
        <w:t xml:space="preserve"> </w:t>
      </w:r>
    </w:p>
    <w:p w14:paraId="31C87735" w14:textId="77777777" w:rsidR="00C303EE" w:rsidRPr="00B56583" w:rsidRDefault="00C303EE" w:rsidP="007D308D">
      <w:pPr>
        <w:spacing w:line="240" w:lineRule="auto"/>
        <w:rPr>
          <w:rFonts w:ascii="Times New Roman" w:eastAsia="Times New Roman" w:hAnsi="Times New Roman" w:cs="Times New Roman"/>
          <w:sz w:val="24"/>
          <w:szCs w:val="24"/>
        </w:rPr>
      </w:pPr>
    </w:p>
    <w:p w14:paraId="729203D8" w14:textId="77777777" w:rsidR="00484B43" w:rsidRPr="00B56583" w:rsidRDefault="00C303EE" w:rsidP="007D308D">
      <w:pPr>
        <w:spacing w:line="240" w:lineRule="auto"/>
        <w:rPr>
          <w:rFonts w:ascii="Times New Roman" w:eastAsia="Times New Roman" w:hAnsi="Times New Roman" w:cs="Times New Roman"/>
          <w:sz w:val="24"/>
          <w:szCs w:val="24"/>
        </w:rPr>
      </w:pPr>
      <w:r w:rsidRPr="00B56583">
        <w:rPr>
          <w:rFonts w:ascii="Times New Roman" w:hAnsi="Times New Roman" w:cs="Times New Roman"/>
          <w:sz w:val="24"/>
          <w:szCs w:val="24"/>
        </w:rPr>
        <w:t xml:space="preserve">The best way to </w:t>
      </w:r>
      <w:r w:rsidR="007D308D" w:rsidRPr="00B56583">
        <w:rPr>
          <w:rFonts w:ascii="Times New Roman" w:hAnsi="Times New Roman" w:cs="Times New Roman"/>
          <w:sz w:val="24"/>
          <w:szCs w:val="24"/>
        </w:rPr>
        <w:t xml:space="preserve">help Americans obtain quality, affordable career education and training </w:t>
      </w:r>
      <w:r w:rsidRPr="00B56583">
        <w:rPr>
          <w:rFonts w:ascii="Times New Roman" w:hAnsi="Times New Roman" w:cs="Times New Roman"/>
          <w:sz w:val="24"/>
          <w:szCs w:val="24"/>
        </w:rPr>
        <w:t xml:space="preserve">is to </w:t>
      </w:r>
      <w:r w:rsidR="00484B43" w:rsidRPr="00B56583">
        <w:rPr>
          <w:rFonts w:ascii="Times New Roman" w:hAnsi="Times New Roman" w:cs="Times New Roman"/>
          <w:sz w:val="24"/>
          <w:szCs w:val="24"/>
        </w:rPr>
        <w:t>enforce</w:t>
      </w:r>
      <w:r w:rsidRPr="00B56583">
        <w:rPr>
          <w:rFonts w:ascii="Times New Roman" w:hAnsi="Times New Roman" w:cs="Times New Roman"/>
          <w:sz w:val="24"/>
          <w:szCs w:val="24"/>
        </w:rPr>
        <w:t xml:space="preserve"> these and other current rules, not </w:t>
      </w:r>
      <w:r w:rsidR="007D308D" w:rsidRPr="00B56583">
        <w:rPr>
          <w:rFonts w:ascii="Times New Roman" w:hAnsi="Times New Roman" w:cs="Times New Roman"/>
          <w:sz w:val="24"/>
          <w:szCs w:val="24"/>
        </w:rPr>
        <w:t xml:space="preserve">by </w:t>
      </w:r>
      <w:r w:rsidR="00FF3107" w:rsidRPr="00B56583">
        <w:rPr>
          <w:rFonts w:ascii="Times New Roman" w:hAnsi="Times New Roman" w:cs="Times New Roman"/>
          <w:sz w:val="24"/>
          <w:szCs w:val="24"/>
        </w:rPr>
        <w:t xml:space="preserve">delaying, dismantling, or </w:t>
      </w:r>
      <w:r w:rsidRPr="00B56583">
        <w:rPr>
          <w:rFonts w:ascii="Times New Roman" w:hAnsi="Times New Roman" w:cs="Times New Roman"/>
          <w:sz w:val="24"/>
          <w:szCs w:val="24"/>
        </w:rPr>
        <w:t>renegotiating them</w:t>
      </w:r>
      <w:r w:rsidR="00FF3107" w:rsidRPr="00B56583">
        <w:rPr>
          <w:rFonts w:ascii="Times New Roman" w:hAnsi="Times New Roman" w:cs="Times New Roman"/>
          <w:sz w:val="24"/>
          <w:szCs w:val="24"/>
        </w:rPr>
        <w:t xml:space="preserve">. </w:t>
      </w:r>
      <w:r w:rsidR="00484B43" w:rsidRPr="00B56583">
        <w:rPr>
          <w:rFonts w:ascii="Times New Roman" w:eastAsia="Times New Roman" w:hAnsi="Times New Roman" w:cs="Times New Roman"/>
          <w:sz w:val="24"/>
          <w:szCs w:val="24"/>
        </w:rPr>
        <w:t>As</w:t>
      </w:r>
      <w:r w:rsidR="008E6011" w:rsidRPr="00B56583">
        <w:rPr>
          <w:rFonts w:ascii="Times New Roman" w:eastAsia="Times New Roman" w:hAnsi="Times New Roman" w:cs="Times New Roman"/>
          <w:sz w:val="24"/>
          <w:szCs w:val="24"/>
        </w:rPr>
        <w:t xml:space="preserve"> </w:t>
      </w:r>
      <w:hyperlink r:id="rId6" w:history="1">
        <w:r w:rsidR="008E6011" w:rsidRPr="00B56583">
          <w:rPr>
            <w:rStyle w:val="Hyperlink"/>
            <w:rFonts w:ascii="Times New Roman" w:eastAsia="Times New Roman" w:hAnsi="Times New Roman" w:cs="Times New Roman"/>
            <w:sz w:val="24"/>
            <w:szCs w:val="24"/>
          </w:rPr>
          <w:t>20 state attorneys general</w:t>
        </w:r>
      </w:hyperlink>
      <w:r w:rsidR="008E6011" w:rsidRPr="00B56583">
        <w:rPr>
          <w:rFonts w:ascii="Times New Roman" w:eastAsia="Times New Roman" w:hAnsi="Times New Roman" w:cs="Times New Roman"/>
          <w:sz w:val="24"/>
          <w:szCs w:val="24"/>
        </w:rPr>
        <w:t xml:space="preserve"> told</w:t>
      </w:r>
      <w:r w:rsidR="00484B43" w:rsidRPr="00B56583">
        <w:rPr>
          <w:rFonts w:ascii="Times New Roman" w:eastAsia="Times New Roman" w:hAnsi="Times New Roman" w:cs="Times New Roman"/>
          <w:sz w:val="24"/>
          <w:szCs w:val="24"/>
        </w:rPr>
        <w:t xml:space="preserve"> Congress earlier this year, rollbacks of these rules </w:t>
      </w:r>
      <w:r w:rsidR="008E6011" w:rsidRPr="00B56583">
        <w:rPr>
          <w:rFonts w:ascii="Times New Roman" w:eastAsia="Times New Roman" w:hAnsi="Times New Roman" w:cs="Times New Roman"/>
          <w:sz w:val="24"/>
          <w:szCs w:val="24"/>
        </w:rPr>
        <w:t xml:space="preserve">will </w:t>
      </w:r>
      <w:r w:rsidR="00484B43" w:rsidRPr="00B56583">
        <w:rPr>
          <w:rFonts w:ascii="Times New Roman" w:eastAsia="Times New Roman" w:hAnsi="Times New Roman" w:cs="Times New Roman"/>
          <w:sz w:val="24"/>
          <w:szCs w:val="24"/>
        </w:rPr>
        <w:t xml:space="preserve">“signal ‘open season’ on students for the worst actors among for-profit postsecondary schools.” Multiple investigations have revealed that federal taxpayers </w:t>
      </w:r>
      <w:r w:rsidR="007D308D" w:rsidRPr="00B56583">
        <w:rPr>
          <w:rFonts w:ascii="Times New Roman" w:eastAsia="Times New Roman" w:hAnsi="Times New Roman" w:cs="Times New Roman"/>
          <w:sz w:val="24"/>
          <w:szCs w:val="24"/>
        </w:rPr>
        <w:t xml:space="preserve">are </w:t>
      </w:r>
      <w:r w:rsidR="00484B43" w:rsidRPr="00B56583">
        <w:rPr>
          <w:rFonts w:ascii="Times New Roman" w:eastAsia="Times New Roman" w:hAnsi="Times New Roman" w:cs="Times New Roman"/>
          <w:sz w:val="24"/>
          <w:szCs w:val="24"/>
        </w:rPr>
        <w:t>subsidizing schools and programs that consistently leave students and veterans with loans they cannot repay and credentials they cannot use. Some schools have gone so far as to recruit people who are homeless, enroll students without their consent, and use tactics that invoke “pain” and “fear” to pressure students into enrolling.</w:t>
      </w:r>
      <w:r w:rsidR="008E6011" w:rsidRPr="00B56583">
        <w:rPr>
          <w:rFonts w:ascii="Times New Roman" w:eastAsia="Times New Roman" w:hAnsi="Times New Roman" w:cs="Times New Roman"/>
          <w:sz w:val="24"/>
          <w:szCs w:val="24"/>
        </w:rPr>
        <w:t xml:space="preserve"> Such practices have continued in large part because predatory schools, such as ITT Technical Institutes and Corinthian Colleges, vigorously enforce forced arbitration clauses to prevent students from challenging these practices in court.</w:t>
      </w:r>
    </w:p>
    <w:p w14:paraId="66AA5C45" w14:textId="77777777" w:rsidR="00484B43" w:rsidRPr="00B56583" w:rsidRDefault="00484B43" w:rsidP="007D308D">
      <w:pPr>
        <w:spacing w:line="240" w:lineRule="auto"/>
        <w:rPr>
          <w:rFonts w:ascii="Times New Roman" w:eastAsia="Times New Roman" w:hAnsi="Times New Roman" w:cs="Times New Roman"/>
          <w:sz w:val="24"/>
          <w:szCs w:val="24"/>
        </w:rPr>
      </w:pPr>
    </w:p>
    <w:p w14:paraId="30A2A500" w14:textId="77777777" w:rsidR="00761396" w:rsidRPr="00B56583" w:rsidRDefault="00C303EE"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The</w:t>
      </w:r>
      <w:r w:rsidR="00BA32EC" w:rsidRPr="00B56583">
        <w:rPr>
          <w:rFonts w:ascii="Times New Roman" w:eastAsia="Times New Roman" w:hAnsi="Times New Roman" w:cs="Times New Roman"/>
          <w:sz w:val="24"/>
          <w:szCs w:val="24"/>
        </w:rPr>
        <w:t xml:space="preserve"> </w:t>
      </w:r>
      <w:r w:rsidR="000530E8" w:rsidRPr="00B56583">
        <w:rPr>
          <w:rFonts w:ascii="Times New Roman" w:eastAsia="Times New Roman" w:hAnsi="Times New Roman" w:cs="Times New Roman"/>
          <w:sz w:val="24"/>
          <w:szCs w:val="24"/>
        </w:rPr>
        <w:t xml:space="preserve">gainful employment and borrower defense </w:t>
      </w:r>
      <w:r w:rsidR="00BA32EC" w:rsidRPr="00B56583">
        <w:rPr>
          <w:rFonts w:ascii="Times New Roman" w:eastAsia="Times New Roman" w:hAnsi="Times New Roman" w:cs="Times New Roman"/>
          <w:sz w:val="24"/>
          <w:szCs w:val="24"/>
        </w:rPr>
        <w:t>regulations</w:t>
      </w:r>
      <w:r w:rsidRPr="00B56583">
        <w:rPr>
          <w:rFonts w:ascii="Times New Roman" w:eastAsia="Times New Roman" w:hAnsi="Times New Roman" w:cs="Times New Roman"/>
          <w:sz w:val="24"/>
          <w:szCs w:val="24"/>
        </w:rPr>
        <w:t xml:space="preserve"> are the product of extensive expert input</w:t>
      </w:r>
      <w:r w:rsidR="00FF3107" w:rsidRPr="00B56583">
        <w:rPr>
          <w:rFonts w:ascii="Times New Roman" w:eastAsia="Times New Roman" w:hAnsi="Times New Roman" w:cs="Times New Roman"/>
          <w:sz w:val="24"/>
          <w:szCs w:val="24"/>
        </w:rPr>
        <w:t xml:space="preserve"> and analysis</w:t>
      </w:r>
      <w:r w:rsidRPr="00B56583">
        <w:rPr>
          <w:rFonts w:ascii="Times New Roman" w:eastAsia="Times New Roman" w:hAnsi="Times New Roman" w:cs="Times New Roman"/>
          <w:sz w:val="24"/>
          <w:szCs w:val="24"/>
        </w:rPr>
        <w:t>, negotiated rulemaking, and public comment</w:t>
      </w:r>
      <w:r w:rsidR="0054105A" w:rsidRPr="00B56583">
        <w:rPr>
          <w:rFonts w:ascii="Times New Roman" w:eastAsia="Times New Roman" w:hAnsi="Times New Roman" w:cs="Times New Roman"/>
          <w:sz w:val="24"/>
          <w:szCs w:val="24"/>
        </w:rPr>
        <w:t>.</w:t>
      </w:r>
      <w:r w:rsidR="00B57C5D" w:rsidRPr="00B56583">
        <w:rPr>
          <w:rFonts w:ascii="Times New Roman" w:eastAsia="Times New Roman" w:hAnsi="Times New Roman" w:cs="Times New Roman"/>
          <w:sz w:val="24"/>
          <w:szCs w:val="24"/>
        </w:rPr>
        <w:t xml:space="preserve"> </w:t>
      </w:r>
      <w:r w:rsidR="0054105A" w:rsidRPr="00B56583">
        <w:rPr>
          <w:rFonts w:ascii="Times New Roman" w:eastAsia="Times New Roman" w:hAnsi="Times New Roman" w:cs="Times New Roman"/>
          <w:sz w:val="24"/>
          <w:szCs w:val="24"/>
        </w:rPr>
        <w:t xml:space="preserve">Multiple </w:t>
      </w:r>
      <w:hyperlink r:id="rId7" w:history="1">
        <w:r w:rsidR="0054105A" w:rsidRPr="00B56583">
          <w:rPr>
            <w:rStyle w:val="Hyperlink"/>
            <w:rFonts w:ascii="Times New Roman" w:eastAsia="Times New Roman" w:hAnsi="Times New Roman" w:cs="Times New Roman"/>
            <w:sz w:val="24"/>
            <w:szCs w:val="24"/>
          </w:rPr>
          <w:t>public interest organizations</w:t>
        </w:r>
      </w:hyperlink>
      <w:r w:rsidR="0054105A" w:rsidRPr="00B56583">
        <w:rPr>
          <w:rFonts w:ascii="Times New Roman" w:eastAsia="Times New Roman" w:hAnsi="Times New Roman" w:cs="Times New Roman"/>
          <w:sz w:val="24"/>
          <w:szCs w:val="24"/>
        </w:rPr>
        <w:t xml:space="preserve"> are on record strongly supporting </w:t>
      </w:r>
      <w:r w:rsidR="008E6011" w:rsidRPr="00B56583">
        <w:rPr>
          <w:rFonts w:ascii="Times New Roman" w:eastAsia="Times New Roman" w:hAnsi="Times New Roman" w:cs="Times New Roman"/>
          <w:sz w:val="24"/>
          <w:szCs w:val="24"/>
        </w:rPr>
        <w:t xml:space="preserve">them </w:t>
      </w:r>
      <w:r w:rsidR="0054105A" w:rsidRPr="00B56583">
        <w:rPr>
          <w:rFonts w:ascii="Times New Roman" w:eastAsia="Times New Roman" w:hAnsi="Times New Roman" w:cs="Times New Roman"/>
          <w:sz w:val="24"/>
          <w:szCs w:val="24"/>
        </w:rPr>
        <w:t>and their implementation without day</w:t>
      </w:r>
      <w:r w:rsidRPr="00B56583">
        <w:rPr>
          <w:rFonts w:ascii="Times New Roman" w:eastAsia="Times New Roman" w:hAnsi="Times New Roman" w:cs="Times New Roman"/>
          <w:sz w:val="24"/>
          <w:szCs w:val="24"/>
        </w:rPr>
        <w:t xml:space="preserve">. </w:t>
      </w:r>
      <w:hyperlink r:id="rId8" w:history="1">
        <w:r w:rsidR="00484B43" w:rsidRPr="00B56583">
          <w:rPr>
            <w:rStyle w:val="Hyperlink"/>
            <w:rFonts w:ascii="Times New Roman" w:eastAsia="Times New Roman" w:hAnsi="Times New Roman" w:cs="Times New Roman"/>
            <w:sz w:val="24"/>
            <w:szCs w:val="24"/>
          </w:rPr>
          <w:t>Veterans and service member organizations</w:t>
        </w:r>
      </w:hyperlink>
      <w:r w:rsidR="00484B43" w:rsidRPr="00B56583">
        <w:rPr>
          <w:rFonts w:ascii="Times New Roman" w:eastAsia="Times New Roman" w:hAnsi="Times New Roman" w:cs="Times New Roman"/>
          <w:sz w:val="24"/>
          <w:szCs w:val="24"/>
        </w:rPr>
        <w:t xml:space="preserve"> have been particularly outspoken because they,</w:t>
      </w:r>
      <w:r w:rsidR="00F20912">
        <w:rPr>
          <w:rFonts w:ascii="Times New Roman" w:eastAsia="Times New Roman" w:hAnsi="Times New Roman" w:cs="Times New Roman"/>
          <w:sz w:val="24"/>
          <w:szCs w:val="24"/>
        </w:rPr>
        <w:t xml:space="preserve"> along with</w:t>
      </w:r>
      <w:r w:rsidR="00484B43" w:rsidRPr="00B56583">
        <w:rPr>
          <w:rFonts w:ascii="Times New Roman" w:eastAsia="Times New Roman" w:hAnsi="Times New Roman" w:cs="Times New Roman"/>
          <w:sz w:val="24"/>
          <w:szCs w:val="24"/>
        </w:rPr>
        <w:t xml:space="preserve"> students of color and low-income students</w:t>
      </w:r>
      <w:r w:rsidR="00F20912">
        <w:rPr>
          <w:rFonts w:ascii="Times New Roman" w:eastAsia="Times New Roman" w:hAnsi="Times New Roman" w:cs="Times New Roman"/>
          <w:sz w:val="24"/>
          <w:szCs w:val="24"/>
        </w:rPr>
        <w:t>,</w:t>
      </w:r>
      <w:r w:rsidR="00484B43" w:rsidRPr="00B56583">
        <w:rPr>
          <w:rFonts w:ascii="Times New Roman" w:eastAsia="Times New Roman" w:hAnsi="Times New Roman" w:cs="Times New Roman"/>
          <w:sz w:val="24"/>
          <w:szCs w:val="24"/>
        </w:rPr>
        <w:t xml:space="preserve"> have been disproportionately harmed by predatory colleges. </w:t>
      </w:r>
      <w:r w:rsidR="00991A29" w:rsidRPr="00B56583">
        <w:rPr>
          <w:rFonts w:ascii="Times New Roman" w:eastAsia="Times New Roman" w:hAnsi="Times New Roman" w:cs="Times New Roman"/>
          <w:sz w:val="24"/>
          <w:szCs w:val="24"/>
        </w:rPr>
        <w:t>T</w:t>
      </w:r>
      <w:r w:rsidR="00056184" w:rsidRPr="00B56583">
        <w:rPr>
          <w:rFonts w:ascii="Times New Roman" w:eastAsia="Times New Roman" w:hAnsi="Times New Roman" w:cs="Times New Roman"/>
          <w:sz w:val="24"/>
          <w:szCs w:val="24"/>
        </w:rPr>
        <w:t xml:space="preserve">he Department’s intent in reopening these regulations is called into question </w:t>
      </w:r>
      <w:r w:rsidR="00761396" w:rsidRPr="00B56583">
        <w:rPr>
          <w:rFonts w:ascii="Times New Roman" w:eastAsia="Times New Roman" w:hAnsi="Times New Roman" w:cs="Times New Roman"/>
          <w:sz w:val="24"/>
          <w:szCs w:val="24"/>
        </w:rPr>
        <w:t xml:space="preserve">by the </w:t>
      </w:r>
      <w:r w:rsidR="00056184" w:rsidRPr="00B56583">
        <w:rPr>
          <w:rFonts w:ascii="Times New Roman" w:eastAsia="Times New Roman" w:hAnsi="Times New Roman" w:cs="Times New Roman"/>
          <w:sz w:val="24"/>
          <w:szCs w:val="24"/>
        </w:rPr>
        <w:t xml:space="preserve">decision to put in charge of its regulatory review process </w:t>
      </w:r>
      <w:r w:rsidR="00D05364">
        <w:rPr>
          <w:rFonts w:ascii="Times New Roman" w:eastAsia="Times New Roman" w:hAnsi="Times New Roman" w:cs="Times New Roman"/>
          <w:sz w:val="24"/>
          <w:szCs w:val="24"/>
        </w:rPr>
        <w:t>Robert Eitel,</w:t>
      </w:r>
      <w:r w:rsidR="00D05364" w:rsidRPr="00B56583">
        <w:rPr>
          <w:rFonts w:ascii="Times New Roman" w:eastAsia="Times New Roman" w:hAnsi="Times New Roman" w:cs="Times New Roman"/>
          <w:sz w:val="24"/>
          <w:szCs w:val="24"/>
        </w:rPr>
        <w:t xml:space="preserve"> </w:t>
      </w:r>
      <w:r w:rsidR="00056184" w:rsidRPr="00B56583">
        <w:rPr>
          <w:rFonts w:ascii="Times New Roman" w:eastAsia="Times New Roman" w:hAnsi="Times New Roman" w:cs="Times New Roman"/>
          <w:sz w:val="24"/>
          <w:szCs w:val="24"/>
        </w:rPr>
        <w:t xml:space="preserve">who was until three months ago employed by a company under investigation by the Justice Department for violations of the Higher Education Act and that </w:t>
      </w:r>
      <w:r w:rsidR="00CF332A">
        <w:rPr>
          <w:rFonts w:ascii="Times New Roman" w:eastAsia="Times New Roman" w:hAnsi="Times New Roman" w:cs="Times New Roman"/>
          <w:sz w:val="24"/>
          <w:szCs w:val="24"/>
        </w:rPr>
        <w:t xml:space="preserve">has </w:t>
      </w:r>
      <w:proofErr w:type="gramStart"/>
      <w:r w:rsidR="00056184" w:rsidRPr="00B56583">
        <w:rPr>
          <w:rFonts w:ascii="Times New Roman" w:eastAsia="Times New Roman" w:hAnsi="Times New Roman" w:cs="Times New Roman"/>
          <w:sz w:val="24"/>
          <w:szCs w:val="24"/>
        </w:rPr>
        <w:t>told  investors</w:t>
      </w:r>
      <w:proofErr w:type="gramEnd"/>
      <w:r w:rsidR="00056184" w:rsidRPr="00B56583">
        <w:rPr>
          <w:rFonts w:ascii="Times New Roman" w:eastAsia="Times New Roman" w:hAnsi="Times New Roman" w:cs="Times New Roman"/>
          <w:sz w:val="24"/>
          <w:szCs w:val="24"/>
        </w:rPr>
        <w:t xml:space="preserve"> that these regulations could have a “material adverse effect” on the company</w:t>
      </w:r>
      <w:r w:rsidR="00761396" w:rsidRPr="00B56583">
        <w:rPr>
          <w:rFonts w:ascii="Times New Roman" w:eastAsia="Times New Roman" w:hAnsi="Times New Roman" w:cs="Times New Roman"/>
          <w:sz w:val="24"/>
          <w:szCs w:val="24"/>
        </w:rPr>
        <w:t xml:space="preserve">. </w:t>
      </w:r>
    </w:p>
    <w:p w14:paraId="6AA0B3FC" w14:textId="77777777" w:rsidR="00BA32EC" w:rsidRPr="00B56583" w:rsidRDefault="00BA32EC" w:rsidP="007D308D">
      <w:pPr>
        <w:spacing w:line="240" w:lineRule="auto"/>
        <w:rPr>
          <w:rFonts w:ascii="Times New Roman" w:eastAsia="Times New Roman" w:hAnsi="Times New Roman" w:cs="Times New Roman"/>
          <w:sz w:val="24"/>
          <w:szCs w:val="24"/>
        </w:rPr>
      </w:pPr>
    </w:p>
    <w:p w14:paraId="3225B339" w14:textId="77777777" w:rsidR="00714554" w:rsidRPr="00B56583" w:rsidRDefault="00484B43"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b/>
          <w:sz w:val="24"/>
          <w:szCs w:val="24"/>
        </w:rPr>
        <w:t>Gainful Employment.</w:t>
      </w:r>
      <w:r w:rsidRPr="00B56583">
        <w:rPr>
          <w:rFonts w:ascii="Times New Roman" w:eastAsia="Times New Roman" w:hAnsi="Times New Roman" w:cs="Times New Roman"/>
          <w:i/>
          <w:sz w:val="24"/>
          <w:szCs w:val="24"/>
        </w:rPr>
        <w:t xml:space="preserve"> </w:t>
      </w:r>
      <w:r w:rsidR="00714554" w:rsidRPr="00B56583">
        <w:rPr>
          <w:rFonts w:ascii="Times New Roman" w:eastAsia="Times New Roman" w:hAnsi="Times New Roman" w:cs="Times New Roman"/>
          <w:sz w:val="24"/>
          <w:szCs w:val="24"/>
        </w:rPr>
        <w:t xml:space="preserve">The gainful employment regulation enforces the Higher Education Act’s requirement that all career education programs receiving federal student aid “prepare students for gainful employment in a recognized occupation.” This rule requires all career education programs receiving federal funding at public, non-profit and for-profit colleges to provide basic program information to help students decide where to enroll, such as what share of students graduate on time, </w:t>
      </w:r>
      <w:r w:rsidR="00714554" w:rsidRPr="00B56583">
        <w:rPr>
          <w:rFonts w:ascii="Times New Roman" w:eastAsia="Times New Roman" w:hAnsi="Times New Roman" w:cs="Times New Roman"/>
          <w:sz w:val="24"/>
          <w:szCs w:val="24"/>
        </w:rPr>
        <w:lastRenderedPageBreak/>
        <w:t>what share get jobs in the field, and how much graduates typically earn and how much debt they have. It requires the worst-perf</w:t>
      </w:r>
      <w:r w:rsidR="00BB1165">
        <w:rPr>
          <w:rFonts w:ascii="Times New Roman" w:eastAsia="Times New Roman" w:hAnsi="Times New Roman" w:cs="Times New Roman"/>
          <w:sz w:val="24"/>
          <w:szCs w:val="24"/>
        </w:rPr>
        <w:t>orming career training programs</w:t>
      </w:r>
      <w:r w:rsidR="00714554" w:rsidRPr="00B56583">
        <w:rPr>
          <w:rFonts w:ascii="Times New Roman" w:eastAsia="Times New Roman" w:hAnsi="Times New Roman" w:cs="Times New Roman"/>
          <w:sz w:val="24"/>
          <w:szCs w:val="24"/>
        </w:rPr>
        <w:t xml:space="preserve">—those consistently leaving their graduates with more debt than they can repay—to improve or lose eligibility for federal funding. </w:t>
      </w:r>
    </w:p>
    <w:p w14:paraId="6B596207" w14:textId="77777777" w:rsidR="00714554" w:rsidRPr="00B56583" w:rsidRDefault="00714554" w:rsidP="007D308D">
      <w:pPr>
        <w:spacing w:line="240" w:lineRule="auto"/>
        <w:rPr>
          <w:rFonts w:ascii="Times New Roman" w:eastAsia="Times New Roman" w:hAnsi="Times New Roman" w:cs="Times New Roman"/>
          <w:sz w:val="24"/>
          <w:szCs w:val="24"/>
        </w:rPr>
      </w:pPr>
    </w:p>
    <w:p w14:paraId="5F129BF4" w14:textId="77777777" w:rsidR="00714554" w:rsidRPr="00B56583" w:rsidRDefault="00714554"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 xml:space="preserve">The regulation has already had a significant positive impact. The mere threat of sanctions under this rule prompted many colleges to eliminate their worst performing programs, to freeze tuition and implement other reforms to improve outcomes for their graduates. In part due to these reforms, nine in ten colleges with rated gainful employment programs have no failing programs, and even among for-profit colleges eight in ten have </w:t>
      </w:r>
      <w:r w:rsidRPr="00B56583">
        <w:rPr>
          <w:rFonts w:ascii="Times New Roman" w:eastAsia="Times New Roman" w:hAnsi="Times New Roman" w:cs="Times New Roman"/>
          <w:i/>
          <w:sz w:val="24"/>
          <w:szCs w:val="24"/>
        </w:rPr>
        <w:t>no failing</w:t>
      </w:r>
      <w:r w:rsidRPr="00B56583">
        <w:rPr>
          <w:rFonts w:ascii="Times New Roman" w:eastAsia="Times New Roman" w:hAnsi="Times New Roman" w:cs="Times New Roman"/>
          <w:sz w:val="24"/>
          <w:szCs w:val="24"/>
        </w:rPr>
        <w:t xml:space="preserve"> programs. At the same time, the gainful employment rule has uncovered scores of failing programs that taxpayers are </w:t>
      </w:r>
      <w:r w:rsidR="00427F5D" w:rsidRPr="00B56583">
        <w:rPr>
          <w:rFonts w:ascii="Times New Roman" w:eastAsia="Times New Roman" w:hAnsi="Times New Roman" w:cs="Times New Roman"/>
          <w:sz w:val="24"/>
          <w:szCs w:val="24"/>
        </w:rPr>
        <w:t xml:space="preserve">currently subsidizing—programs like the </w:t>
      </w:r>
      <w:r w:rsidRPr="00B56583">
        <w:rPr>
          <w:rFonts w:ascii="Times New Roman" w:eastAsia="Times New Roman" w:hAnsi="Times New Roman" w:cs="Times New Roman"/>
          <w:sz w:val="24"/>
          <w:szCs w:val="24"/>
        </w:rPr>
        <w:t>Art Institute of Fort Lauderdale’s association’s program in video production, which is still actively recruiting new students and charging $44,0</w:t>
      </w:r>
      <w:r w:rsidR="000527BD">
        <w:rPr>
          <w:rFonts w:ascii="Times New Roman" w:eastAsia="Times New Roman" w:hAnsi="Times New Roman" w:cs="Times New Roman"/>
          <w:sz w:val="24"/>
          <w:szCs w:val="24"/>
        </w:rPr>
        <w:t>1</w:t>
      </w:r>
      <w:r w:rsidRPr="00B56583">
        <w:rPr>
          <w:rFonts w:ascii="Times New Roman" w:eastAsia="Times New Roman" w:hAnsi="Times New Roman" w:cs="Times New Roman"/>
          <w:sz w:val="24"/>
          <w:szCs w:val="24"/>
        </w:rPr>
        <w:t xml:space="preserve">0 in tuition and fees despite </w:t>
      </w:r>
      <w:hyperlink r:id="rId9" w:history="1">
        <w:r w:rsidRPr="00B56583">
          <w:rPr>
            <w:rStyle w:val="Hyperlink"/>
            <w:rFonts w:ascii="Times New Roman" w:eastAsia="Times New Roman" w:hAnsi="Times New Roman" w:cs="Times New Roman"/>
            <w:sz w:val="24"/>
            <w:szCs w:val="24"/>
          </w:rPr>
          <w:t>abysmal outcomes</w:t>
        </w:r>
      </w:hyperlink>
      <w:r w:rsidRPr="00B56583">
        <w:rPr>
          <w:rFonts w:ascii="Times New Roman" w:eastAsia="Times New Roman" w:hAnsi="Times New Roman" w:cs="Times New Roman"/>
          <w:sz w:val="24"/>
          <w:szCs w:val="24"/>
        </w:rPr>
        <w:t>,</w:t>
      </w:r>
      <w:hyperlink r:id="rId10">
        <w:r w:rsidRPr="00B56583">
          <w:rPr>
            <w:rFonts w:ascii="Times New Roman" w:eastAsia="Times New Roman" w:hAnsi="Times New Roman" w:cs="Times New Roman"/>
            <w:sz w:val="24"/>
            <w:szCs w:val="24"/>
          </w:rPr>
          <w:t xml:space="preserve"> </w:t>
        </w:r>
      </w:hyperlink>
      <w:r w:rsidRPr="00B56583">
        <w:rPr>
          <w:rFonts w:ascii="Times New Roman" w:eastAsia="Times New Roman" w:hAnsi="Times New Roman" w:cs="Times New Roman"/>
          <w:sz w:val="24"/>
          <w:szCs w:val="24"/>
        </w:rPr>
        <w:t>i</w:t>
      </w:r>
      <w:hyperlink r:id="rId11">
        <w:r w:rsidRPr="00B56583">
          <w:rPr>
            <w:rFonts w:ascii="Times New Roman" w:eastAsia="Times New Roman" w:hAnsi="Times New Roman" w:cs="Times New Roman"/>
            <w:sz w:val="24"/>
            <w:szCs w:val="24"/>
          </w:rPr>
          <w:t>n</w:t>
        </w:r>
      </w:hyperlink>
      <w:r w:rsidRPr="00B56583">
        <w:rPr>
          <w:rFonts w:ascii="Times New Roman" w:eastAsia="Times New Roman" w:hAnsi="Times New Roman" w:cs="Times New Roman"/>
          <w:sz w:val="24"/>
          <w:szCs w:val="24"/>
        </w:rPr>
        <w:t>c</w:t>
      </w:r>
      <w:hyperlink r:id="rId12">
        <w:r w:rsidRPr="00B56583">
          <w:rPr>
            <w:rFonts w:ascii="Times New Roman" w:eastAsia="Times New Roman" w:hAnsi="Times New Roman" w:cs="Times New Roman"/>
            <w:sz w:val="24"/>
            <w:szCs w:val="24"/>
          </w:rPr>
          <w:t>l</w:t>
        </w:r>
      </w:hyperlink>
      <w:r w:rsidRPr="00B56583">
        <w:rPr>
          <w:rFonts w:ascii="Times New Roman" w:eastAsia="Times New Roman" w:hAnsi="Times New Roman" w:cs="Times New Roman"/>
          <w:sz w:val="24"/>
          <w:szCs w:val="24"/>
        </w:rPr>
        <w:t>u</w:t>
      </w:r>
      <w:hyperlink r:id="rId13">
        <w:r w:rsidRPr="00B56583">
          <w:rPr>
            <w:rFonts w:ascii="Times New Roman" w:eastAsia="Times New Roman" w:hAnsi="Times New Roman" w:cs="Times New Roman"/>
            <w:sz w:val="24"/>
            <w:szCs w:val="24"/>
          </w:rPr>
          <w:t>d</w:t>
        </w:r>
      </w:hyperlink>
      <w:r w:rsidRPr="00B56583">
        <w:rPr>
          <w:rFonts w:ascii="Times New Roman" w:eastAsia="Times New Roman" w:hAnsi="Times New Roman" w:cs="Times New Roman"/>
          <w:sz w:val="24"/>
          <w:szCs w:val="24"/>
        </w:rPr>
        <w:t>i</w:t>
      </w:r>
      <w:hyperlink r:id="rId14">
        <w:r w:rsidRPr="00B56583">
          <w:rPr>
            <w:rFonts w:ascii="Times New Roman" w:eastAsia="Times New Roman" w:hAnsi="Times New Roman" w:cs="Times New Roman"/>
            <w:sz w:val="24"/>
            <w:szCs w:val="24"/>
          </w:rPr>
          <w:t>n</w:t>
        </w:r>
      </w:hyperlink>
      <w:r w:rsidRPr="00B56583">
        <w:rPr>
          <w:rFonts w:ascii="Times New Roman" w:eastAsia="Times New Roman" w:hAnsi="Times New Roman" w:cs="Times New Roman"/>
          <w:sz w:val="24"/>
          <w:szCs w:val="24"/>
        </w:rPr>
        <w:t>g</w:t>
      </w:r>
      <w:hyperlink r:id="rId15">
        <w:r w:rsidRPr="00B56583">
          <w:rPr>
            <w:rFonts w:ascii="Times New Roman" w:eastAsia="Times New Roman" w:hAnsi="Times New Roman" w:cs="Times New Roman"/>
            <w:sz w:val="24"/>
            <w:szCs w:val="24"/>
          </w:rPr>
          <w:t xml:space="preserve"> </w:t>
        </w:r>
      </w:hyperlink>
      <w:r w:rsidRPr="00B56583">
        <w:rPr>
          <w:rFonts w:ascii="Times New Roman" w:eastAsia="Times New Roman" w:hAnsi="Times New Roman" w:cs="Times New Roman"/>
          <w:sz w:val="24"/>
          <w:szCs w:val="24"/>
        </w:rPr>
        <w:t>a 17% on-time completion rate, a 25% job placement rate, median graduate earnings of only $</w:t>
      </w:r>
      <w:r w:rsidR="00427F5D" w:rsidRPr="00B56583">
        <w:rPr>
          <w:rFonts w:ascii="Times New Roman" w:eastAsia="Times New Roman" w:hAnsi="Times New Roman" w:cs="Times New Roman"/>
          <w:sz w:val="24"/>
          <w:szCs w:val="24"/>
        </w:rPr>
        <w:t>14</w:t>
      </w:r>
      <w:r w:rsidRPr="00B56583">
        <w:rPr>
          <w:rFonts w:ascii="Times New Roman" w:eastAsia="Times New Roman" w:hAnsi="Times New Roman" w:cs="Times New Roman"/>
          <w:sz w:val="24"/>
          <w:szCs w:val="24"/>
        </w:rPr>
        <w:t>,</w:t>
      </w:r>
      <w:r w:rsidR="00CE6F28">
        <w:rPr>
          <w:rFonts w:ascii="Times New Roman" w:eastAsia="Times New Roman" w:hAnsi="Times New Roman" w:cs="Times New Roman"/>
          <w:sz w:val="24"/>
          <w:szCs w:val="24"/>
        </w:rPr>
        <w:t>264, and median debt of $29,074</w:t>
      </w:r>
      <w:r w:rsidRPr="00B56583">
        <w:rPr>
          <w:rFonts w:ascii="Times New Roman" w:eastAsia="Times New Roman" w:hAnsi="Times New Roman" w:cs="Times New Roman"/>
          <w:sz w:val="24"/>
          <w:szCs w:val="24"/>
        </w:rPr>
        <w:t>.</w:t>
      </w:r>
    </w:p>
    <w:p w14:paraId="67F5D1C1" w14:textId="77777777" w:rsidR="00714554" w:rsidRPr="00B56583" w:rsidRDefault="00714554"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 xml:space="preserve"> </w:t>
      </w:r>
    </w:p>
    <w:p w14:paraId="5C7CCB74" w14:textId="77777777" w:rsidR="00714554" w:rsidRPr="00B56583" w:rsidRDefault="00714554"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 xml:space="preserve">Delaying or weakening the gainful employment rule will lead to a new race to the bottom as unscrupulous schools compete to enroll as many students as possible without regard to the quality of the training, the student’s preparation, or the job prospects. </w:t>
      </w:r>
      <w:r w:rsidR="00427F5D" w:rsidRPr="00B56583">
        <w:rPr>
          <w:rFonts w:ascii="Times New Roman" w:eastAsia="Times New Roman" w:hAnsi="Times New Roman" w:cs="Times New Roman"/>
          <w:sz w:val="24"/>
          <w:szCs w:val="24"/>
        </w:rPr>
        <w:t xml:space="preserve">Dismantling the rule </w:t>
      </w:r>
      <w:r w:rsidRPr="00B56583">
        <w:rPr>
          <w:rFonts w:ascii="Times New Roman" w:eastAsia="Times New Roman" w:hAnsi="Times New Roman" w:cs="Times New Roman"/>
          <w:sz w:val="24"/>
          <w:szCs w:val="24"/>
        </w:rPr>
        <w:t>would be costly as well, to the tune of $1.3 billion over 10 years according to a July 2016 Congressional Budget Office analysis.</w:t>
      </w:r>
    </w:p>
    <w:p w14:paraId="3A960206" w14:textId="77777777" w:rsidR="00714554" w:rsidRPr="00B56583" w:rsidRDefault="00714554" w:rsidP="007D308D">
      <w:pPr>
        <w:spacing w:line="240" w:lineRule="auto"/>
        <w:rPr>
          <w:rFonts w:ascii="Times New Roman" w:eastAsia="Times New Roman" w:hAnsi="Times New Roman" w:cs="Times New Roman"/>
          <w:i/>
          <w:sz w:val="24"/>
          <w:szCs w:val="24"/>
        </w:rPr>
      </w:pPr>
    </w:p>
    <w:p w14:paraId="27D874B3" w14:textId="77777777" w:rsidR="00056184" w:rsidRPr="00B56583" w:rsidRDefault="00714554"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 xml:space="preserve">The 2014 </w:t>
      </w:r>
      <w:r w:rsidR="00427F5D" w:rsidRPr="00B56583">
        <w:rPr>
          <w:rFonts w:ascii="Times New Roman" w:eastAsia="Times New Roman" w:hAnsi="Times New Roman" w:cs="Times New Roman"/>
          <w:sz w:val="24"/>
          <w:szCs w:val="24"/>
        </w:rPr>
        <w:t xml:space="preserve">gainful employment </w:t>
      </w:r>
      <w:r w:rsidRPr="00B56583">
        <w:rPr>
          <w:rFonts w:ascii="Times New Roman" w:eastAsia="Times New Roman" w:hAnsi="Times New Roman" w:cs="Times New Roman"/>
          <w:sz w:val="24"/>
          <w:szCs w:val="24"/>
        </w:rPr>
        <w:t xml:space="preserve">rule has been reviewed and upheld in its entirety by </w:t>
      </w:r>
      <w:hyperlink r:id="rId16">
        <w:r w:rsidRPr="00B56583">
          <w:rPr>
            <w:rFonts w:ascii="Times New Roman" w:eastAsia="Times New Roman" w:hAnsi="Times New Roman" w:cs="Times New Roman"/>
            <w:color w:val="1155CC"/>
            <w:sz w:val="24"/>
            <w:szCs w:val="24"/>
            <w:u w:val="single"/>
          </w:rPr>
          <w:t>two</w:t>
        </w:r>
      </w:hyperlink>
      <w:r w:rsidRPr="00B56583">
        <w:rPr>
          <w:rFonts w:ascii="Times New Roman" w:eastAsia="Times New Roman" w:hAnsi="Times New Roman" w:cs="Times New Roman"/>
          <w:sz w:val="24"/>
          <w:szCs w:val="24"/>
        </w:rPr>
        <w:t xml:space="preserve"> </w:t>
      </w:r>
      <w:hyperlink r:id="rId17">
        <w:r w:rsidRPr="00B56583">
          <w:rPr>
            <w:rFonts w:ascii="Times New Roman" w:eastAsia="Times New Roman" w:hAnsi="Times New Roman" w:cs="Times New Roman"/>
            <w:color w:val="1155CC"/>
            <w:sz w:val="24"/>
            <w:szCs w:val="24"/>
            <w:u w:val="single"/>
          </w:rPr>
          <w:t>different</w:t>
        </w:r>
      </w:hyperlink>
      <w:r w:rsidRPr="00B56583">
        <w:rPr>
          <w:rFonts w:ascii="Times New Roman" w:eastAsia="Times New Roman" w:hAnsi="Times New Roman" w:cs="Times New Roman"/>
          <w:sz w:val="24"/>
          <w:szCs w:val="24"/>
        </w:rPr>
        <w:t xml:space="preserve"> federal </w:t>
      </w:r>
      <w:r w:rsidR="00F20912">
        <w:rPr>
          <w:rFonts w:ascii="Times New Roman" w:eastAsia="Times New Roman" w:hAnsi="Times New Roman" w:cs="Times New Roman"/>
          <w:sz w:val="24"/>
          <w:szCs w:val="24"/>
        </w:rPr>
        <w:t xml:space="preserve">district </w:t>
      </w:r>
      <w:r w:rsidRPr="00B56583">
        <w:rPr>
          <w:rFonts w:ascii="Times New Roman" w:eastAsia="Times New Roman" w:hAnsi="Times New Roman" w:cs="Times New Roman"/>
          <w:sz w:val="24"/>
          <w:szCs w:val="24"/>
        </w:rPr>
        <w:t>courts and</w:t>
      </w:r>
      <w:r w:rsidR="007D308D" w:rsidRPr="00B56583">
        <w:rPr>
          <w:rFonts w:ascii="Times New Roman" w:eastAsia="Times New Roman" w:hAnsi="Times New Roman" w:cs="Times New Roman"/>
          <w:sz w:val="24"/>
          <w:szCs w:val="24"/>
        </w:rPr>
        <w:t xml:space="preserve"> unanimously</w:t>
      </w:r>
      <w:r w:rsidRPr="00B56583">
        <w:rPr>
          <w:rFonts w:ascii="Times New Roman" w:eastAsia="Times New Roman" w:hAnsi="Times New Roman" w:cs="Times New Roman"/>
          <w:sz w:val="24"/>
          <w:szCs w:val="24"/>
        </w:rPr>
        <w:t xml:space="preserve"> </w:t>
      </w:r>
      <w:hyperlink r:id="rId18">
        <w:r w:rsidRPr="00B56583">
          <w:rPr>
            <w:rFonts w:ascii="Times New Roman" w:eastAsia="Times New Roman" w:hAnsi="Times New Roman" w:cs="Times New Roman"/>
            <w:color w:val="1155CC"/>
            <w:sz w:val="24"/>
            <w:szCs w:val="24"/>
            <w:u w:val="single"/>
          </w:rPr>
          <w:t>affirmed</w:t>
        </w:r>
      </w:hyperlink>
      <w:r w:rsidRPr="00B56583">
        <w:rPr>
          <w:rFonts w:ascii="Times New Roman" w:eastAsia="Times New Roman" w:hAnsi="Times New Roman" w:cs="Times New Roman"/>
          <w:sz w:val="24"/>
          <w:szCs w:val="24"/>
        </w:rPr>
        <w:t xml:space="preserve"> by the U.S. Court of Appeals for the D.C. Circuit.</w:t>
      </w:r>
      <w:r w:rsidR="00BA32EC" w:rsidRPr="00B56583">
        <w:rPr>
          <w:rFonts w:ascii="Times New Roman" w:eastAsia="Times New Roman" w:hAnsi="Times New Roman" w:cs="Times New Roman"/>
          <w:sz w:val="24"/>
          <w:szCs w:val="24"/>
        </w:rPr>
        <w:t xml:space="preserve"> </w:t>
      </w:r>
      <w:r w:rsidR="00056184" w:rsidRPr="00B56583">
        <w:rPr>
          <w:rFonts w:ascii="Times New Roman" w:eastAsia="Times New Roman" w:hAnsi="Times New Roman" w:cs="Times New Roman"/>
          <w:sz w:val="24"/>
          <w:szCs w:val="24"/>
        </w:rPr>
        <w:t xml:space="preserve">More recent data and studies have only strengthened the evidence to support the regulation. </w:t>
      </w:r>
      <w:r w:rsidR="00BA32EC" w:rsidRPr="00B56583">
        <w:rPr>
          <w:rFonts w:ascii="Times New Roman" w:eastAsia="Times New Roman" w:hAnsi="Times New Roman" w:cs="Times New Roman"/>
          <w:sz w:val="24"/>
          <w:szCs w:val="24"/>
        </w:rPr>
        <w:t xml:space="preserve">In response to a </w:t>
      </w:r>
      <w:r w:rsidR="00B57C5D" w:rsidRPr="00B56583">
        <w:rPr>
          <w:rFonts w:ascii="Times New Roman" w:eastAsia="Times New Roman" w:hAnsi="Times New Roman" w:cs="Times New Roman"/>
          <w:sz w:val="24"/>
          <w:szCs w:val="24"/>
        </w:rPr>
        <w:t xml:space="preserve">separate </w:t>
      </w:r>
      <w:r w:rsidR="00BA32EC" w:rsidRPr="00B56583">
        <w:rPr>
          <w:rFonts w:ascii="Times New Roman" w:eastAsia="Times New Roman" w:hAnsi="Times New Roman" w:cs="Times New Roman"/>
          <w:sz w:val="24"/>
          <w:szCs w:val="24"/>
        </w:rPr>
        <w:t xml:space="preserve">lawsuit brought by </w:t>
      </w:r>
      <w:r w:rsidR="00B57C5D" w:rsidRPr="00B56583">
        <w:rPr>
          <w:rFonts w:ascii="Times New Roman" w:eastAsia="Times New Roman" w:hAnsi="Times New Roman" w:cs="Times New Roman"/>
          <w:sz w:val="24"/>
          <w:szCs w:val="24"/>
        </w:rPr>
        <w:t xml:space="preserve">the </w:t>
      </w:r>
      <w:r w:rsidR="00BA32EC" w:rsidRPr="00B56583">
        <w:rPr>
          <w:rFonts w:ascii="Times New Roman" w:eastAsia="Times New Roman" w:hAnsi="Times New Roman" w:cs="Times New Roman"/>
          <w:sz w:val="24"/>
          <w:szCs w:val="24"/>
        </w:rPr>
        <w:t xml:space="preserve">trade association for cosmetology schools, </w:t>
      </w:r>
      <w:r w:rsidR="00B57C5D" w:rsidRPr="00B56583">
        <w:rPr>
          <w:rFonts w:ascii="Times New Roman" w:eastAsia="Times New Roman" w:hAnsi="Times New Roman" w:cs="Times New Roman"/>
          <w:sz w:val="24"/>
          <w:szCs w:val="24"/>
        </w:rPr>
        <w:t xml:space="preserve">a federal district judge recently </w:t>
      </w:r>
      <w:r w:rsidR="00BA32EC" w:rsidRPr="00B56583">
        <w:rPr>
          <w:rFonts w:ascii="Times New Roman" w:eastAsia="Times New Roman" w:hAnsi="Times New Roman" w:cs="Times New Roman"/>
          <w:sz w:val="24"/>
          <w:szCs w:val="24"/>
        </w:rPr>
        <w:t xml:space="preserve">denied </w:t>
      </w:r>
      <w:r w:rsidR="00B57C5D" w:rsidRPr="00B56583">
        <w:rPr>
          <w:rFonts w:ascii="Times New Roman" w:eastAsia="Times New Roman" w:hAnsi="Times New Roman" w:cs="Times New Roman"/>
          <w:sz w:val="24"/>
          <w:szCs w:val="24"/>
        </w:rPr>
        <w:t xml:space="preserve">the association’s </w:t>
      </w:r>
      <w:r w:rsidR="00BA32EC" w:rsidRPr="00B56583">
        <w:rPr>
          <w:rFonts w:ascii="Times New Roman" w:eastAsia="Times New Roman" w:hAnsi="Times New Roman" w:cs="Times New Roman"/>
          <w:sz w:val="24"/>
          <w:szCs w:val="24"/>
        </w:rPr>
        <w:t xml:space="preserve">request for </w:t>
      </w:r>
      <w:r w:rsidR="00B57C5D" w:rsidRPr="00B56583">
        <w:rPr>
          <w:rFonts w:ascii="Times New Roman" w:eastAsia="Times New Roman" w:hAnsi="Times New Roman" w:cs="Times New Roman"/>
          <w:sz w:val="24"/>
          <w:szCs w:val="24"/>
        </w:rPr>
        <w:t xml:space="preserve">a </w:t>
      </w:r>
      <w:r w:rsidR="00BA32EC" w:rsidRPr="00B56583">
        <w:rPr>
          <w:rFonts w:ascii="Times New Roman" w:eastAsia="Times New Roman" w:hAnsi="Times New Roman" w:cs="Times New Roman"/>
          <w:sz w:val="24"/>
          <w:szCs w:val="24"/>
        </w:rPr>
        <w:t xml:space="preserve">preliminary injunction </w:t>
      </w:r>
      <w:r w:rsidR="00056184" w:rsidRPr="00B56583">
        <w:rPr>
          <w:rFonts w:ascii="Times New Roman" w:eastAsia="Times New Roman" w:hAnsi="Times New Roman" w:cs="Times New Roman"/>
          <w:sz w:val="24"/>
          <w:szCs w:val="24"/>
        </w:rPr>
        <w:t>to block</w:t>
      </w:r>
      <w:r w:rsidR="00B57C5D" w:rsidRPr="00B56583">
        <w:rPr>
          <w:rFonts w:ascii="Times New Roman" w:eastAsia="Times New Roman" w:hAnsi="Times New Roman" w:cs="Times New Roman"/>
          <w:sz w:val="24"/>
          <w:szCs w:val="24"/>
        </w:rPr>
        <w:t xml:space="preserve"> </w:t>
      </w:r>
      <w:r w:rsidR="00056184" w:rsidRPr="00B56583">
        <w:rPr>
          <w:rFonts w:ascii="Times New Roman" w:eastAsia="Times New Roman" w:hAnsi="Times New Roman" w:cs="Times New Roman"/>
          <w:sz w:val="24"/>
          <w:szCs w:val="24"/>
        </w:rPr>
        <w:t>the regulation. T</w:t>
      </w:r>
      <w:r w:rsidR="00B57C5D" w:rsidRPr="00B56583">
        <w:rPr>
          <w:rFonts w:ascii="Times New Roman" w:eastAsia="Times New Roman" w:hAnsi="Times New Roman" w:cs="Times New Roman"/>
          <w:sz w:val="24"/>
          <w:szCs w:val="24"/>
        </w:rPr>
        <w:t xml:space="preserve">he judge </w:t>
      </w:r>
      <w:r w:rsidR="00BA32EC" w:rsidRPr="00B56583">
        <w:rPr>
          <w:rFonts w:ascii="Times New Roman" w:eastAsia="Times New Roman" w:hAnsi="Times New Roman" w:cs="Times New Roman"/>
          <w:sz w:val="24"/>
          <w:szCs w:val="24"/>
        </w:rPr>
        <w:t xml:space="preserve">deliberately limited </w:t>
      </w:r>
      <w:r w:rsidR="00B57C5D" w:rsidRPr="00B56583">
        <w:rPr>
          <w:rFonts w:ascii="Times New Roman" w:eastAsia="Times New Roman" w:hAnsi="Times New Roman" w:cs="Times New Roman"/>
          <w:sz w:val="24"/>
          <w:szCs w:val="24"/>
        </w:rPr>
        <w:t xml:space="preserve">his </w:t>
      </w:r>
      <w:r w:rsidR="00BA32EC" w:rsidRPr="00B56583">
        <w:rPr>
          <w:rFonts w:ascii="Times New Roman" w:eastAsia="Times New Roman" w:hAnsi="Times New Roman" w:cs="Times New Roman"/>
          <w:sz w:val="24"/>
          <w:szCs w:val="24"/>
        </w:rPr>
        <w:t xml:space="preserve">order to appeals brought by members of this one association so as to </w:t>
      </w:r>
      <w:r w:rsidR="00BA32EC" w:rsidRPr="00B56583">
        <w:rPr>
          <w:rFonts w:ascii="Times New Roman" w:eastAsia="Times New Roman" w:hAnsi="Times New Roman" w:cs="Times New Roman"/>
          <w:i/>
          <w:sz w:val="24"/>
          <w:szCs w:val="24"/>
        </w:rPr>
        <w:t>avoid</w:t>
      </w:r>
      <w:r w:rsidR="00BA32EC" w:rsidRPr="00B56583">
        <w:rPr>
          <w:rFonts w:ascii="Times New Roman" w:eastAsia="Times New Roman" w:hAnsi="Times New Roman" w:cs="Times New Roman"/>
          <w:sz w:val="24"/>
          <w:szCs w:val="24"/>
        </w:rPr>
        <w:t xml:space="preserve"> “upending the entire GE regulatory scheme.” </w:t>
      </w:r>
      <w:r w:rsidR="00B57C5D" w:rsidRPr="00B56583">
        <w:rPr>
          <w:rFonts w:ascii="Times New Roman" w:eastAsia="Times New Roman" w:hAnsi="Times New Roman" w:cs="Times New Roman"/>
          <w:sz w:val="24"/>
          <w:szCs w:val="24"/>
        </w:rPr>
        <w:t xml:space="preserve">Yet the Department is now citing this </w:t>
      </w:r>
      <w:r w:rsidR="00056184" w:rsidRPr="00B56583">
        <w:rPr>
          <w:rFonts w:ascii="Times New Roman" w:eastAsia="Times New Roman" w:hAnsi="Times New Roman" w:cs="Times New Roman"/>
          <w:sz w:val="24"/>
          <w:szCs w:val="24"/>
        </w:rPr>
        <w:t xml:space="preserve">extremely </w:t>
      </w:r>
      <w:r w:rsidR="00B57C5D" w:rsidRPr="00B56583">
        <w:rPr>
          <w:rFonts w:ascii="Times New Roman" w:eastAsia="Times New Roman" w:hAnsi="Times New Roman" w:cs="Times New Roman"/>
          <w:sz w:val="24"/>
          <w:szCs w:val="24"/>
        </w:rPr>
        <w:t xml:space="preserve">narrow </w:t>
      </w:r>
      <w:r w:rsidR="00056184" w:rsidRPr="00B56583">
        <w:rPr>
          <w:rFonts w:ascii="Times New Roman" w:eastAsia="Times New Roman" w:hAnsi="Times New Roman" w:cs="Times New Roman"/>
          <w:sz w:val="24"/>
          <w:szCs w:val="24"/>
        </w:rPr>
        <w:t xml:space="preserve">court </w:t>
      </w:r>
      <w:r w:rsidR="00B57C5D" w:rsidRPr="00B56583">
        <w:rPr>
          <w:rFonts w:ascii="Times New Roman" w:eastAsia="Times New Roman" w:hAnsi="Times New Roman" w:cs="Times New Roman"/>
          <w:sz w:val="24"/>
          <w:szCs w:val="24"/>
        </w:rPr>
        <w:t xml:space="preserve">ruling, limited to alternate earnings appeals by certain cosmetology schools, as a pretext to do just that—to upend the entire regulation. </w:t>
      </w:r>
    </w:p>
    <w:p w14:paraId="3601CCAC" w14:textId="77777777" w:rsidR="00C303EE" w:rsidRPr="00B56583" w:rsidRDefault="00C303EE" w:rsidP="007D308D">
      <w:pPr>
        <w:spacing w:line="240" w:lineRule="auto"/>
        <w:rPr>
          <w:rFonts w:ascii="Times New Roman" w:hAnsi="Times New Roman" w:cs="Times New Roman"/>
          <w:sz w:val="24"/>
          <w:szCs w:val="24"/>
        </w:rPr>
      </w:pPr>
    </w:p>
    <w:p w14:paraId="7E15AD8F" w14:textId="77777777" w:rsidR="00D92FB9" w:rsidRPr="00B56583" w:rsidRDefault="00484B43" w:rsidP="007D308D">
      <w:pPr>
        <w:spacing w:line="240" w:lineRule="auto"/>
        <w:rPr>
          <w:rFonts w:ascii="Times New Roman" w:hAnsi="Times New Roman" w:cs="Times New Roman"/>
          <w:sz w:val="24"/>
          <w:szCs w:val="24"/>
        </w:rPr>
      </w:pPr>
      <w:r w:rsidRPr="00B56583">
        <w:rPr>
          <w:rFonts w:ascii="Times New Roman" w:hAnsi="Times New Roman" w:cs="Times New Roman"/>
          <w:b/>
          <w:sz w:val="24"/>
          <w:szCs w:val="24"/>
        </w:rPr>
        <w:t>Borrower Defense</w:t>
      </w:r>
      <w:r w:rsidR="007D308D" w:rsidRPr="00B56583">
        <w:rPr>
          <w:rFonts w:ascii="Times New Roman" w:hAnsi="Times New Roman" w:cs="Times New Roman"/>
          <w:b/>
          <w:sz w:val="24"/>
          <w:szCs w:val="24"/>
        </w:rPr>
        <w:t xml:space="preserve"> and College Accountability</w:t>
      </w:r>
      <w:r w:rsidRPr="00B56583">
        <w:rPr>
          <w:rFonts w:ascii="Times New Roman" w:hAnsi="Times New Roman" w:cs="Times New Roman"/>
          <w:b/>
          <w:sz w:val="24"/>
          <w:szCs w:val="24"/>
        </w:rPr>
        <w:t>.</w:t>
      </w:r>
      <w:r w:rsidRPr="00B56583">
        <w:rPr>
          <w:rFonts w:ascii="Times New Roman" w:hAnsi="Times New Roman" w:cs="Times New Roman"/>
          <w:sz w:val="24"/>
          <w:szCs w:val="24"/>
        </w:rPr>
        <w:t xml:space="preserve"> </w:t>
      </w:r>
      <w:r w:rsidR="00761396" w:rsidRPr="00B56583">
        <w:rPr>
          <w:rFonts w:ascii="Times New Roman" w:hAnsi="Times New Roman" w:cs="Times New Roman"/>
          <w:sz w:val="24"/>
          <w:szCs w:val="24"/>
        </w:rPr>
        <w:t>Given that the borrower defense regulation was just finalized in November 2016</w:t>
      </w:r>
      <w:r w:rsidR="00A80A84">
        <w:rPr>
          <w:rFonts w:ascii="Times New Roman" w:hAnsi="Times New Roman" w:cs="Times New Roman"/>
          <w:sz w:val="24"/>
          <w:szCs w:val="24"/>
        </w:rPr>
        <w:t xml:space="preserve">, </w:t>
      </w:r>
      <w:r w:rsidR="00761396" w:rsidRPr="00B56583">
        <w:rPr>
          <w:rFonts w:ascii="Times New Roman" w:hAnsi="Times New Roman" w:cs="Times New Roman"/>
          <w:sz w:val="24"/>
          <w:szCs w:val="24"/>
        </w:rPr>
        <w:t>t</w:t>
      </w:r>
      <w:r w:rsidR="00A3462D" w:rsidRPr="00B56583">
        <w:rPr>
          <w:rFonts w:ascii="Times New Roman" w:hAnsi="Times New Roman" w:cs="Times New Roman"/>
          <w:sz w:val="24"/>
          <w:szCs w:val="24"/>
        </w:rPr>
        <w:t xml:space="preserve">here is </w:t>
      </w:r>
      <w:r w:rsidR="00D92FB9" w:rsidRPr="00B56583">
        <w:rPr>
          <w:rFonts w:ascii="Times New Roman" w:hAnsi="Times New Roman" w:cs="Times New Roman"/>
          <w:sz w:val="24"/>
          <w:szCs w:val="24"/>
        </w:rPr>
        <w:t xml:space="preserve">simply </w:t>
      </w:r>
      <w:r w:rsidR="00A3462D" w:rsidRPr="00B56583">
        <w:rPr>
          <w:rFonts w:ascii="Times New Roman" w:hAnsi="Times New Roman" w:cs="Times New Roman"/>
          <w:sz w:val="24"/>
          <w:szCs w:val="24"/>
        </w:rPr>
        <w:t xml:space="preserve">no </w:t>
      </w:r>
      <w:r w:rsidR="007D44E2">
        <w:rPr>
          <w:rFonts w:ascii="Times New Roman" w:hAnsi="Times New Roman" w:cs="Times New Roman"/>
          <w:sz w:val="24"/>
          <w:szCs w:val="24"/>
        </w:rPr>
        <w:t xml:space="preserve">justification for </w:t>
      </w:r>
      <w:r w:rsidR="00A3462D" w:rsidRPr="00B56583">
        <w:rPr>
          <w:rFonts w:ascii="Times New Roman" w:hAnsi="Times New Roman" w:cs="Times New Roman"/>
          <w:sz w:val="24"/>
          <w:szCs w:val="24"/>
        </w:rPr>
        <w:t>revisit</w:t>
      </w:r>
      <w:r w:rsidR="007D44E2">
        <w:rPr>
          <w:rFonts w:ascii="Times New Roman" w:hAnsi="Times New Roman" w:cs="Times New Roman"/>
          <w:sz w:val="24"/>
          <w:szCs w:val="24"/>
        </w:rPr>
        <w:t>ing</w:t>
      </w:r>
      <w:r w:rsidR="00A3462D" w:rsidRPr="00B56583">
        <w:rPr>
          <w:rFonts w:ascii="Times New Roman" w:hAnsi="Times New Roman" w:cs="Times New Roman"/>
          <w:sz w:val="24"/>
          <w:szCs w:val="24"/>
        </w:rPr>
        <w:t xml:space="preserve"> </w:t>
      </w:r>
      <w:r w:rsidR="007D44E2">
        <w:rPr>
          <w:rFonts w:ascii="Times New Roman" w:hAnsi="Times New Roman" w:cs="Times New Roman"/>
          <w:sz w:val="24"/>
          <w:szCs w:val="24"/>
        </w:rPr>
        <w:t>it</w:t>
      </w:r>
      <w:r w:rsidR="00761396" w:rsidRPr="00B56583">
        <w:rPr>
          <w:rFonts w:ascii="Times New Roman" w:hAnsi="Times New Roman" w:cs="Times New Roman"/>
          <w:sz w:val="24"/>
          <w:szCs w:val="24"/>
        </w:rPr>
        <w:t xml:space="preserve">. Rather than wasting government resources on a new </w:t>
      </w:r>
      <w:r w:rsidR="00A3462D" w:rsidRPr="00B56583">
        <w:rPr>
          <w:rFonts w:ascii="Times New Roman" w:hAnsi="Times New Roman" w:cs="Times New Roman"/>
          <w:sz w:val="24"/>
          <w:szCs w:val="24"/>
        </w:rPr>
        <w:t xml:space="preserve">negotiated rulemaking </w:t>
      </w:r>
      <w:r w:rsidR="00761396" w:rsidRPr="00B56583">
        <w:rPr>
          <w:rFonts w:ascii="Times New Roman" w:hAnsi="Times New Roman" w:cs="Times New Roman"/>
          <w:sz w:val="24"/>
          <w:szCs w:val="24"/>
        </w:rPr>
        <w:t xml:space="preserve">process, we urge the Department to </w:t>
      </w:r>
      <w:r w:rsidR="00A3462D" w:rsidRPr="00B56583">
        <w:rPr>
          <w:rFonts w:ascii="Times New Roman" w:hAnsi="Times New Roman" w:cs="Times New Roman"/>
          <w:sz w:val="24"/>
          <w:szCs w:val="24"/>
        </w:rPr>
        <w:t xml:space="preserve">use its limited resources to </w:t>
      </w:r>
      <w:r w:rsidR="00761396" w:rsidRPr="00B56583">
        <w:rPr>
          <w:rFonts w:ascii="Times New Roman" w:hAnsi="Times New Roman" w:cs="Times New Roman"/>
          <w:sz w:val="24"/>
          <w:szCs w:val="24"/>
        </w:rPr>
        <w:t xml:space="preserve">immediately </w:t>
      </w:r>
      <w:r w:rsidR="00A3462D" w:rsidRPr="00B56583">
        <w:rPr>
          <w:rFonts w:ascii="Times New Roman" w:hAnsi="Times New Roman" w:cs="Times New Roman"/>
          <w:sz w:val="24"/>
          <w:szCs w:val="24"/>
        </w:rPr>
        <w:t xml:space="preserve">implement the </w:t>
      </w:r>
      <w:r w:rsidR="00761396" w:rsidRPr="00B56583">
        <w:rPr>
          <w:rFonts w:ascii="Times New Roman" w:hAnsi="Times New Roman" w:cs="Times New Roman"/>
          <w:sz w:val="24"/>
          <w:szCs w:val="24"/>
        </w:rPr>
        <w:t xml:space="preserve">rule, </w:t>
      </w:r>
      <w:r w:rsidR="00A3462D" w:rsidRPr="00B56583">
        <w:rPr>
          <w:rFonts w:ascii="Times New Roman" w:hAnsi="Times New Roman" w:cs="Times New Roman"/>
          <w:sz w:val="24"/>
          <w:szCs w:val="24"/>
        </w:rPr>
        <w:t>including the provisions on forced arbitration and class action waivers</w:t>
      </w:r>
      <w:r w:rsidR="003D12BF" w:rsidRPr="00B56583">
        <w:rPr>
          <w:rFonts w:ascii="Times New Roman" w:hAnsi="Times New Roman" w:cs="Times New Roman"/>
          <w:sz w:val="24"/>
          <w:szCs w:val="24"/>
        </w:rPr>
        <w:t xml:space="preserve">. </w:t>
      </w:r>
    </w:p>
    <w:p w14:paraId="20B0474E" w14:textId="77777777" w:rsidR="00D92FB9" w:rsidRPr="00B56583" w:rsidRDefault="00D92FB9" w:rsidP="00D92FB9">
      <w:pPr>
        <w:spacing w:line="240" w:lineRule="auto"/>
        <w:rPr>
          <w:rFonts w:ascii="Times New Roman" w:eastAsia="Times New Roman" w:hAnsi="Times New Roman" w:cs="Times New Roman"/>
          <w:sz w:val="24"/>
          <w:szCs w:val="24"/>
        </w:rPr>
      </w:pPr>
    </w:p>
    <w:p w14:paraId="25AC34A8" w14:textId="77777777" w:rsidR="00D92FB9" w:rsidRPr="00B56583" w:rsidRDefault="00D92FB9" w:rsidP="00D92FB9">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 xml:space="preserve">The </w:t>
      </w:r>
      <w:r w:rsidR="00B56583" w:rsidRPr="00B56583">
        <w:rPr>
          <w:rFonts w:ascii="Times New Roman" w:eastAsia="Times New Roman" w:hAnsi="Times New Roman" w:cs="Times New Roman"/>
          <w:sz w:val="24"/>
          <w:szCs w:val="24"/>
        </w:rPr>
        <w:t xml:space="preserve">rule helps ensure that neither defrauded students nor taxpayers are left on the hook for wrongdoing by schools. It </w:t>
      </w:r>
      <w:r w:rsidRPr="00B56583">
        <w:rPr>
          <w:rFonts w:ascii="Times New Roman" w:eastAsia="Times New Roman" w:hAnsi="Times New Roman" w:cs="Times New Roman"/>
          <w:sz w:val="24"/>
          <w:szCs w:val="24"/>
        </w:rPr>
        <w:t>codifies a process for providing student loan relief to defrauded borrowers</w:t>
      </w:r>
      <w:r w:rsidR="00B56583" w:rsidRPr="00B56583">
        <w:rPr>
          <w:rFonts w:ascii="Times New Roman" w:eastAsia="Times New Roman" w:hAnsi="Times New Roman" w:cs="Times New Roman"/>
          <w:sz w:val="24"/>
          <w:szCs w:val="24"/>
        </w:rPr>
        <w:t xml:space="preserve">, and </w:t>
      </w:r>
      <w:r w:rsidRPr="00B56583">
        <w:rPr>
          <w:rFonts w:ascii="Times New Roman" w:eastAsia="Times New Roman" w:hAnsi="Times New Roman" w:cs="Times New Roman"/>
          <w:sz w:val="24"/>
          <w:szCs w:val="24"/>
        </w:rPr>
        <w:t>ensures that students at schools that close suddenly know their options and that their loans are automatically discharged if they do not continue their studies within three years of the school’s closure.</w:t>
      </w:r>
      <w:r w:rsidR="00B56583" w:rsidRPr="00B56583">
        <w:rPr>
          <w:rFonts w:ascii="Times New Roman" w:eastAsia="Times New Roman" w:hAnsi="Times New Roman" w:cs="Times New Roman"/>
          <w:sz w:val="24"/>
          <w:szCs w:val="24"/>
        </w:rPr>
        <w:t xml:space="preserve"> It also </w:t>
      </w:r>
      <w:r w:rsidRPr="00B56583">
        <w:rPr>
          <w:rFonts w:ascii="Times New Roman" w:eastAsia="Times New Roman" w:hAnsi="Times New Roman" w:cs="Times New Roman"/>
          <w:sz w:val="24"/>
          <w:szCs w:val="24"/>
        </w:rPr>
        <w:t>mak</w:t>
      </w:r>
      <w:r w:rsidR="00B56583" w:rsidRPr="00B56583">
        <w:rPr>
          <w:rFonts w:ascii="Times New Roman" w:eastAsia="Times New Roman" w:hAnsi="Times New Roman" w:cs="Times New Roman"/>
          <w:sz w:val="24"/>
          <w:szCs w:val="24"/>
        </w:rPr>
        <w:t>es</w:t>
      </w:r>
      <w:r w:rsidRPr="00B56583">
        <w:rPr>
          <w:rFonts w:ascii="Times New Roman" w:eastAsia="Times New Roman" w:hAnsi="Times New Roman" w:cs="Times New Roman"/>
          <w:sz w:val="24"/>
          <w:szCs w:val="24"/>
        </w:rPr>
        <w:t xml:space="preserve"> it </w:t>
      </w:r>
      <w:r w:rsidR="00B56583" w:rsidRPr="00B56583">
        <w:rPr>
          <w:rFonts w:ascii="Times New Roman" w:eastAsia="Times New Roman" w:hAnsi="Times New Roman" w:cs="Times New Roman"/>
          <w:sz w:val="24"/>
          <w:szCs w:val="24"/>
        </w:rPr>
        <w:t xml:space="preserve">much </w:t>
      </w:r>
      <w:r w:rsidRPr="00B56583">
        <w:rPr>
          <w:rFonts w:ascii="Times New Roman" w:eastAsia="Times New Roman" w:hAnsi="Times New Roman" w:cs="Times New Roman"/>
          <w:sz w:val="24"/>
          <w:szCs w:val="24"/>
        </w:rPr>
        <w:t xml:space="preserve">harder for schools to hide fraud and evade accountability by blocking students’ access to </w:t>
      </w:r>
      <w:r w:rsidR="00CF332A">
        <w:rPr>
          <w:rFonts w:ascii="Times New Roman" w:eastAsia="Times New Roman" w:hAnsi="Times New Roman" w:cs="Times New Roman"/>
          <w:sz w:val="24"/>
          <w:szCs w:val="24"/>
        </w:rPr>
        <w:t xml:space="preserve">the </w:t>
      </w:r>
      <w:r w:rsidRPr="00B56583">
        <w:rPr>
          <w:rFonts w:ascii="Times New Roman" w:eastAsia="Times New Roman" w:hAnsi="Times New Roman" w:cs="Times New Roman"/>
          <w:sz w:val="24"/>
          <w:szCs w:val="24"/>
        </w:rPr>
        <w:t xml:space="preserve">courts. Most for-profit colleges continue to require students to sign mandatory arbitration clauses and class action bans to force students to sign away their rights to dispute wrongdoing in court, allowing fraud to continue undetected for years. The rule is also aimed squarely at protecting taxpayers from abrupt school closures. Had Corinthian students had access to the courts and the Department of </w:t>
      </w:r>
      <w:r w:rsidRPr="00B56583">
        <w:rPr>
          <w:rFonts w:ascii="Times New Roman" w:eastAsia="Times New Roman" w:hAnsi="Times New Roman" w:cs="Times New Roman"/>
          <w:sz w:val="24"/>
          <w:szCs w:val="24"/>
        </w:rPr>
        <w:lastRenderedPageBreak/>
        <w:t>Education obtained a letter of credit from the company, taxpayers would not now be on the hook for the more than $550 million in federal student loan discharges for former Corinthian students.</w:t>
      </w:r>
    </w:p>
    <w:p w14:paraId="5A6CE925" w14:textId="77777777" w:rsidR="00D92FB9" w:rsidRPr="00B56583" w:rsidRDefault="00D92FB9" w:rsidP="007D308D">
      <w:pPr>
        <w:spacing w:line="240" w:lineRule="auto"/>
        <w:rPr>
          <w:rFonts w:ascii="Times New Roman" w:hAnsi="Times New Roman" w:cs="Times New Roman"/>
          <w:sz w:val="24"/>
          <w:szCs w:val="24"/>
        </w:rPr>
      </w:pPr>
    </w:p>
    <w:p w14:paraId="1F3921A9" w14:textId="77777777" w:rsidR="00D92FB9" w:rsidRPr="00B56583" w:rsidRDefault="00D92FB9" w:rsidP="00D92FB9">
      <w:pPr>
        <w:spacing w:line="240" w:lineRule="auto"/>
        <w:rPr>
          <w:rFonts w:ascii="Times New Roman" w:eastAsia="Times New Roman" w:hAnsi="Times New Roman" w:cs="Times New Roman"/>
          <w:sz w:val="24"/>
          <w:szCs w:val="24"/>
        </w:rPr>
      </w:pPr>
      <w:r w:rsidRPr="00B56583">
        <w:rPr>
          <w:rFonts w:ascii="Times New Roman" w:hAnsi="Times New Roman" w:cs="Times New Roman"/>
          <w:sz w:val="24"/>
          <w:szCs w:val="24"/>
        </w:rPr>
        <w:t>Finally, w</w:t>
      </w:r>
      <w:r w:rsidR="003D12BF" w:rsidRPr="00B56583">
        <w:rPr>
          <w:rFonts w:ascii="Times New Roman" w:hAnsi="Times New Roman" w:cs="Times New Roman"/>
          <w:sz w:val="24"/>
          <w:szCs w:val="24"/>
        </w:rPr>
        <w:t xml:space="preserve">e urge the Department </w:t>
      </w:r>
      <w:r w:rsidR="007D308D" w:rsidRPr="00B56583">
        <w:rPr>
          <w:rFonts w:ascii="Times New Roman" w:hAnsi="Times New Roman" w:cs="Times New Roman"/>
          <w:sz w:val="24"/>
          <w:szCs w:val="24"/>
        </w:rPr>
        <w:t xml:space="preserve">to </w:t>
      </w:r>
      <w:r w:rsidRPr="00B56583">
        <w:rPr>
          <w:rFonts w:ascii="Times New Roman" w:hAnsi="Times New Roman" w:cs="Times New Roman"/>
          <w:sz w:val="24"/>
          <w:szCs w:val="24"/>
        </w:rPr>
        <w:t xml:space="preserve">immediately </w:t>
      </w:r>
      <w:r w:rsidR="003D12BF" w:rsidRPr="00B56583">
        <w:rPr>
          <w:rFonts w:ascii="Times New Roman" w:hAnsi="Times New Roman" w:cs="Times New Roman"/>
          <w:sz w:val="24"/>
          <w:szCs w:val="24"/>
        </w:rPr>
        <w:t xml:space="preserve">act on the tens of thousands of borrower defense claims </w:t>
      </w:r>
      <w:r w:rsidRPr="00B56583">
        <w:rPr>
          <w:rFonts w:ascii="Times New Roman" w:hAnsi="Times New Roman" w:cs="Times New Roman"/>
          <w:sz w:val="24"/>
          <w:szCs w:val="24"/>
        </w:rPr>
        <w:t xml:space="preserve">pending </w:t>
      </w:r>
      <w:r w:rsidR="003D12BF" w:rsidRPr="00B56583">
        <w:rPr>
          <w:rFonts w:ascii="Times New Roman" w:hAnsi="Times New Roman" w:cs="Times New Roman"/>
          <w:sz w:val="24"/>
          <w:szCs w:val="24"/>
        </w:rPr>
        <w:t>under the 1995 borrower defense regulation</w:t>
      </w:r>
      <w:r w:rsidR="00A3462D" w:rsidRPr="00B56583">
        <w:rPr>
          <w:rFonts w:ascii="Times New Roman" w:hAnsi="Times New Roman" w:cs="Times New Roman"/>
          <w:sz w:val="24"/>
          <w:szCs w:val="24"/>
        </w:rPr>
        <w:t xml:space="preserve">. </w:t>
      </w:r>
      <w:r w:rsidR="005700BD" w:rsidRPr="00B56583">
        <w:rPr>
          <w:rFonts w:ascii="Times New Roman" w:eastAsia="Times New Roman" w:hAnsi="Times New Roman" w:cs="Times New Roman"/>
          <w:sz w:val="24"/>
          <w:szCs w:val="24"/>
        </w:rPr>
        <w:t xml:space="preserve">The Department has </w:t>
      </w:r>
      <w:r w:rsidR="005700BD">
        <w:rPr>
          <w:rFonts w:ascii="Times New Roman" w:eastAsia="Times New Roman" w:hAnsi="Times New Roman" w:cs="Times New Roman"/>
          <w:sz w:val="24"/>
          <w:szCs w:val="24"/>
        </w:rPr>
        <w:t xml:space="preserve">in its possession </w:t>
      </w:r>
      <w:r w:rsidR="005700BD" w:rsidRPr="00B56583">
        <w:rPr>
          <w:rFonts w:ascii="Times New Roman" w:eastAsia="Times New Roman" w:hAnsi="Times New Roman" w:cs="Times New Roman"/>
          <w:sz w:val="24"/>
          <w:szCs w:val="24"/>
        </w:rPr>
        <w:t xml:space="preserve">evidence that students </w:t>
      </w:r>
      <w:r w:rsidR="005700BD" w:rsidRPr="00B56583">
        <w:rPr>
          <w:rFonts w:ascii="Times New Roman" w:hAnsi="Times New Roman" w:cs="Times New Roman"/>
          <w:sz w:val="24"/>
          <w:szCs w:val="24"/>
        </w:rPr>
        <w:t xml:space="preserve">were defrauded at many schools, including </w:t>
      </w:r>
      <w:hyperlink r:id="rId19">
        <w:r w:rsidR="005700BD" w:rsidRPr="00B56583">
          <w:rPr>
            <w:rStyle w:val="Hyperlink"/>
            <w:rFonts w:ascii="Times New Roman" w:hAnsi="Times New Roman" w:cs="Times New Roman"/>
            <w:sz w:val="24"/>
            <w:szCs w:val="24"/>
          </w:rPr>
          <w:t>Corinthian Colleges</w:t>
        </w:r>
      </w:hyperlink>
      <w:r w:rsidR="005700BD" w:rsidRPr="00B56583">
        <w:rPr>
          <w:rFonts w:ascii="Times New Roman" w:hAnsi="Times New Roman" w:cs="Times New Roman"/>
          <w:sz w:val="24"/>
          <w:szCs w:val="24"/>
        </w:rPr>
        <w:t xml:space="preserve">, </w:t>
      </w:r>
      <w:hyperlink r:id="rId20">
        <w:r w:rsidR="005700BD" w:rsidRPr="00B56583">
          <w:rPr>
            <w:rStyle w:val="Hyperlink"/>
            <w:rFonts w:ascii="Times New Roman" w:hAnsi="Times New Roman" w:cs="Times New Roman"/>
            <w:sz w:val="24"/>
            <w:szCs w:val="24"/>
          </w:rPr>
          <w:t>Marinello School of Beauty</w:t>
        </w:r>
      </w:hyperlink>
      <w:r w:rsidR="005700BD" w:rsidRPr="00B56583">
        <w:rPr>
          <w:rFonts w:ascii="Times New Roman" w:hAnsi="Times New Roman" w:cs="Times New Roman"/>
          <w:sz w:val="24"/>
          <w:szCs w:val="24"/>
        </w:rPr>
        <w:t xml:space="preserve">, </w:t>
      </w:r>
      <w:hyperlink r:id="rId21">
        <w:r w:rsidR="005700BD" w:rsidRPr="00B56583">
          <w:rPr>
            <w:rStyle w:val="Hyperlink"/>
            <w:rFonts w:ascii="Times New Roman" w:hAnsi="Times New Roman" w:cs="Times New Roman"/>
            <w:sz w:val="24"/>
            <w:szCs w:val="24"/>
          </w:rPr>
          <w:t>ATI Career Training Center,</w:t>
        </w:r>
      </w:hyperlink>
      <w:r w:rsidR="005700BD" w:rsidRPr="00B56583">
        <w:rPr>
          <w:rFonts w:ascii="Times New Roman" w:hAnsi="Times New Roman" w:cs="Times New Roman"/>
          <w:sz w:val="24"/>
          <w:szCs w:val="24"/>
        </w:rPr>
        <w:t xml:space="preserve"> </w:t>
      </w:r>
      <w:hyperlink r:id="rId22">
        <w:r w:rsidR="005700BD" w:rsidRPr="00B56583">
          <w:rPr>
            <w:rStyle w:val="Hyperlink"/>
            <w:rFonts w:ascii="Times New Roman" w:hAnsi="Times New Roman" w:cs="Times New Roman"/>
            <w:sz w:val="24"/>
            <w:szCs w:val="24"/>
          </w:rPr>
          <w:t>Westwood College</w:t>
        </w:r>
      </w:hyperlink>
      <w:r w:rsidR="005700BD" w:rsidRPr="00B56583">
        <w:rPr>
          <w:rFonts w:ascii="Times New Roman" w:hAnsi="Times New Roman" w:cs="Times New Roman"/>
          <w:sz w:val="24"/>
          <w:szCs w:val="24"/>
        </w:rPr>
        <w:t xml:space="preserve">, </w:t>
      </w:r>
      <w:hyperlink r:id="rId23">
        <w:r w:rsidR="005700BD" w:rsidRPr="00B56583">
          <w:rPr>
            <w:rStyle w:val="Hyperlink"/>
            <w:rFonts w:ascii="Times New Roman" w:hAnsi="Times New Roman" w:cs="Times New Roman"/>
            <w:sz w:val="24"/>
            <w:szCs w:val="24"/>
          </w:rPr>
          <w:t>Career Education Corporation schools</w:t>
        </w:r>
      </w:hyperlink>
      <w:r w:rsidR="005700BD" w:rsidRPr="00B56583">
        <w:rPr>
          <w:rFonts w:ascii="Times New Roman" w:hAnsi="Times New Roman" w:cs="Times New Roman"/>
          <w:sz w:val="24"/>
          <w:szCs w:val="24"/>
        </w:rPr>
        <w:t xml:space="preserve">, </w:t>
      </w:r>
      <w:hyperlink r:id="rId24">
        <w:r w:rsidR="005700BD" w:rsidRPr="00B56583">
          <w:rPr>
            <w:rStyle w:val="Hyperlink"/>
            <w:rFonts w:ascii="Times New Roman" w:hAnsi="Times New Roman" w:cs="Times New Roman"/>
            <w:sz w:val="24"/>
            <w:szCs w:val="24"/>
          </w:rPr>
          <w:t>FastTrain College</w:t>
        </w:r>
      </w:hyperlink>
      <w:r w:rsidR="005700BD" w:rsidRPr="00B56583">
        <w:rPr>
          <w:rFonts w:ascii="Times New Roman" w:hAnsi="Times New Roman" w:cs="Times New Roman"/>
          <w:sz w:val="24"/>
          <w:szCs w:val="24"/>
        </w:rPr>
        <w:t xml:space="preserve">, </w:t>
      </w:r>
      <w:hyperlink r:id="rId25">
        <w:r w:rsidR="005700BD" w:rsidRPr="00B56583">
          <w:rPr>
            <w:rStyle w:val="Hyperlink"/>
            <w:rFonts w:ascii="Times New Roman" w:hAnsi="Times New Roman" w:cs="Times New Roman"/>
            <w:sz w:val="24"/>
            <w:szCs w:val="24"/>
          </w:rPr>
          <w:t>MedTech College</w:t>
        </w:r>
      </w:hyperlink>
      <w:r w:rsidR="005700BD" w:rsidRPr="00B56583">
        <w:rPr>
          <w:rFonts w:ascii="Times New Roman" w:hAnsi="Times New Roman" w:cs="Times New Roman"/>
          <w:sz w:val="24"/>
          <w:szCs w:val="24"/>
        </w:rPr>
        <w:t xml:space="preserve"> and </w:t>
      </w:r>
      <w:hyperlink r:id="rId26">
        <w:r w:rsidR="005700BD" w:rsidRPr="00B56583">
          <w:rPr>
            <w:rStyle w:val="Hyperlink"/>
            <w:rFonts w:ascii="Times New Roman" w:hAnsi="Times New Roman" w:cs="Times New Roman"/>
            <w:sz w:val="24"/>
            <w:szCs w:val="24"/>
          </w:rPr>
          <w:t>Globe University and Minnesota School of Business</w:t>
        </w:r>
      </w:hyperlink>
      <w:r w:rsidR="005700BD" w:rsidRPr="00B56583">
        <w:rPr>
          <w:rFonts w:ascii="Times New Roman" w:hAnsi="Times New Roman" w:cs="Times New Roman"/>
          <w:sz w:val="24"/>
          <w:szCs w:val="24"/>
        </w:rPr>
        <w:t xml:space="preserve">. </w:t>
      </w:r>
      <w:r w:rsidR="00CE6F28">
        <w:rPr>
          <w:rFonts w:ascii="Times New Roman" w:hAnsi="Times New Roman" w:cs="Times New Roman"/>
          <w:sz w:val="24"/>
          <w:szCs w:val="24"/>
        </w:rPr>
        <w:t>W</w:t>
      </w:r>
      <w:r w:rsidR="003D12BF" w:rsidRPr="00B56583">
        <w:rPr>
          <w:rFonts w:ascii="Times New Roman" w:hAnsi="Times New Roman" w:cs="Times New Roman"/>
          <w:sz w:val="24"/>
          <w:szCs w:val="24"/>
        </w:rPr>
        <w:t xml:space="preserve">e are deeply disturbed by </w:t>
      </w:r>
      <w:hyperlink r:id="rId27" w:history="1">
        <w:r w:rsidR="003D12BF" w:rsidRPr="00CF332A">
          <w:rPr>
            <w:rStyle w:val="Hyperlink"/>
            <w:rFonts w:ascii="Times New Roman" w:hAnsi="Times New Roman" w:cs="Times New Roman"/>
            <w:sz w:val="24"/>
            <w:szCs w:val="24"/>
          </w:rPr>
          <w:t>news reports</w:t>
        </w:r>
      </w:hyperlink>
      <w:r w:rsidR="003D12BF" w:rsidRPr="00B56583">
        <w:rPr>
          <w:rFonts w:ascii="Times New Roman" w:hAnsi="Times New Roman" w:cs="Times New Roman"/>
          <w:sz w:val="24"/>
          <w:szCs w:val="24"/>
        </w:rPr>
        <w:t xml:space="preserve"> that the Department has not approved a single new borrower defense claim since January 20</w:t>
      </w:r>
      <w:r w:rsidRPr="00B56583">
        <w:rPr>
          <w:rFonts w:ascii="Times New Roman" w:hAnsi="Times New Roman" w:cs="Times New Roman"/>
          <w:sz w:val="24"/>
          <w:szCs w:val="24"/>
        </w:rPr>
        <w:t xml:space="preserve">. Many borrowers have been waiting for more than a year for the Department to act. Forty-seven </w:t>
      </w:r>
      <w:r w:rsidR="003D12BF" w:rsidRPr="00B56583">
        <w:rPr>
          <w:rFonts w:ascii="Times New Roman" w:hAnsi="Times New Roman" w:cs="Times New Roman"/>
          <w:sz w:val="24"/>
          <w:szCs w:val="24"/>
        </w:rPr>
        <w:t xml:space="preserve">Republican and Democratic attorneys general </w:t>
      </w:r>
      <w:r w:rsidRPr="00B56583">
        <w:rPr>
          <w:rFonts w:ascii="Times New Roman" w:hAnsi="Times New Roman" w:cs="Times New Roman"/>
          <w:sz w:val="24"/>
          <w:szCs w:val="24"/>
        </w:rPr>
        <w:t xml:space="preserve">recently contacted </w:t>
      </w:r>
      <w:r w:rsidR="007D308D" w:rsidRPr="00B56583">
        <w:rPr>
          <w:rFonts w:ascii="Times New Roman" w:hAnsi="Times New Roman" w:cs="Times New Roman"/>
          <w:sz w:val="24"/>
          <w:szCs w:val="24"/>
        </w:rPr>
        <w:t>more than 100,000 former Corinthian students eligible for discharges by attestation</w:t>
      </w:r>
      <w:r w:rsidRPr="00B56583">
        <w:rPr>
          <w:rFonts w:ascii="Times New Roman" w:hAnsi="Times New Roman" w:cs="Times New Roman"/>
          <w:sz w:val="24"/>
          <w:szCs w:val="24"/>
        </w:rPr>
        <w:t>, which has likely generated a significant increase in claims</w:t>
      </w:r>
      <w:r w:rsidR="007D308D" w:rsidRPr="00B56583">
        <w:rPr>
          <w:rFonts w:ascii="Times New Roman" w:hAnsi="Times New Roman" w:cs="Times New Roman"/>
          <w:sz w:val="24"/>
          <w:szCs w:val="24"/>
        </w:rPr>
        <w:t>.</w:t>
      </w:r>
      <w:r w:rsidRPr="00B56583">
        <w:rPr>
          <w:rFonts w:ascii="Times New Roman" w:hAnsi="Times New Roman" w:cs="Times New Roman"/>
          <w:sz w:val="24"/>
          <w:szCs w:val="24"/>
        </w:rPr>
        <w:t xml:space="preserve"> The Department has both a moral and a legal obligation to promptly </w:t>
      </w:r>
      <w:r w:rsidR="00CE6F28">
        <w:rPr>
          <w:rFonts w:ascii="Times New Roman" w:hAnsi="Times New Roman" w:cs="Times New Roman"/>
          <w:sz w:val="24"/>
          <w:szCs w:val="24"/>
        </w:rPr>
        <w:t xml:space="preserve">review applications </w:t>
      </w:r>
      <w:r w:rsidR="005700BD">
        <w:rPr>
          <w:rFonts w:ascii="Times New Roman" w:hAnsi="Times New Roman" w:cs="Times New Roman"/>
          <w:sz w:val="24"/>
          <w:szCs w:val="24"/>
        </w:rPr>
        <w:t>and grant relief to defrauded students</w:t>
      </w:r>
      <w:r w:rsidR="00CE6F28">
        <w:rPr>
          <w:rFonts w:ascii="Times New Roman" w:hAnsi="Times New Roman" w:cs="Times New Roman"/>
          <w:sz w:val="24"/>
          <w:szCs w:val="24"/>
        </w:rPr>
        <w:t>,</w:t>
      </w:r>
      <w:r w:rsidR="005700BD">
        <w:rPr>
          <w:rFonts w:ascii="Times New Roman" w:hAnsi="Times New Roman" w:cs="Times New Roman"/>
          <w:sz w:val="24"/>
          <w:szCs w:val="24"/>
        </w:rPr>
        <w:t xml:space="preserve"> </w:t>
      </w:r>
      <w:r w:rsidR="00B56583" w:rsidRPr="00B56583">
        <w:rPr>
          <w:rFonts w:ascii="Times New Roman" w:hAnsi="Times New Roman" w:cs="Times New Roman"/>
          <w:sz w:val="24"/>
          <w:szCs w:val="24"/>
        </w:rPr>
        <w:t>and f</w:t>
      </w:r>
      <w:r w:rsidRPr="00B56583">
        <w:rPr>
          <w:rFonts w:ascii="Times New Roman" w:hAnsi="Times New Roman" w:cs="Times New Roman"/>
          <w:sz w:val="24"/>
          <w:szCs w:val="24"/>
        </w:rPr>
        <w:t xml:space="preserve">ederal contractors should not be </w:t>
      </w:r>
      <w:hyperlink r:id="rId28" w:history="1">
        <w:r w:rsidRPr="00B56583">
          <w:rPr>
            <w:rStyle w:val="Hyperlink"/>
            <w:rFonts w:ascii="Times New Roman" w:hAnsi="Times New Roman" w:cs="Times New Roman"/>
            <w:sz w:val="24"/>
            <w:szCs w:val="24"/>
          </w:rPr>
          <w:t>aggressively collect</w:t>
        </w:r>
      </w:hyperlink>
      <w:r w:rsidRPr="00B56583">
        <w:rPr>
          <w:rStyle w:val="Hyperlink"/>
          <w:rFonts w:ascii="Times New Roman" w:hAnsi="Times New Roman" w:cs="Times New Roman"/>
          <w:sz w:val="24"/>
          <w:szCs w:val="24"/>
        </w:rPr>
        <w:t>ing</w:t>
      </w:r>
      <w:r w:rsidRPr="00B56583">
        <w:rPr>
          <w:rFonts w:ascii="Times New Roman" w:hAnsi="Times New Roman" w:cs="Times New Roman"/>
          <w:sz w:val="24"/>
          <w:szCs w:val="24"/>
        </w:rPr>
        <w:t xml:space="preserve"> on loans that the Department knows are eligible</w:t>
      </w:r>
      <w:r w:rsidRPr="00B56583">
        <w:rPr>
          <w:rFonts w:ascii="Times New Roman" w:eastAsia="Times New Roman" w:hAnsi="Times New Roman" w:cs="Times New Roman"/>
          <w:sz w:val="24"/>
          <w:szCs w:val="24"/>
        </w:rPr>
        <w:t xml:space="preserve"> for discharge.</w:t>
      </w:r>
    </w:p>
    <w:p w14:paraId="6DCD157A" w14:textId="77777777" w:rsidR="003D12BF" w:rsidRPr="00B56583" w:rsidRDefault="003D12BF" w:rsidP="007D308D">
      <w:pPr>
        <w:spacing w:line="240" w:lineRule="auto"/>
        <w:rPr>
          <w:rFonts w:ascii="Times New Roman" w:eastAsia="Times New Roman" w:hAnsi="Times New Roman" w:cs="Times New Roman"/>
          <w:sz w:val="24"/>
          <w:szCs w:val="24"/>
        </w:rPr>
      </w:pPr>
    </w:p>
    <w:p w14:paraId="6FBDD54A" w14:textId="77777777" w:rsidR="00B56583" w:rsidRPr="00B56583" w:rsidRDefault="00D05364" w:rsidP="007D30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existence of a new rulemaking process provides no basis </w:t>
      </w:r>
      <w:r w:rsidR="00034FF3">
        <w:rPr>
          <w:rFonts w:ascii="Times New Roman" w:eastAsia="Times New Roman" w:hAnsi="Times New Roman" w:cs="Times New Roman"/>
          <w:sz w:val="24"/>
          <w:szCs w:val="24"/>
        </w:rPr>
        <w:t xml:space="preserve">for the Department </w:t>
      </w:r>
      <w:r>
        <w:rPr>
          <w:rFonts w:ascii="Times New Roman" w:eastAsia="Times New Roman" w:hAnsi="Times New Roman" w:cs="Times New Roman"/>
          <w:sz w:val="24"/>
          <w:szCs w:val="24"/>
        </w:rPr>
        <w:t>to refuse</w:t>
      </w:r>
      <w:r w:rsidRPr="00B56583">
        <w:rPr>
          <w:rFonts w:ascii="Times New Roman" w:eastAsia="Times New Roman" w:hAnsi="Times New Roman" w:cs="Times New Roman"/>
          <w:sz w:val="24"/>
          <w:szCs w:val="24"/>
        </w:rPr>
        <w:t xml:space="preserve"> to implement and enforce the current regulations</w:t>
      </w:r>
      <w:r>
        <w:rPr>
          <w:rFonts w:ascii="Times New Roman" w:eastAsia="Times New Roman" w:hAnsi="Times New Roman" w:cs="Times New Roman"/>
          <w:sz w:val="24"/>
          <w:szCs w:val="24"/>
        </w:rPr>
        <w:t xml:space="preserve"> in the interim.</w:t>
      </w:r>
      <w:r w:rsidR="00BB1165" w:rsidRPr="00B56583">
        <w:rPr>
          <w:rFonts w:ascii="Times New Roman" w:eastAsia="Times New Roman" w:hAnsi="Times New Roman" w:cs="Times New Roman"/>
          <w:sz w:val="24"/>
          <w:szCs w:val="24"/>
        </w:rPr>
        <w:t xml:space="preserve"> If the Department wishes to alter current regulations, it must do so through negotiated rulemaking, not unilaterally outside the processes established by Congress. </w:t>
      </w:r>
      <w:r w:rsidR="00B56583" w:rsidRPr="00B56583">
        <w:rPr>
          <w:rFonts w:ascii="Times New Roman" w:eastAsia="Times New Roman" w:hAnsi="Times New Roman" w:cs="Times New Roman"/>
          <w:sz w:val="24"/>
          <w:szCs w:val="24"/>
        </w:rPr>
        <w:t xml:space="preserve">Thank you for consideration of these comments. </w:t>
      </w:r>
    </w:p>
    <w:p w14:paraId="60AC6E58" w14:textId="77777777" w:rsidR="00B56583" w:rsidRPr="00B56583" w:rsidRDefault="00B56583" w:rsidP="007D308D">
      <w:pPr>
        <w:spacing w:line="240" w:lineRule="auto"/>
        <w:rPr>
          <w:rFonts w:ascii="Times New Roman" w:eastAsia="Times New Roman" w:hAnsi="Times New Roman" w:cs="Times New Roman"/>
          <w:sz w:val="24"/>
          <w:szCs w:val="24"/>
        </w:rPr>
      </w:pPr>
    </w:p>
    <w:p w14:paraId="5212068D" w14:textId="77777777" w:rsidR="007913CA" w:rsidRPr="00B56583" w:rsidRDefault="00885357"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Sincerely,</w:t>
      </w:r>
    </w:p>
    <w:p w14:paraId="18922E3C" w14:textId="77777777" w:rsidR="007913CA" w:rsidRPr="00B56583" w:rsidRDefault="007913CA" w:rsidP="007D308D">
      <w:pPr>
        <w:spacing w:line="240" w:lineRule="auto"/>
        <w:rPr>
          <w:rFonts w:ascii="Times New Roman" w:eastAsia="Times New Roman" w:hAnsi="Times New Roman" w:cs="Times New Roman"/>
          <w:sz w:val="24"/>
          <w:szCs w:val="24"/>
        </w:rPr>
      </w:pPr>
    </w:p>
    <w:p w14:paraId="3B047390" w14:textId="77777777" w:rsidR="007D308D" w:rsidRPr="00B56583" w:rsidRDefault="007D308D" w:rsidP="007D308D">
      <w:pPr>
        <w:spacing w:line="240" w:lineRule="auto"/>
        <w:rPr>
          <w:rFonts w:ascii="Times New Roman" w:eastAsia="Times New Roman" w:hAnsi="Times New Roman" w:cs="Times New Roman"/>
          <w:sz w:val="24"/>
          <w:szCs w:val="24"/>
        </w:rPr>
      </w:pPr>
      <w:r w:rsidRPr="00B56583">
        <w:rPr>
          <w:rFonts w:ascii="Times New Roman" w:eastAsia="Times New Roman" w:hAnsi="Times New Roman" w:cs="Times New Roman"/>
          <w:sz w:val="24"/>
          <w:szCs w:val="24"/>
        </w:rPr>
        <w:t xml:space="preserve"> </w:t>
      </w:r>
    </w:p>
    <w:sectPr w:rsidR="007D308D" w:rsidRPr="00B56583" w:rsidSect="00885357">
      <w:headerReference w:type="even" r:id="rId29"/>
      <w:headerReference w:type="default" r:id="rId30"/>
      <w:footerReference w:type="even" r:id="rId31"/>
      <w:footerReference w:type="default" r:id="rId32"/>
      <w:headerReference w:type="first" r:id="rId33"/>
      <w:footerReference w:type="first" r:id="rId34"/>
      <w:pgSz w:w="12240" w:h="15840"/>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636A2" w14:textId="77777777" w:rsidR="00DF76A2" w:rsidRDefault="00DF76A2">
      <w:pPr>
        <w:spacing w:line="240" w:lineRule="auto"/>
      </w:pPr>
      <w:r>
        <w:separator/>
      </w:r>
    </w:p>
  </w:endnote>
  <w:endnote w:type="continuationSeparator" w:id="0">
    <w:p w14:paraId="013AE8C9" w14:textId="77777777" w:rsidR="00DF76A2" w:rsidRDefault="00DF7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2D211" w14:textId="77777777" w:rsidR="00B907CA" w:rsidRDefault="00B907C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color w:val="000000" w:themeColor="text1"/>
        <w:sz w:val="20"/>
        <w:szCs w:val="20"/>
      </w:rPr>
      <w:id w:val="-122850664"/>
      <w:docPartObj>
        <w:docPartGallery w:val="Page Numbers (Bottom of Page)"/>
        <w:docPartUnique/>
      </w:docPartObj>
    </w:sdtPr>
    <w:sdtEndPr/>
    <w:sdtContent>
      <w:sdt>
        <w:sdtPr>
          <w:rPr>
            <w:rFonts w:ascii="Times New Roman" w:hAnsi="Times New Roman" w:cs="Times New Roman"/>
            <w:color w:val="000000" w:themeColor="text1"/>
            <w:sz w:val="20"/>
            <w:szCs w:val="20"/>
          </w:rPr>
          <w:id w:val="860082579"/>
          <w:docPartObj>
            <w:docPartGallery w:val="Page Numbers (Top of Page)"/>
            <w:docPartUnique/>
          </w:docPartObj>
        </w:sdtPr>
        <w:sdtEndPr/>
        <w:sdtContent>
          <w:p w14:paraId="4B314989" w14:textId="77777777" w:rsidR="00885357" w:rsidRPr="00885357" w:rsidRDefault="00885357">
            <w:pPr>
              <w:pStyle w:val="Footer"/>
              <w:jc w:val="right"/>
              <w:rPr>
                <w:rFonts w:ascii="Times New Roman" w:hAnsi="Times New Roman" w:cs="Times New Roman"/>
                <w:color w:val="000000" w:themeColor="text1"/>
                <w:sz w:val="20"/>
                <w:szCs w:val="20"/>
              </w:rPr>
            </w:pPr>
            <w:r w:rsidRPr="00885357">
              <w:rPr>
                <w:rFonts w:ascii="Times New Roman" w:hAnsi="Times New Roman" w:cs="Times New Roman"/>
                <w:color w:val="000000" w:themeColor="text1"/>
                <w:sz w:val="20"/>
                <w:szCs w:val="20"/>
              </w:rPr>
              <w:t xml:space="preserve">Page </w:t>
            </w:r>
            <w:r w:rsidRPr="00885357">
              <w:rPr>
                <w:rFonts w:ascii="Times New Roman" w:hAnsi="Times New Roman" w:cs="Times New Roman"/>
                <w:b/>
                <w:bCs/>
                <w:color w:val="000000" w:themeColor="text1"/>
                <w:sz w:val="20"/>
                <w:szCs w:val="20"/>
              </w:rPr>
              <w:fldChar w:fldCharType="begin"/>
            </w:r>
            <w:r w:rsidRPr="00885357">
              <w:rPr>
                <w:rFonts w:ascii="Times New Roman" w:hAnsi="Times New Roman" w:cs="Times New Roman"/>
                <w:b/>
                <w:bCs/>
                <w:color w:val="000000" w:themeColor="text1"/>
                <w:sz w:val="20"/>
                <w:szCs w:val="20"/>
              </w:rPr>
              <w:instrText xml:space="preserve"> PAGE </w:instrText>
            </w:r>
            <w:r w:rsidRPr="00885357">
              <w:rPr>
                <w:rFonts w:ascii="Times New Roman" w:hAnsi="Times New Roman" w:cs="Times New Roman"/>
                <w:b/>
                <w:bCs/>
                <w:color w:val="000000" w:themeColor="text1"/>
                <w:sz w:val="20"/>
                <w:szCs w:val="20"/>
              </w:rPr>
              <w:fldChar w:fldCharType="separate"/>
            </w:r>
            <w:r w:rsidR="00F56C01">
              <w:rPr>
                <w:rFonts w:ascii="Times New Roman" w:hAnsi="Times New Roman" w:cs="Times New Roman"/>
                <w:b/>
                <w:bCs/>
                <w:noProof/>
                <w:color w:val="000000" w:themeColor="text1"/>
                <w:sz w:val="20"/>
                <w:szCs w:val="20"/>
              </w:rPr>
              <w:t>1</w:t>
            </w:r>
            <w:r w:rsidRPr="00885357">
              <w:rPr>
                <w:rFonts w:ascii="Times New Roman" w:hAnsi="Times New Roman" w:cs="Times New Roman"/>
                <w:b/>
                <w:bCs/>
                <w:color w:val="000000" w:themeColor="text1"/>
                <w:sz w:val="20"/>
                <w:szCs w:val="20"/>
              </w:rPr>
              <w:fldChar w:fldCharType="end"/>
            </w:r>
            <w:r w:rsidRPr="00885357">
              <w:rPr>
                <w:rFonts w:ascii="Times New Roman" w:hAnsi="Times New Roman" w:cs="Times New Roman"/>
                <w:color w:val="000000" w:themeColor="text1"/>
                <w:sz w:val="20"/>
                <w:szCs w:val="20"/>
              </w:rPr>
              <w:t xml:space="preserve"> of </w:t>
            </w:r>
            <w:r w:rsidRPr="00885357">
              <w:rPr>
                <w:rFonts w:ascii="Times New Roman" w:hAnsi="Times New Roman" w:cs="Times New Roman"/>
                <w:b/>
                <w:bCs/>
                <w:color w:val="000000" w:themeColor="text1"/>
                <w:sz w:val="20"/>
                <w:szCs w:val="20"/>
              </w:rPr>
              <w:fldChar w:fldCharType="begin"/>
            </w:r>
            <w:r w:rsidRPr="00885357">
              <w:rPr>
                <w:rFonts w:ascii="Times New Roman" w:hAnsi="Times New Roman" w:cs="Times New Roman"/>
                <w:b/>
                <w:bCs/>
                <w:color w:val="000000" w:themeColor="text1"/>
                <w:sz w:val="20"/>
                <w:szCs w:val="20"/>
              </w:rPr>
              <w:instrText xml:space="preserve"> NUMPAGES  </w:instrText>
            </w:r>
            <w:r w:rsidRPr="00885357">
              <w:rPr>
                <w:rFonts w:ascii="Times New Roman" w:hAnsi="Times New Roman" w:cs="Times New Roman"/>
                <w:b/>
                <w:bCs/>
                <w:color w:val="000000" w:themeColor="text1"/>
                <w:sz w:val="20"/>
                <w:szCs w:val="20"/>
              </w:rPr>
              <w:fldChar w:fldCharType="separate"/>
            </w:r>
            <w:r w:rsidR="00F56C01">
              <w:rPr>
                <w:rFonts w:ascii="Times New Roman" w:hAnsi="Times New Roman" w:cs="Times New Roman"/>
                <w:b/>
                <w:bCs/>
                <w:noProof/>
                <w:color w:val="000000" w:themeColor="text1"/>
                <w:sz w:val="20"/>
                <w:szCs w:val="20"/>
              </w:rPr>
              <w:t>3</w:t>
            </w:r>
            <w:r w:rsidRPr="00885357">
              <w:rPr>
                <w:rFonts w:ascii="Times New Roman" w:hAnsi="Times New Roman" w:cs="Times New Roman"/>
                <w:b/>
                <w:bCs/>
                <w:color w:val="000000" w:themeColor="text1"/>
                <w:sz w:val="20"/>
                <w:szCs w:val="20"/>
              </w:rPr>
              <w:fldChar w:fldCharType="end"/>
            </w:r>
          </w:p>
        </w:sdtContent>
      </w:sdt>
    </w:sdtContent>
  </w:sdt>
  <w:p w14:paraId="3CDEF525" w14:textId="77777777" w:rsidR="007913CA" w:rsidRPr="00885357" w:rsidRDefault="007913CA">
    <w:pPr>
      <w:jc w:val="right"/>
      <w:rPr>
        <w:rFonts w:ascii="Times New Roman" w:hAnsi="Times New Roman" w:cs="Times New Roman"/>
        <w:color w:val="000000" w:themeColor="text1"/>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A8DA4" w14:textId="77777777" w:rsidR="00B907CA" w:rsidRDefault="00B907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62AD2" w14:textId="77777777" w:rsidR="00DF76A2" w:rsidRDefault="00DF76A2">
      <w:pPr>
        <w:spacing w:line="240" w:lineRule="auto"/>
      </w:pPr>
      <w:r>
        <w:separator/>
      </w:r>
    </w:p>
  </w:footnote>
  <w:footnote w:type="continuationSeparator" w:id="0">
    <w:p w14:paraId="3B3A8DC2" w14:textId="77777777" w:rsidR="00DF76A2" w:rsidRDefault="00DF76A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47766" w14:textId="77777777" w:rsidR="00B907CA" w:rsidRDefault="00B907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BAD91" w14:textId="77777777" w:rsidR="00B907CA" w:rsidRDefault="00B907C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90825" w14:textId="77777777" w:rsidR="00B907CA" w:rsidRDefault="00B907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0NjEzMDEyMDA1NjGwMLZU0lEKTi0uzszPAykwrAUAp9KiNywAAAA="/>
  </w:docVars>
  <w:rsids>
    <w:rsidRoot w:val="007913CA"/>
    <w:rsid w:val="00034FF3"/>
    <w:rsid w:val="000527BD"/>
    <w:rsid w:val="000530E8"/>
    <w:rsid w:val="00056184"/>
    <w:rsid w:val="00096AE2"/>
    <w:rsid w:val="00214302"/>
    <w:rsid w:val="00247F6A"/>
    <w:rsid w:val="002558B3"/>
    <w:rsid w:val="00364EF7"/>
    <w:rsid w:val="003D12BF"/>
    <w:rsid w:val="00427F5D"/>
    <w:rsid w:val="00484B43"/>
    <w:rsid w:val="005365DF"/>
    <w:rsid w:val="0054105A"/>
    <w:rsid w:val="005700BD"/>
    <w:rsid w:val="005815AC"/>
    <w:rsid w:val="00714554"/>
    <w:rsid w:val="00716686"/>
    <w:rsid w:val="00761396"/>
    <w:rsid w:val="007913CA"/>
    <w:rsid w:val="007A51C4"/>
    <w:rsid w:val="007D308D"/>
    <w:rsid w:val="007D44E2"/>
    <w:rsid w:val="0084559B"/>
    <w:rsid w:val="00885357"/>
    <w:rsid w:val="008E6011"/>
    <w:rsid w:val="00935AB7"/>
    <w:rsid w:val="0096327F"/>
    <w:rsid w:val="009802A6"/>
    <w:rsid w:val="00985103"/>
    <w:rsid w:val="00991A29"/>
    <w:rsid w:val="00A3462D"/>
    <w:rsid w:val="00A34C01"/>
    <w:rsid w:val="00A80A84"/>
    <w:rsid w:val="00A83017"/>
    <w:rsid w:val="00B56583"/>
    <w:rsid w:val="00B57C5D"/>
    <w:rsid w:val="00B84B2D"/>
    <w:rsid w:val="00B907CA"/>
    <w:rsid w:val="00BA32EC"/>
    <w:rsid w:val="00BB1165"/>
    <w:rsid w:val="00C12C88"/>
    <w:rsid w:val="00C303EE"/>
    <w:rsid w:val="00CE2846"/>
    <w:rsid w:val="00CE6F28"/>
    <w:rsid w:val="00CF332A"/>
    <w:rsid w:val="00D05364"/>
    <w:rsid w:val="00D92FB9"/>
    <w:rsid w:val="00DA08F0"/>
    <w:rsid w:val="00DF76A2"/>
    <w:rsid w:val="00F20912"/>
    <w:rsid w:val="00F56C01"/>
    <w:rsid w:val="00FF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9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885357"/>
    <w:pPr>
      <w:tabs>
        <w:tab w:val="center" w:pos="4680"/>
        <w:tab w:val="right" w:pos="9360"/>
      </w:tabs>
      <w:spacing w:line="240" w:lineRule="auto"/>
    </w:pPr>
  </w:style>
  <w:style w:type="character" w:customStyle="1" w:styleId="HeaderChar">
    <w:name w:val="Header Char"/>
    <w:basedOn w:val="DefaultParagraphFont"/>
    <w:link w:val="Header"/>
    <w:uiPriority w:val="99"/>
    <w:rsid w:val="00885357"/>
  </w:style>
  <w:style w:type="paragraph" w:styleId="Footer">
    <w:name w:val="footer"/>
    <w:basedOn w:val="Normal"/>
    <w:link w:val="FooterChar"/>
    <w:uiPriority w:val="99"/>
    <w:unhideWhenUsed/>
    <w:rsid w:val="00885357"/>
    <w:pPr>
      <w:tabs>
        <w:tab w:val="center" w:pos="4680"/>
        <w:tab w:val="right" w:pos="9360"/>
      </w:tabs>
      <w:spacing w:line="240" w:lineRule="auto"/>
    </w:pPr>
  </w:style>
  <w:style w:type="character" w:customStyle="1" w:styleId="FooterChar">
    <w:name w:val="Footer Char"/>
    <w:basedOn w:val="DefaultParagraphFont"/>
    <w:link w:val="Footer"/>
    <w:uiPriority w:val="99"/>
    <w:rsid w:val="00885357"/>
  </w:style>
  <w:style w:type="character" w:styleId="CommentReference">
    <w:name w:val="annotation reference"/>
    <w:basedOn w:val="DefaultParagraphFont"/>
    <w:uiPriority w:val="99"/>
    <w:semiHidden/>
    <w:unhideWhenUsed/>
    <w:rsid w:val="00C303EE"/>
    <w:rPr>
      <w:sz w:val="16"/>
      <w:szCs w:val="16"/>
    </w:rPr>
  </w:style>
  <w:style w:type="paragraph" w:styleId="CommentText">
    <w:name w:val="annotation text"/>
    <w:basedOn w:val="Normal"/>
    <w:link w:val="CommentTextChar"/>
    <w:uiPriority w:val="99"/>
    <w:semiHidden/>
    <w:unhideWhenUsed/>
    <w:rsid w:val="00C303EE"/>
    <w:pPr>
      <w:spacing w:line="240" w:lineRule="auto"/>
    </w:pPr>
    <w:rPr>
      <w:sz w:val="20"/>
      <w:szCs w:val="20"/>
    </w:rPr>
  </w:style>
  <w:style w:type="character" w:customStyle="1" w:styleId="CommentTextChar">
    <w:name w:val="Comment Text Char"/>
    <w:basedOn w:val="DefaultParagraphFont"/>
    <w:link w:val="CommentText"/>
    <w:uiPriority w:val="99"/>
    <w:semiHidden/>
    <w:rsid w:val="00C303EE"/>
    <w:rPr>
      <w:sz w:val="20"/>
      <w:szCs w:val="20"/>
    </w:rPr>
  </w:style>
  <w:style w:type="paragraph" w:styleId="CommentSubject">
    <w:name w:val="annotation subject"/>
    <w:basedOn w:val="CommentText"/>
    <w:next w:val="CommentText"/>
    <w:link w:val="CommentSubjectChar"/>
    <w:uiPriority w:val="99"/>
    <w:semiHidden/>
    <w:unhideWhenUsed/>
    <w:rsid w:val="00C303EE"/>
    <w:rPr>
      <w:b/>
      <w:bCs/>
    </w:rPr>
  </w:style>
  <w:style w:type="character" w:customStyle="1" w:styleId="CommentSubjectChar">
    <w:name w:val="Comment Subject Char"/>
    <w:basedOn w:val="CommentTextChar"/>
    <w:link w:val="CommentSubject"/>
    <w:uiPriority w:val="99"/>
    <w:semiHidden/>
    <w:rsid w:val="00C303EE"/>
    <w:rPr>
      <w:b/>
      <w:bCs/>
      <w:sz w:val="20"/>
      <w:szCs w:val="20"/>
    </w:rPr>
  </w:style>
  <w:style w:type="paragraph" w:styleId="BalloonText">
    <w:name w:val="Balloon Text"/>
    <w:basedOn w:val="Normal"/>
    <w:link w:val="BalloonTextChar"/>
    <w:uiPriority w:val="99"/>
    <w:semiHidden/>
    <w:unhideWhenUsed/>
    <w:rsid w:val="00C303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3EE"/>
    <w:rPr>
      <w:rFonts w:ascii="Tahoma" w:hAnsi="Tahoma" w:cs="Tahoma"/>
      <w:sz w:val="16"/>
      <w:szCs w:val="16"/>
    </w:rPr>
  </w:style>
  <w:style w:type="character" w:styleId="Hyperlink">
    <w:name w:val="Hyperlink"/>
    <w:basedOn w:val="DefaultParagraphFont"/>
    <w:uiPriority w:val="99"/>
    <w:unhideWhenUsed/>
    <w:rsid w:val="00761396"/>
    <w:rPr>
      <w:color w:val="0000FF" w:themeColor="hyperlink"/>
      <w:u w:val="single"/>
    </w:rPr>
  </w:style>
  <w:style w:type="character" w:styleId="FollowedHyperlink">
    <w:name w:val="FollowedHyperlink"/>
    <w:basedOn w:val="DefaultParagraphFont"/>
    <w:uiPriority w:val="99"/>
    <w:semiHidden/>
    <w:unhideWhenUsed/>
    <w:rsid w:val="00484B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studentaid.ed.gov/sa/sites/default/files/marinello-03094400-denial-letter.pdf" TargetMode="External"/><Relationship Id="rId21" Type="http://schemas.openxmlformats.org/officeDocument/2006/relationships/hyperlink" Target="https://www.justice.gov/opa/pr/government-files-complaint-against-dallas-area-based-profit-chain-schools-false-claims-act" TargetMode="External"/><Relationship Id="rId22" Type="http://schemas.openxmlformats.org/officeDocument/2006/relationships/hyperlink" Target="https://opeweb.ed.gov/aslweb/finalStaffReports.cfm?aID=15&amp;mid=68" TargetMode="External"/><Relationship Id="rId23" Type="http://schemas.openxmlformats.org/officeDocument/2006/relationships/hyperlink" Target="https://opeweb.ed.gov/aslweb/finalStaffReports.cfm?aID=15&amp;mid=68" TargetMode="External"/><Relationship Id="rId24" Type="http://schemas.openxmlformats.org/officeDocument/2006/relationships/hyperlink" Target="https://www.insidehighered.com/quicktakes/2014/12/04/college-used-strippers-student-recruiters-feds-say" TargetMode="External"/><Relationship Id="rId25" Type="http://schemas.openxmlformats.org/officeDocument/2006/relationships/hyperlink" Target="http://www.ed.gov/news/press-releases/us-department-education-takes-enforcement-action-against-medtech-colleges-virginia-maryland-and-washington-dc" TargetMode="External"/><Relationship Id="rId26" Type="http://schemas.openxmlformats.org/officeDocument/2006/relationships/hyperlink" Target="http://www.twincities.com/2016/09/08/fraud-ruling-threatens-globe-u-minnesota-school-of-business-with-closure/" TargetMode="External"/><Relationship Id="rId27" Type="http://schemas.openxmlformats.org/officeDocument/2006/relationships/hyperlink" Target="http://www.cbsnews.com/news/promised-college-loan-forgiveness-borrowers-wait-and-wait/" TargetMode="External"/><Relationship Id="rId28" Type="http://schemas.openxmlformats.org/officeDocument/2006/relationships/hyperlink" Target="http://www.warren.senate.gov/?p=press_release&amp;id=1266" TargetMode="External"/><Relationship Id="rId29"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ge.artinstitutes.edu/programoffering/474" TargetMode="External"/><Relationship Id="rId6" Type="http://schemas.openxmlformats.org/officeDocument/2006/relationships/hyperlink" Target="http://www.protectstudentsandtaxpayers.org/wp-content/uploads/2017/03/Multistate-letter-on-for-profits-Feb-2017.pdf" TargetMode="External"/><Relationship Id="rId7" Type="http://schemas.openxmlformats.org/officeDocument/2006/relationships/hyperlink" Target="http://www.protectstudentsandtaxpayers.org/wp-content/uploads/2017/03/Coalition-Letter-on-GE-BD-IC.3.21.17.pdf" TargetMode="External"/><Relationship Id="rId8" Type="http://schemas.openxmlformats.org/officeDocument/2006/relationships/hyperlink" Target="http://www.protectstudentsandtaxpayers.org/wp-content/uploads/2017/02/Letter-on-Education-Protections.pdf" TargetMode="External"/><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disclosure.mccann.edu/StaticFiles/PD_HAZ_Medical_Asst.html" TargetMode="External"/><Relationship Id="rId11" Type="http://schemas.openxmlformats.org/officeDocument/2006/relationships/hyperlink" Target="http://disclosure.mccann.edu/StaticFiles/PD_HAZ_Medical_Asst.html" TargetMode="External"/><Relationship Id="rId12" Type="http://schemas.openxmlformats.org/officeDocument/2006/relationships/hyperlink" Target="http://disclosure.mccann.edu/StaticFiles/PD_HAZ_Medical_Asst.html" TargetMode="External"/><Relationship Id="rId13" Type="http://schemas.openxmlformats.org/officeDocument/2006/relationships/hyperlink" Target="http://disclosure.mccann.edu/StaticFiles/PD_HAZ_Medical_Asst.html" TargetMode="External"/><Relationship Id="rId14" Type="http://schemas.openxmlformats.org/officeDocument/2006/relationships/hyperlink" Target="http://disclosure.mccann.edu/StaticFiles/PD_HAZ_Medical_Asst.html" TargetMode="External"/><Relationship Id="rId15" Type="http://schemas.openxmlformats.org/officeDocument/2006/relationships/hyperlink" Target="http://disclosure.mccann.edu/StaticFiles/PD_HAZ_Medical_Asst.html" TargetMode="External"/><Relationship Id="rId16" Type="http://schemas.openxmlformats.org/officeDocument/2006/relationships/hyperlink" Target="https://www.republicreport.org/wp-content/uploads/2015/05/Doc.-64-Opinion.pdf" TargetMode="External"/><Relationship Id="rId17" Type="http://schemas.openxmlformats.org/officeDocument/2006/relationships/hyperlink" Target="https://ecf.dcd.uscourts.gov/cgi-bin/show_public_doc?2014cv1870-31" TargetMode="External"/><Relationship Id="rId18" Type="http://schemas.openxmlformats.org/officeDocument/2006/relationships/hyperlink" Target="http://static.politico.com/0c/b6/cab6276746ea8642964d59e6cc9a/judgment-in-apscu-v-arne-duncan.pdf" TargetMode="External"/><Relationship Id="rId19" Type="http://schemas.openxmlformats.org/officeDocument/2006/relationships/hyperlink" Target="https://www.ed.gov/news/press-releases/department-education-and-attorney-general-kamala-harris-announce-findings-investigation-wyotech-and-everest-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1682</Words>
  <Characters>9591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2017-07-11T17:15:00Z</dcterms:created>
  <dcterms:modified xsi:type="dcterms:W3CDTF">2017-07-11T17:15:00Z</dcterms:modified>
</cp:coreProperties>
</file>