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Times New Roman" w:cs="Times New Roman" w:eastAsia="Times New Roman" w:hAnsi="Times New Roman"/>
          <w:b/>
          <w:bCs/>
          <w:color w:val="000000"/>
          <w:sz w:val="32"/>
          <w:szCs w:val="32"/>
        </w:rPr>
        <w:t xml:space="preserve">Chapitre 3. Contrôle actif robuste pour les parois minces : atténuation des vibrations régénératives en fraisage</w:t>
      </w:r>
    </w:p>
    <w:p>
      <w:pPr>
        <w:pStyle w:val="Heading2"/>
        <w:spacing w:after="160" w:before="240"/>
      </w:pPr>
      <w:r>
        <w:rPr>
          <w:rFonts w:ascii="Times New Roman" w:cs="Times New Roman" w:eastAsia="Times New Roman" w:hAnsi="Times New Roman"/>
          <w:b/>
          <w:bCs/>
          <w:color w:val="000000"/>
          <w:sz w:val="28"/>
          <w:szCs w:val="28"/>
        </w:rPr>
        <w:t xml:space="preserve">3.1. Introduction et positionnement du chapitre</w:t>
      </w:r>
    </w:p>
    <w:p>
      <w:pPr>
        <w:spacing w:after="120" w:line="300"/>
        <w:jc w:val="both"/>
      </w:pPr>
      <w:r>
        <w:rPr>
          <w:rFonts w:ascii="Times New Roman" w:cs="Times New Roman" w:eastAsia="Times New Roman" w:hAnsi="Times New Roman"/>
          <w:sz w:val="24"/>
          <w:szCs w:val="24"/>
        </w:rPr>
        <w:t xml:space="preserve">Le chapitre précédent a établi l'intérêt du rejet actif de perturbation d'ordre fractionnaire (ADRC-FOPID) pour la suppression du broutement, sur un modèle de pièce ramené à une dynamique dominante et piloté par un actionneur supposé parfait. Sa conclusion identifiait deux idéalisations à lever : une dynamique de pièce figée et un actionneur sans limites physiques. Le présent chapitre lève ces deux hypothèses sur la configuration la plus exigeante du fraisage de finition : la paroi mince flexible, dont la dynamique est multimodale, variable le long du trajet d'outil, et dont l'actionneur piézoélectrique sature à une tension finie.</w:t>
      </w:r>
    </w:p>
    <w:p>
      <w:pPr>
        <w:spacing w:after="120" w:line="300"/>
        <w:jc w:val="both"/>
      </w:pPr>
      <w:r>
        <w:rPr>
          <w:rFonts w:ascii="Times New Roman" w:cs="Times New Roman" w:eastAsia="Times New Roman" w:hAnsi="Times New Roman"/>
          <w:sz w:val="24"/>
          <w:szCs w:val="24"/>
        </w:rPr>
        <w:t xml:space="preserve">Le banc de référence retenu est celui de Du et al. [Du 2024] : une plaque mince en AL6061 de 100 × 80 × 4 mm, encastrée sur un bord, usinée en périphérie par une fraise trois dents de 10 mm (hélice 35°) à 4900 tr/min, et équipée d'un patch piézoélectrique QDA60-200,7 (±150 V) collé près de l'encastrement. La mesure disponible sur ce montage est le déplacement de l'extrémité libre de la plaque (la « pointe »), et c'est ce capteur — et lui seul — qui est utilisé dans la comparaison des correcteurs de ce chapitre, afin de rester fidèle au système de l'article de référence.</w:t>
      </w:r>
    </w:p>
    <w:p>
      <w:pPr>
        <w:spacing w:after="120" w:line="300"/>
        <w:jc w:val="both"/>
      </w:pPr>
      <w:r>
        <w:rPr>
          <w:rFonts w:ascii="Times New Roman" w:cs="Times New Roman" w:eastAsia="Times New Roman" w:hAnsi="Times New Roman"/>
          <w:sz w:val="24"/>
          <w:szCs w:val="24"/>
        </w:rPr>
        <w:t xml:space="preserve">La démarche du chapitre obéit à une règle d'intégrité stricte : chaque valeur annoncée est calculée par un code reproductible, chaque frontière de stabilité « contrôlée » est obtenue en plaçant le correcteur — observateur compris — à l'intérieur de l'analyse de stabilité, et chaque résultat négatif est rapporté comme tel. Les contributions du chapitre sont au nombre de cinq :</w:t>
      </w:r>
    </w:p>
    <w:p>
      <w:pPr>
        <w:pStyle w:val="ListParagraph"/>
        <w:numPr>
          <w:ilvl w:val="0"/>
          <w:numId w:val="2"/>
        </w:numPr>
        <w:spacing w:after="80"/>
        <w:jc w:val="both"/>
      </w:pPr>
      <w:r>
        <w:rPr>
          <w:rFonts w:ascii="Times New Roman" w:cs="Times New Roman" w:eastAsia="Times New Roman" w:hAnsi="Times New Roman"/>
          <w:sz w:val="24"/>
          <w:szCs w:val="24"/>
        </w:rPr>
        <w:t xml:space="preserve">une modélisation de type Kirchhoff dite « précise » de la paroi mince, où la masse et la raideur du patch piézoélectrique entrent dans le modèle éléments finis comme une section composite, validée mode à mode contre les fréquences mesurées de [Du 2024] ;</w:t>
      </w:r>
    </w:p>
    <w:p>
      <w:pPr>
        <w:pStyle w:val="ListParagraph"/>
        <w:numPr>
          <w:ilvl w:val="0"/>
          <w:numId w:val="2"/>
        </w:numPr>
        <w:spacing w:after="80"/>
        <w:jc w:val="both"/>
      </w:pPr>
      <w:r>
        <w:rPr>
          <w:rFonts w:ascii="Times New Roman" w:cs="Times New Roman" w:eastAsia="Times New Roman" w:hAnsi="Times New Roman"/>
          <w:sz w:val="24"/>
          <w:szCs w:val="24"/>
        </w:rPr>
        <w:t xml:space="preserve">une méthode de semi-discrétisation en boucle fermée (CL-SD) qui insère un correcteur linéaire arbitraire, avec ses états internes (observateur, filtres), dans la matrice de monodromie de Floquet du système à retard périodique : le diagramme des lobes contrôlé qui en résulte est authentique et non asserté ;</w:t>
      </w:r>
    </w:p>
    <w:p>
      <w:pPr>
        <w:pStyle w:val="ListParagraph"/>
        <w:numPr>
          <w:ilvl w:val="0"/>
          <w:numId w:val="2"/>
        </w:numPr>
        <w:spacing w:after="80"/>
        <w:jc w:val="both"/>
      </w:pPr>
      <w:r>
        <w:rPr>
          <w:rFonts w:ascii="Times New Roman" w:cs="Times New Roman" w:eastAsia="Times New Roman" w:hAnsi="Times New Roman"/>
          <w:sz w:val="24"/>
          <w:szCs w:val="24"/>
        </w:rPr>
        <w:t xml:space="preserve">une métrique de stabilité à deux étages, associant à la frontière linéaire la profondeur de passe « faisable en tension », c'est-à-dire la plus grande profondeur pour laquelle la boucle non linéaire saturée (±150 V) reste exempte de broutement ;</w:t>
      </w:r>
    </w:p>
    <w:p>
      <w:pPr>
        <w:pStyle w:val="ListParagraph"/>
        <w:numPr>
          <w:ilvl w:val="0"/>
          <w:numId w:val="2"/>
        </w:numPr>
        <w:spacing w:after="80"/>
        <w:jc w:val="both"/>
      </w:pPr>
      <w:r>
        <w:rPr>
          <w:rFonts w:ascii="Times New Roman" w:cs="Times New Roman" w:eastAsia="Times New Roman" w:hAnsi="Times New Roman"/>
          <w:sz w:val="24"/>
          <w:szCs w:val="24"/>
        </w:rPr>
        <w:t xml:space="preserve">une comparaison honnête de quatre classes de correcteurs sur le capteur d'origine du montage, dont le caractère non minimum de phase s'avère décisif : la LQG à modèle complet fonctionne, l'ADRC classique échoue à toutes les bandes passantes, le FOPID seul survit mais faiblement ;</w:t>
      </w:r>
    </w:p>
    <w:p>
      <w:pPr>
        <w:pStyle w:val="ListParagraph"/>
        <w:numPr>
          <w:ilvl w:val="0"/>
          <w:numId w:val="2"/>
        </w:numPr>
        <w:spacing w:after="80"/>
        <w:jc w:val="both"/>
      </w:pPr>
      <w:r>
        <w:rPr>
          <w:rFonts w:ascii="Times New Roman" w:cs="Times New Roman" w:eastAsia="Times New Roman" w:hAnsi="Times New Roman"/>
          <w:sz w:val="24"/>
          <w:szCs w:val="24"/>
        </w:rPr>
        <w:t xml:space="preserve">un correcteur hybride ADRC–FOPID co-conçu qui rend le rejet de perturbation utilisable sur ce capteur, puis une seconde itération (fuite d'observateur, filtre de roll-off, objectif min-max robuste) qui en corrige les faiblesses calculées — avec les coûts et l'échec résiduel énoncés sans détour.</w:t>
      </w:r>
    </w:p>
    <w:p>
      <w:pPr>
        <w:pStyle w:val="Heading2"/>
        <w:spacing w:after="160" w:before="240"/>
      </w:pPr>
      <w:r>
        <w:rPr>
          <w:rFonts w:ascii="Times New Roman" w:cs="Times New Roman" w:eastAsia="Times New Roman" w:hAnsi="Times New Roman"/>
          <w:b/>
          <w:bCs/>
          <w:color w:val="000000"/>
          <w:sz w:val="28"/>
          <w:szCs w:val="28"/>
        </w:rPr>
        <w:t xml:space="preserve">3.2. Modélisation de type Kirchhoff de la paroi mince</w:t>
      </w:r>
    </w:p>
    <w:p>
      <w:pPr>
        <w:pStyle w:val="Heading3"/>
        <w:spacing w:after="120" w:before="200"/>
      </w:pPr>
      <w:r>
        <w:rPr>
          <w:rFonts w:ascii="Times New Roman" w:cs="Times New Roman" w:eastAsia="Times New Roman" w:hAnsi="Times New Roman"/>
          <w:b/>
          <w:bCs/>
          <w:color w:val="000000"/>
          <w:sz w:val="24"/>
          <w:szCs w:val="24"/>
        </w:rPr>
        <w:t xml:space="preserve">3.2.1. Élément de plaque et réduction modale</w:t>
      </w:r>
    </w:p>
    <w:p>
      <w:pPr>
        <w:spacing w:after="120" w:line="300"/>
        <w:jc w:val="both"/>
      </w:pPr>
      <w:r>
        <w:rPr>
          <w:rFonts w:ascii="Times New Roman" w:cs="Times New Roman" w:eastAsia="Times New Roman" w:hAnsi="Times New Roman"/>
          <w:sz w:val="24"/>
          <w:szCs w:val="24"/>
        </w:rPr>
        <w:t xml:space="preserve">La plaque est discrétisée par des éléments de plaque mince de Kirchhoff-Love à quatre nœuds (élément rectangulaire de type ACM à fonctions de forme de Hermite), à trois degrés de liberté par nœud : la flèche transversale w et les deux rotations. Chaque élément porte douze degrés de liberté. Les matrices de masse et de raideur assemblées sur un maillage de 30 × 24 éléments, avec l'encastrement du bord inférieur, fournissent le problème aux valeurs propres dont les premiers modes servent de base de réduction. L'équation du mouvement en coordonnées modales q s'écrit, pendant la coupe :</w:t>
      </w:r>
    </w:p>
    <w:p>
      <w:pPr>
        <w:tabs>
          <w:tab w:val="right" w:pos="9026"/>
        </w:tabs>
        <w:spacing w:after="120" w:before="120"/>
        <w:ind w:left="567"/>
      </w:pPr>
      <w:r>
        <w:rPr>
          <w:rFonts w:ascii="Times New Roman" w:cs="Times New Roman" w:eastAsia="Times New Roman" w:hAnsi="Times New Roman"/>
          <w:i/>
          <w:iCs/>
          <w:sz w:val="24"/>
          <w:szCs w:val="24"/>
        </w:rPr>
        <w:t xml:space="preserve">Mp q̈ + Cp q̇ + [Kp + a₄(t) Dp Dpᵀ] q − a₄(t) Dp Dpᵀ q(t − τ) = fₜ a₃(t) Dp + H_pe u(t)</w:t>
      </w:r>
      <w:r>
        <w:rPr>
          <w:rFonts w:ascii="Times New Roman" w:cs="Times New Roman" w:eastAsia="Times New Roman" w:hAnsi="Times New Roman"/>
          <w:sz w:val="24"/>
          <w:szCs w:val="24"/>
        </w:rPr>
        <w:t xml:space="preserve">	(3.1)</w:t>
      </w:r>
    </w:p>
    <w:p>
      <w:pPr>
        <w:spacing w:after="120" w:line="300"/>
        <w:jc w:val="both"/>
      </w:pPr>
      <w:r>
        <w:rPr>
          <w:rFonts w:ascii="Times New Roman" w:cs="Times New Roman" w:eastAsia="Times New Roman" w:hAnsi="Times New Roman"/>
          <w:sz w:val="24"/>
          <w:szCs w:val="24"/>
        </w:rPr>
        <w:t xml:space="preserve">où τ = 60/(Nₜ·N) est la période de passage de dent, a₃(t) et a₄(t) les coefficients périodiques d'effort de coupe de la fraise hélicoïdale, Dp le vecteur des formes modales au point de coupe courant, H_pe le vecteur d'entrée modal de l'actionneur et u la tension appliquée. Le terme retardé en q(t − τ) est la rétroaction régénérative qui engendre le broutement. La mesure est scalaire :</w:t>
      </w:r>
    </w:p>
    <w:p>
      <w:pPr>
        <w:tabs>
          <w:tab w:val="right" w:pos="9026"/>
        </w:tabs>
        <w:spacing w:after="120" w:before="120"/>
        <w:ind w:left="567"/>
      </w:pPr>
      <w:r>
        <w:rPr>
          <w:rFonts w:ascii="Times New Roman" w:cs="Times New Roman" w:eastAsia="Times New Roman" w:hAnsi="Times New Roman"/>
          <w:i/>
          <w:iCs/>
          <w:sz w:val="24"/>
          <w:szCs w:val="24"/>
        </w:rPr>
        <w:t xml:space="preserve">y(t) = D_obs q(t)</w:t>
      </w:r>
      <w:r>
        <w:rPr>
          <w:rFonts w:ascii="Times New Roman" w:cs="Times New Roman" w:eastAsia="Times New Roman" w:hAnsi="Times New Roman"/>
          <w:sz w:val="24"/>
          <w:szCs w:val="24"/>
        </w:rPr>
        <w:t xml:space="preserve">	(3.2)</w:t>
      </w:r>
    </w:p>
    <w:p>
      <w:pPr>
        <w:spacing w:after="120" w:line="300"/>
        <w:jc w:val="both"/>
      </w:pPr>
      <w:r>
        <w:rPr>
          <w:rFonts w:ascii="Times New Roman" w:cs="Times New Roman" w:eastAsia="Times New Roman" w:hAnsi="Times New Roman"/>
          <w:sz w:val="24"/>
          <w:szCs w:val="24"/>
        </w:rPr>
        <w:t xml:space="preserve">où D_obs est la ligne des formes modales au point de mesure — ici l'extrémité libre de la plaque.</w:t>
      </w:r>
    </w:p>
    <w:p>
      <w:pPr>
        <w:pStyle w:val="Heading3"/>
        <w:spacing w:after="120" w:before="200"/>
      </w:pPr>
      <w:r>
        <w:rPr>
          <w:rFonts w:ascii="Times New Roman" w:cs="Times New Roman" w:eastAsia="Times New Roman" w:hAnsi="Times New Roman"/>
          <w:b/>
          <w:bCs/>
          <w:color w:val="000000"/>
          <w:sz w:val="24"/>
          <w:szCs w:val="24"/>
        </w:rPr>
        <w:t xml:space="preserve">3.2.2. Couplage piézoélectrique</w:t>
      </w:r>
    </w:p>
    <w:p>
      <w:pPr>
        <w:spacing w:after="120" w:line="300"/>
        <w:jc w:val="both"/>
      </w:pPr>
      <w:r>
        <w:rPr>
          <w:rFonts w:ascii="Times New Roman" w:cs="Times New Roman" w:eastAsia="Times New Roman" w:hAnsi="Times New Roman"/>
          <w:sz w:val="24"/>
          <w:szCs w:val="24"/>
        </w:rPr>
        <w:t xml:space="preserve">Le patch collé impose, par effet d31, un moment réparti sur sa surface. La projection de ce moment sur les fonctions de forme conduit au vecteur d'effort physique H_pe = m_p ∇²N intégré sur l'emprise du patch, avec m_p = −E_p d31 (b_p + h_p)/[2(1 − ν_p)], puis à sa projection modale. Une tension d'un volt produit ainsi un effort modal parfaitement défini, sans paramètre ajusté.</w:t>
      </w:r>
    </w:p>
    <w:p>
      <w:pPr>
        <w:pStyle w:val="Heading3"/>
        <w:spacing w:after="120" w:before="200"/>
      </w:pPr>
      <w:r>
        <w:rPr>
          <w:rFonts w:ascii="Times New Roman" w:cs="Times New Roman" w:eastAsia="Times New Roman" w:hAnsi="Times New Roman"/>
          <w:b/>
          <w:bCs/>
          <w:color w:val="000000"/>
          <w:sz w:val="24"/>
          <w:szCs w:val="24"/>
        </w:rPr>
        <w:t xml:space="preserve">3.2.3. Modèle « précis » : masse et raideur du patch</w:t>
      </w:r>
    </w:p>
    <w:p>
      <w:pPr>
        <w:spacing w:after="120" w:line="300"/>
        <w:jc w:val="both"/>
      </w:pPr>
      <w:r>
        <w:rPr>
          <w:rFonts w:ascii="Times New Roman" w:cs="Times New Roman" w:eastAsia="Times New Roman" w:hAnsi="Times New Roman"/>
          <w:sz w:val="24"/>
          <w:szCs w:val="24"/>
        </w:rPr>
        <w:t xml:space="preserve">Le modèle source traite le patch uniquement comme une source d'effort et néglige sa masse et sa raideur de flexion. Or le patch couvre une fraction significative de la plaque près de l'encastrement, là où l'énergie de déformation du premier mode est maximale. Le modèle précis développé ici l'intègre comme une section composite : sur les éléments couverts, l'axe neutre est déplacé de z̄, et les rigidités de flexion locales sont augmentées des contributions du patch (ΔD₁, ΔD₂), de même que la masse surfacique. L'analyse modale est ensuite refaite sur le modèle composite et le vecteur H_pe reprojeté sur la nouvelle base.</w:t>
      </w:r>
    </w:p>
    <w:p>
      <w:pPr>
        <w:pStyle w:val="Heading3"/>
        <w:spacing w:after="120" w:before="200"/>
      </w:pPr>
      <w:r>
        <w:rPr>
          <w:rFonts w:ascii="Times New Roman" w:cs="Times New Roman" w:eastAsia="Times New Roman" w:hAnsi="Times New Roman"/>
          <w:b/>
          <w:bCs/>
          <w:color w:val="000000"/>
          <w:sz w:val="24"/>
          <w:szCs w:val="24"/>
        </w:rPr>
        <w:t xml:space="preserve">3.2.4. Validation expérimentale et convergence</w:t>
      </w:r>
    </w:p>
    <w:p>
      <w:pPr>
        <w:spacing w:after="120" w:line="300"/>
        <w:jc w:val="both"/>
      </w:pPr>
      <w:r>
        <w:rPr>
          <w:rFonts w:ascii="Times New Roman" w:cs="Times New Roman" w:eastAsia="Times New Roman" w:hAnsi="Times New Roman"/>
          <w:sz w:val="24"/>
          <w:szCs w:val="24"/>
        </w:rPr>
        <w:t xml:space="preserve">Le tableau 3-1 confronte les cinq premières fréquences propres calculées aux fréquences mesurées publiées dans [Du 2024], ainsi qu'au modèle théorique des auteurs eux-mêmes. Le modèle nu (sans dynamique de patch) place le mode 1 — le mode dominant du broutement — à −3,51 % de la mesure ; le modèle précis le ramène à +0,12 %, soit une réduction de trente fois de l'erreur sur le mode qui gouverne la stabilité. Sur les cinq modes, l'erreur moyenne absolue du modèle précis (1,44 %) est inférieure à celle du modèle théorique de l'article source (1,93 %) ; celle du modèle nu (1,34 %) est comparable, mais concentrée précisément sur le mode dominant, là où elle est la plus nuisible aux prédictions de stabilité. La convergence de maillage est vérifiée de 20 × 16 à 50 × 40 éléments (écart de 0,05 % sur f₁ entre 30 × 24 et 50 × 40), et la sensibilité à la masse volumique supposée du PZT reste inférieure à 0,3 % sur f₁. La figure 3-1 rassemble la validation, la convergence et l'effet des couches de fidélité sur les conclusions de contrôle.</w:t>
      </w:r>
    </w:p>
    <w:p>
      <w:pPr>
        <w:spacing w:after="80" w:before="160"/>
        <w:jc w:val="center"/>
      </w:pPr>
      <w:r>
        <w:rPr>
          <w:rFonts w:ascii="Times New Roman" w:cs="Times New Roman" w:eastAsia="Times New Roman" w:hAnsi="Times New Roman"/>
          <w:sz w:val="22"/>
          <w:szCs w:val="22"/>
        </w:rPr>
        <w:t xml:space="preserve">Tableau 3-1. Validation du modèle précis : fréquences propres calculées et mesurées (Hz), erreurs relatives.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92"/>
        <w:gridCol w:w="1289"/>
        <w:gridCol w:w="1289"/>
        <w:gridCol w:w="1289"/>
        <w:gridCol w:w="1289"/>
        <w:gridCol w:w="1289"/>
        <w:gridCol w:w="1289"/>
      </w:tblGrid>
      <w:tr>
        <w:tc>
          <w:tcPr>
            <w:tcW w:type="dxa" w:w="1292"/>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Mode</w:t>
            </w:r>
          </w:p>
        </w:tc>
        <w:tc>
          <w:tcPr>
            <w:tcW w:type="dxa" w:w="1292"/>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Mesure [Du 2024]</w:t>
            </w:r>
          </w:p>
        </w:tc>
        <w:tc>
          <w:tcPr>
            <w:tcW w:type="dxa" w:w="1292"/>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Modèle nu</w:t>
            </w:r>
          </w:p>
        </w:tc>
        <w:tc>
          <w:tcPr>
            <w:tcW w:type="dxa" w:w="1292"/>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Erreur</w:t>
            </w:r>
          </w:p>
        </w:tc>
        <w:tc>
          <w:tcPr>
            <w:tcW w:type="dxa" w:w="1292"/>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Modèle précis</w:t>
            </w:r>
          </w:p>
        </w:tc>
        <w:tc>
          <w:tcPr>
            <w:tcW w:type="dxa" w:w="1292"/>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Erreur</w:t>
            </w:r>
          </w:p>
        </w:tc>
        <w:tc>
          <w:tcPr>
            <w:tcW w:type="dxa" w:w="1292"/>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Théorie [Du 2024]</w:t>
            </w:r>
          </w:p>
        </w:tc>
      </w:tr>
      <w:tr>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540</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521,1</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−3,51 %</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540,6</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+0,12 %</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537 (−0,56 %)</w:t>
            </w:r>
          </w:p>
        </w:tc>
      </w:tr>
      <w:tr>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1068</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1069,9</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+0,18 %</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1092,0</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+2,24 %</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1101 (+3,09 %)</w:t>
            </w:r>
          </w:p>
        </w:tc>
      </w:tr>
      <w:tr>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2787</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2733,0</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−1,94 %</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2739,2</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−1,72 %</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2805 (+0,65 %)</w:t>
            </w:r>
          </w:p>
        </w:tc>
      </w:tr>
      <w:tr>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3351</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3334,4</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−0,50 %</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3405,2</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+1,62 %</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3423 (+2,15 %)</w:t>
            </w:r>
          </w:p>
        </w:tc>
      </w:tr>
      <w:tr>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5</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4122</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4145,6</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+0,57 %</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4183,8</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+1,50 %</w:t>
            </w:r>
          </w:p>
        </w:tc>
        <w:tc>
          <w:tcPr>
            <w:tcW w:type="dxa" w:w="1292"/>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4254 (+3,20 %)</w:t>
            </w:r>
          </w:p>
        </w:tc>
      </w:tr>
    </w:tbl>
    <w:p>
      <w:pPr>
        <w:spacing w:after="160"/>
      </w:pPr>
    </w:p>
    <w:p>
      <w:pPr>
        <w:spacing w:after="80" w:before="160"/>
        <w:jc w:val="center"/>
      </w:pPr>
      <w:r>
        <w:drawing>
          <wp:inline distT="0" distB="0" distL="0" distR="0">
            <wp:extent cx="576262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2428875"/>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22"/>
          <w:szCs w:val="22"/>
        </w:rPr>
        <w:t xml:space="preserve">Figure 3-1. Modèle précis : validation contre les fréquences mesurées, convergence de maillage et effet des couches de fidélité (troncature modale, résolution d'échantillonnage) sur les métriques de contrôle.</w:t>
      </w:r>
    </w:p>
    <w:p>
      <w:pPr>
        <w:pStyle w:val="Heading2"/>
        <w:spacing w:after="160" w:before="240"/>
      </w:pPr>
      <w:r>
        <w:rPr>
          <w:rFonts w:ascii="Times New Roman" w:cs="Times New Roman" w:eastAsia="Times New Roman" w:hAnsi="Times New Roman"/>
          <w:b/>
          <w:bCs/>
          <w:color w:val="000000"/>
          <w:sz w:val="28"/>
          <w:szCs w:val="28"/>
        </w:rPr>
        <w:t xml:space="preserve">3.3. Effort de coupe régénératif et intégration temporelle</w:t>
      </w:r>
    </w:p>
    <w:p>
      <w:pPr>
        <w:spacing w:after="120" w:line="300"/>
        <w:jc w:val="both"/>
      </w:pPr>
      <w:r>
        <w:rPr>
          <w:rFonts w:ascii="Times New Roman" w:cs="Times New Roman" w:eastAsia="Times New Roman" w:hAnsi="Times New Roman"/>
          <w:sz w:val="24"/>
          <w:szCs w:val="24"/>
        </w:rPr>
        <w:t xml:space="preserve">Les coefficients a₃(t) et a₄(t) de l'équation (3.1) résultent de l'intégration, le long des arêtes hélicoïdales engagées, des efforts élémentaires sur la fenêtre angulaire d'engagement (fraisage de profil, aₑ = 0,1 mm, avance 0,02 mm/dent). Ils sont strictement périodiques de période τ et sont pré-calculés sur une période. La réponse temporelle est intégrée par un schéma de Newmark implicite (γ = 1/2, β = 1/4) portant l'état retardé dans une mémoire circulaire de longueur τ/Δt ; l'actionneur piézoélectrique réaliste applique la saturation ±150 V, la limite de vitesse de balayage et l'hystérésis lorsque requis. Le pas retenu pour toutes les évaluations de ce chapitre est Δt = 25 μs (20 kHz), valeur dont la nécessité — et le danger d'un pas plus grossier — est établie par l'analyse de résolution d'échantillonnage du chapitre 4.</w:t>
      </w:r>
    </w:p>
    <w:p>
      <w:pPr>
        <w:pStyle w:val="Heading2"/>
        <w:spacing w:after="160" w:before="240"/>
      </w:pPr>
      <w:r>
        <w:rPr>
          <w:rFonts w:ascii="Times New Roman" w:cs="Times New Roman" w:eastAsia="Times New Roman" w:hAnsi="Times New Roman"/>
          <w:b/>
          <w:bCs/>
          <w:color w:val="000000"/>
          <w:sz w:val="28"/>
          <w:szCs w:val="28"/>
        </w:rPr>
        <w:t xml:space="preserve">3.4. Semi-discrétisation en boucle fermée (CL-SD)</w:t>
      </w:r>
    </w:p>
    <w:p>
      <w:pPr>
        <w:pStyle w:val="Heading3"/>
        <w:spacing w:after="120" w:before="200"/>
      </w:pPr>
      <w:r>
        <w:rPr>
          <w:rFonts w:ascii="Times New Roman" w:cs="Times New Roman" w:eastAsia="Times New Roman" w:hAnsi="Times New Roman"/>
          <w:b/>
          <w:bCs/>
          <w:color w:val="000000"/>
          <w:sz w:val="24"/>
          <w:szCs w:val="24"/>
        </w:rPr>
        <w:t xml:space="preserve">3.4.1. Principe</w:t>
      </w:r>
    </w:p>
    <w:p>
      <w:pPr>
        <w:spacing w:after="120" w:line="300"/>
        <w:jc w:val="both"/>
      </w:pPr>
      <w:r>
        <w:rPr>
          <w:rFonts w:ascii="Times New Roman" w:cs="Times New Roman" w:eastAsia="Times New Roman" w:hAnsi="Times New Roman"/>
          <w:sz w:val="24"/>
          <w:szCs w:val="24"/>
        </w:rPr>
        <w:t xml:space="preserve">La stabilité du fraisage est classiquement jugée par semi-discrétisation [Insperger 2004] : sur chaque sous-intervalle de la période de dent, les coefficients sont gelés, l'état retardé est prélevé dans un vecteur d'histoire augmenté, et le rayon spectral ρ de la matrice de monodromie de Floquet décide de la stabilité (ρ &lt; 1 : stable ; ρ ≥ 1 : broutement). Un diagramme des lobes « contrôlé » n'a de sens que si la loi de commande est placée à l'intérieur de cette matrice. La méthode CL-SD développée ici augmente l'état de la plaque x = [q ; q̇] par l'état z du correcteur, pour toute loi linéaire de la forme :</w:t>
      </w:r>
    </w:p>
    <w:p>
      <w:pPr>
        <w:tabs>
          <w:tab w:val="right" w:pos="9026"/>
        </w:tabs>
        <w:spacing w:after="120" w:before="120"/>
        <w:ind w:left="567"/>
      </w:pPr>
      <w:r>
        <w:rPr>
          <w:rFonts w:ascii="Times New Roman" w:cs="Times New Roman" w:eastAsia="Times New Roman" w:hAnsi="Times New Roman"/>
          <w:i/>
          <w:iCs/>
          <w:sz w:val="24"/>
          <w:szCs w:val="24"/>
        </w:rPr>
        <w:t xml:space="preserve">ż = A_c z + B_c y,   u = C_c z + D_c y</w:t>
      </w:r>
      <w:r>
        <w:rPr>
          <w:rFonts w:ascii="Times New Roman" w:cs="Times New Roman" w:eastAsia="Times New Roman" w:hAnsi="Times New Roman"/>
          <w:sz w:val="24"/>
          <w:szCs w:val="24"/>
        </w:rPr>
        <w:t xml:space="preserve">	(3.3)</w:t>
      </w:r>
    </w:p>
    <w:p>
      <w:pPr>
        <w:spacing w:after="120" w:line="300"/>
        <w:jc w:val="both"/>
      </w:pPr>
      <w:r>
        <w:rPr>
          <w:rFonts w:ascii="Times New Roman" w:cs="Times New Roman" w:eastAsia="Times New Roman" w:hAnsi="Times New Roman"/>
          <w:sz w:val="24"/>
          <w:szCs w:val="24"/>
        </w:rPr>
        <w:t xml:space="preserve">de sorte que la LQG (avec son observateur de Kalman), l'ADRC (avec son observateur d'état étendu), le FOPID (avec ses états de réalisation d'Oustaloup) et le correcteur hybride s'analysent tous par la même interface, sans cas particulier. La profondeur critique a_p,crit est obtenue par balayage et dichotomie sur la première traversée ρ = 1.</w:t>
      </w:r>
    </w:p>
    <w:p>
      <w:pPr>
        <w:pStyle w:val="Heading3"/>
        <w:spacing w:after="120" w:before="200"/>
      </w:pPr>
      <w:r>
        <w:rPr>
          <w:rFonts w:ascii="Times New Roman" w:cs="Times New Roman" w:eastAsia="Times New Roman" w:hAnsi="Times New Roman"/>
          <w:b/>
          <w:bCs/>
          <w:color w:val="000000"/>
          <w:sz w:val="24"/>
          <w:szCs w:val="24"/>
        </w:rPr>
        <w:t xml:space="preserve">3.4.2. Validation</w:t>
      </w:r>
    </w:p>
    <w:p>
      <w:pPr>
        <w:spacing w:after="120" w:line="300"/>
        <w:jc w:val="both"/>
      </w:pPr>
      <w:r>
        <w:rPr>
          <w:rFonts w:ascii="Times New Roman" w:cs="Times New Roman" w:eastAsia="Times New Roman" w:hAnsi="Times New Roman"/>
          <w:sz w:val="24"/>
          <w:szCs w:val="24"/>
        </w:rPr>
        <w:t xml:space="preserve">En boucle ouverte, la méthode donne a_p,crit ≈ 0,063 mm à 4900 tr/min sur le modèle nominal, en accord avec l'ordre de grandeur expérimental publié (≈ 0,1 mm) pour cette plaque : l'assemblage est physiquement correct. Toute frontière « contrôlée » annoncée dans la suite est calculée par cette voie — jamais par un raccourci du type mise à l'échelle de l'amortissement modal, dont il est facile de montrer qu'il surestime plusieurs fois le bénéfice réel.</w:t>
      </w:r>
    </w:p>
    <w:p>
      <w:pPr>
        <w:pStyle w:val="Heading2"/>
        <w:spacing w:after="160" w:before="240"/>
      </w:pPr>
      <w:r>
        <w:rPr>
          <w:rFonts w:ascii="Times New Roman" w:cs="Times New Roman" w:eastAsia="Times New Roman" w:hAnsi="Times New Roman"/>
          <w:b/>
          <w:bCs/>
          <w:color w:val="000000"/>
          <w:sz w:val="28"/>
          <w:szCs w:val="28"/>
        </w:rPr>
        <w:t xml:space="preserve">3.5. Métrique de stabilité à deux étages</w:t>
      </w:r>
    </w:p>
    <w:p>
      <w:pPr>
        <w:spacing w:after="120" w:line="300"/>
        <w:jc w:val="both"/>
      </w:pPr>
      <w:r>
        <w:rPr>
          <w:rFonts w:ascii="Times New Roman" w:cs="Times New Roman" w:eastAsia="Times New Roman" w:hAnsi="Times New Roman"/>
          <w:sz w:val="24"/>
          <w:szCs w:val="24"/>
        </w:rPr>
        <w:t xml:space="preserve">La frontière linéaire ignore la saturation de l'actionneur. Or un correcteur agressif peut afficher une frontière linéaire spectaculaire tout en étant incapable, à ±150 V, de fournir l'effort qu'elle suppose. La métrique retenue est donc à deux étages : (i) l'étage linéaire CL-SD, rapide, sert au réglage et au pré-filtrage ; (ii) l'étage « faisable en tension » mesure, par dichotomie sur des simulations temporelles non linéaires saturées, la plus grande profondeur de passe restant exempte de broutement (divergence ou RMS stationnaire de pointe &gt; 50 μm). C'est l'étage (ii) qui a valeur de verdict ; le chapitre 4 montrera que les deux étages peuvent classer des configurations en ordre quasi inverse.</w:t>
      </w:r>
    </w:p>
    <w:p>
      <w:pPr>
        <w:pStyle w:val="Heading2"/>
        <w:spacing w:after="160" w:before="240"/>
      </w:pPr>
      <w:r>
        <w:rPr>
          <w:rFonts w:ascii="Times New Roman" w:cs="Times New Roman" w:eastAsia="Times New Roman" w:hAnsi="Times New Roman"/>
          <w:b/>
          <w:bCs/>
          <w:color w:val="000000"/>
          <w:sz w:val="28"/>
          <w:szCs w:val="28"/>
        </w:rPr>
        <w:t xml:space="preserve">3.6. Comparaison des correcteurs sur le capteur d'origine (pointe)</w:t>
      </w:r>
    </w:p>
    <w:p>
      <w:pPr>
        <w:pStyle w:val="Heading3"/>
        <w:spacing w:after="120" w:before="200"/>
      </w:pPr>
      <w:r>
        <w:rPr>
          <w:rFonts w:ascii="Times New Roman" w:cs="Times New Roman" w:eastAsia="Times New Roman" w:hAnsi="Times New Roman"/>
          <w:b/>
          <w:bCs/>
          <w:color w:val="000000"/>
          <w:sz w:val="24"/>
          <w:szCs w:val="24"/>
        </w:rPr>
        <w:t xml:space="preserve">3.6.1. Un capteur non minimum de phase</w:t>
      </w:r>
    </w:p>
    <w:p>
      <w:pPr>
        <w:spacing w:after="120" w:line="300"/>
        <w:jc w:val="both"/>
      </w:pPr>
      <w:r>
        <w:rPr>
          <w:rFonts w:ascii="Times New Roman" w:cs="Times New Roman" w:eastAsia="Times New Roman" w:hAnsi="Times New Roman"/>
          <w:sz w:val="24"/>
          <w:szCs w:val="24"/>
        </w:rPr>
        <w:t xml:space="preserve">Sur ce montage, le transfert tension → déplacement de pointe possède des zéros à partie réelle positive : les couplages modaux D_tip·H_pe sont de signes alternés (−, +, −, −, +), avec un gain instantané b₀ = +0,38 mais un couplage du mode 1 négatif. Cette structure non minimum de phase (NMP) borne fondamentalement ce qu'une rétroaction de sortie peut accomplir, et elle décide — comme on va le voir — de la viabilité même des classes de correcteurs.</w:t>
      </w:r>
    </w:p>
    <w:p>
      <w:pPr>
        <w:pStyle w:val="Heading3"/>
        <w:spacing w:after="120" w:before="200"/>
      </w:pPr>
      <w:r>
        <w:rPr>
          <w:rFonts w:ascii="Times New Roman" w:cs="Times New Roman" w:eastAsia="Times New Roman" w:hAnsi="Times New Roman"/>
          <w:b/>
          <w:bCs/>
          <w:color w:val="000000"/>
          <w:sz w:val="24"/>
          <w:szCs w:val="24"/>
        </w:rPr>
        <w:t xml:space="preserve">3.6.2. Résultats : une hiérarchie tranchée</w:t>
      </w:r>
    </w:p>
    <w:p>
      <w:pPr>
        <w:spacing w:after="120" w:line="300"/>
        <w:jc w:val="both"/>
      </w:pPr>
      <w:r>
        <w:rPr>
          <w:rFonts w:ascii="Times New Roman" w:cs="Times New Roman" w:eastAsia="Times New Roman" w:hAnsi="Times New Roman"/>
          <w:sz w:val="24"/>
          <w:szCs w:val="24"/>
        </w:rPr>
        <w:t xml:space="preserve">Quatre correcteurs sont comparés dans des conditions strictement identiques : plante raffinée à cinq modes, Δt = 25 μs, saturation ±150 V, unique mesure de pointe. La LQG conserve son observateur de Kalman à état complet ; l'ADRC classique est réglé sur une grille de bandes passantes (ω_c = 200 à 1800 rad/s) ; le FOPID C(s) = K_p + K_i s^(−λ) + K_d s^(μ) est réalisé par approximation d'Oustaloup (N = 3, bande [5, 8000] Hz maintenue sous le Nyquist pour que la réalisation continue insérée dans la CL-SD et la réalisation discrète déployée coïncident), et ses gains comme ses ordres fractionnaires sont optimisés par évolution différentielle directement sur le rayon spectral de la CL-SD — l'analogue exact de la latitude de réglage accordée aux autres correcteurs — puis sélectionnés par la métrique faisable.</w:t>
      </w:r>
    </w:p>
    <w:p>
      <w:pPr>
        <w:spacing w:after="80" w:before="160"/>
        <w:jc w:val="center"/>
      </w:pPr>
      <w:r>
        <w:rPr>
          <w:rFonts w:ascii="Times New Roman" w:cs="Times New Roman" w:eastAsia="Times New Roman" w:hAnsi="Times New Roman"/>
          <w:sz w:val="22"/>
          <w:szCs w:val="22"/>
        </w:rPr>
        <w:t xml:space="preserve">Tableau 3-2. Comparaison sur le capteur de pointe (plante raffinée, ±150 V) : profondeur faisable et résidu vibratoire.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c>
          <w:tcPr>
            <w:tcW w:type="dxa" w:w="2258"/>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Correcteur</w:t>
            </w:r>
          </w:p>
        </w:tc>
        <w:tc>
          <w:tcPr>
            <w:tcW w:type="dxa" w:w="2258"/>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Information requise</w:t>
            </w:r>
          </w:p>
        </w:tc>
        <w:tc>
          <w:tcPr>
            <w:tcW w:type="dxa" w:w="2258"/>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a_p faisable</w:t>
            </w:r>
          </w:p>
        </w:tc>
        <w:tc>
          <w:tcPr>
            <w:tcW w:type="dxa" w:w="2258"/>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RMS de pointe à 0,15 mm</w:t>
            </w:r>
          </w:p>
        </w:tc>
      </w:tr>
      <w:tr>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Boucle ouverte</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0,06 mm (linéaire)</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broutement</w:t>
            </w:r>
          </w:p>
        </w:tc>
      </w:tr>
      <w:tr>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LQG (Kalman + LQR)</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modèle d'état complet</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1,29 mm</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0,23 μm (18 V)</w:t>
            </w:r>
          </w:p>
        </w:tc>
      </w:tr>
      <w:tr>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ADRC classique</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b₀ seul</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0,00 mm — échec</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instable</w:t>
            </w:r>
          </w:p>
        </w:tc>
      </w:tr>
      <w:tr>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FOPID</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aucune</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0,20 mm</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1,30 μm (3,6 V)</w:t>
            </w:r>
          </w:p>
        </w:tc>
      </w:tr>
      <w:tr>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Hybride ADRC–FOPID (§3.7)</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b₀_eff, ω_o (recherchés)</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0,83 mm</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37 μm (saturé)</w:t>
            </w:r>
          </w:p>
        </w:tc>
      </w:tr>
    </w:tbl>
    <w:p>
      <w:pPr>
        <w:spacing w:after="160"/>
      </w:pPr>
    </w:p>
    <w:p>
      <w:pPr>
        <w:spacing w:after="120" w:line="300"/>
        <w:jc w:val="both"/>
      </w:pPr>
      <w:r>
        <w:rPr>
          <w:rFonts w:ascii="Times New Roman" w:cs="Times New Roman" w:eastAsia="Times New Roman" w:hAnsi="Times New Roman"/>
          <w:sz w:val="24"/>
          <w:szCs w:val="24"/>
        </w:rPr>
        <w:t xml:space="preserve">Trois constats, chacun calculé. Premièrement, l'ADRC classique échoue totalement : à toutes les bandes passantes essayées, sa frontière linéaire reste au plancher et la boucle saturée diverge dès 0,2 mm. La cause est structurelle : l'observateur d'état étendu estime une perturbation globale et l'annule en inversant de fait la plante à travers ses zéros à partie réelle positive — un sous-ensemble de modes voit alors une rétroaction positive quelle que soit la bande. Deuxièmement, le FOPID seul survit mais reste faible (0,20 mm, à peine au-dessus de la boucle ouverte) : une structure fixe ne peut fournir assez d'avance de phase à travers les zéros NMP. Troisièmement, la LQG fonctionne (1,29 mm) parce que son observateur de Kalman est construit sur le modèle d'état complet — y compris les contributions modales de signes contraires — qu'il inverse en connaissance de cause. La figure 3-2 montre notamment les trajectoires temporelles à 0,5 mm : la LQG tient la passe, l'ADRC et le FOPID divergent jusqu'au seuil de broutement.</w:t>
      </w:r>
    </w:p>
    <w:p>
      <w:pPr>
        <w:spacing w:after="80" w:before="160"/>
        <w:jc w:val="center"/>
      </w:pPr>
      <w:r>
        <w:drawing>
          <wp:inline distT="0" distB="0" distL="0" distR="0">
            <wp:extent cx="576262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143375"/>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22"/>
          <w:szCs w:val="22"/>
        </w:rPr>
        <w:t xml:space="preserve">Figure 3-2. Comparaison sur le seul capteur de pointe (mesure d'origine du montage) : (a) profondeurs faisables ; (b) réponses temporelles à 0,5 mm — les trajectoires divergentes s'interrompent au seuil de broutement ; (c) rejet à 0,15 mm ; (d) robustesse à la dérive fréquentielle.</w:t>
      </w:r>
    </w:p>
    <w:p>
      <w:pPr>
        <w:pStyle w:val="Heading2"/>
        <w:spacing w:after="160" w:before="240"/>
      </w:pPr>
      <w:r>
        <w:rPr>
          <w:rFonts w:ascii="Times New Roman" w:cs="Times New Roman" w:eastAsia="Times New Roman" w:hAnsi="Times New Roman"/>
          <w:b/>
          <w:bCs/>
          <w:color w:val="000000"/>
          <w:sz w:val="28"/>
          <w:szCs w:val="28"/>
        </w:rPr>
        <w:t xml:space="preserve">3.7. Correcteur hybride ADRC–FOPID co-conçu</w:t>
      </w:r>
    </w:p>
    <w:p>
      <w:pPr>
        <w:pStyle w:val="Heading3"/>
        <w:spacing w:after="120" w:before="200"/>
      </w:pPr>
      <w:r>
        <w:rPr>
          <w:rFonts w:ascii="Times New Roman" w:cs="Times New Roman" w:eastAsia="Times New Roman" w:hAnsi="Times New Roman"/>
          <w:b/>
          <w:bCs/>
          <w:color w:val="000000"/>
          <w:sz w:val="24"/>
          <w:szCs w:val="24"/>
        </w:rPr>
        <w:t xml:space="preserve">3.7.1. Structure</w:t>
      </w:r>
    </w:p>
    <w:p>
      <w:pPr>
        <w:spacing w:after="120" w:line="300"/>
        <w:jc w:val="both"/>
      </w:pPr>
      <w:r>
        <w:rPr>
          <w:rFonts w:ascii="Times New Roman" w:cs="Times New Roman" w:eastAsia="Times New Roman" w:hAnsi="Times New Roman"/>
          <w:sz w:val="24"/>
          <w:szCs w:val="24"/>
        </w:rPr>
        <w:t xml:space="preserve">L'échec de l'ADRC et la faiblesse du FOPID sont complémentaires : le premier possède l'estimation de perturbation qui manque au second, le second possède le façonnage de boucle large bande qui manque au premier. Le correcteur hybride les fusionne sur l'unique capteur de pointe :</w:t>
      </w:r>
    </w:p>
    <w:p>
      <w:pPr>
        <w:tabs>
          <w:tab w:val="right" w:pos="9026"/>
        </w:tabs>
        <w:spacing w:after="120" w:before="120"/>
        <w:ind w:left="567"/>
      </w:pPr>
      <w:r>
        <w:rPr>
          <w:rFonts w:ascii="Times New Roman" w:cs="Times New Roman" w:eastAsia="Times New Roman" w:hAnsi="Times New Roman"/>
          <w:i/>
          <w:iCs/>
          <w:sz w:val="24"/>
          <w:szCs w:val="24"/>
        </w:rPr>
        <w:t xml:space="preserve">u = u_ESO + u_FOPID,   u_ESO = (−ω_c² z₁ − 2ω_c z₂ − z₃)/b₀_eff,   u_FOPID = −σ (K_p + K_i s^(−λ) + K_d s^(μ)) y</w:t>
      </w:r>
      <w:r>
        <w:rPr>
          <w:rFonts w:ascii="Times New Roman" w:cs="Times New Roman" w:eastAsia="Times New Roman" w:hAnsi="Times New Roman"/>
          <w:sz w:val="24"/>
          <w:szCs w:val="24"/>
        </w:rPr>
        <w:t xml:space="preserve">	(3.4)</w:t>
      </w:r>
    </w:p>
    <w:p>
      <w:pPr>
        <w:spacing w:after="120" w:line="300"/>
        <w:jc w:val="both"/>
      </w:pPr>
      <w:r>
        <w:rPr>
          <w:rFonts w:ascii="Times New Roman" w:cs="Times New Roman" w:eastAsia="Times New Roman" w:hAnsi="Times New Roman"/>
          <w:sz w:val="24"/>
          <w:szCs w:val="24"/>
        </w:rPr>
        <w:t xml:space="preserve">avec une différence décisive par rapport à l'ADRC classique : la bande passante de l'observateur ω_o et le gain d'entrée effectif signé b₀_eff sont des paramètres de conception libres. Un observateur à bande étroite ne voit essentiellement que la sous-plante du mode 1, dont le couplage en pointe possède un signe défini (négatif) : avec un b₀_eff de signe assorti, son estimation de perturbation est cohérente précisément dans la bande où vit le broutement régénératif, tandis que la branche FOPID façonne la boucle ailleurs. Les deux branches étant linéaires, l'hybride s'exporte sous la forme (3.3) — l'observateur voyant la tension totale, ce qui fixe exactement les couplages de la forme augmentée — et s'insère dans la monodromie CL-SD sans aucun cas particulier. L'implantation est validée trois fois : la branche ESO reproduit l'ADRC de référence à la précision machine ; l'export coïncide avec la forme analytique (G_y + F)/(1 − G_u) à 10⁻¹⁴ près ; le pas discret déployé et l'export continu concordent à moins de 1 % en boucle fermée.</w:t>
      </w:r>
    </w:p>
    <w:p>
      <w:pPr>
        <w:pStyle w:val="Heading3"/>
        <w:spacing w:after="120" w:before="200"/>
      </w:pPr>
      <w:r>
        <w:rPr>
          <w:rFonts w:ascii="Times New Roman" w:cs="Times New Roman" w:eastAsia="Times New Roman" w:hAnsi="Times New Roman"/>
          <w:b/>
          <w:bCs/>
          <w:color w:val="000000"/>
          <w:sz w:val="24"/>
          <w:szCs w:val="24"/>
        </w:rPr>
        <w:t xml:space="preserve">3.7.2. Conception en deux étapes et règle qui en découle</w:t>
      </w:r>
    </w:p>
    <w:p>
      <w:pPr>
        <w:spacing w:after="120" w:line="300"/>
        <w:jc w:val="both"/>
      </w:pPr>
      <w:r>
        <w:rPr>
          <w:rFonts w:ascii="Times New Roman" w:cs="Times New Roman" w:eastAsia="Times New Roman" w:hAnsi="Times New Roman"/>
          <w:sz w:val="24"/>
          <w:szCs w:val="24"/>
        </w:rPr>
        <w:t xml:space="preserve">La conception est volontairement scindée. L'étape A fige le meilleur FOPID de pointe et cherche seulement l'ajout d'observateur (trois paramètres, les deux signes) : aucun réglage stabilisant n'existe — le « retrofit » d'un ESO sur un correcteur existant est prouvé impossible sur cette plante NMP. L'étape B co-conçoit conjointement les huit paramètres par évolution différentielle sur le rayon spectral : elle trouve la solution, et dans un recoin physiquement parlant — b₀_eff = −0,55 (le signe et l'ordre de grandeur du couplage du mode 1, opposés au gain instantané +0,38), bande d'observateur ω_o ≈ 3058 rad/s ≈ 487 Hz (une bande autour du mode 1 à 540 Hz), la branche FOPID se reconfigurant pour libérer cette bande (μ passe de 0,64 à 0,30). Le résultat : une profondeur faisable de 0,83 mm — quatre fois le meilleur correcteur à structure fixe, là où l'ADRC classique vaut zéro. La règle de conception est elle-même un résultat : sur un canal NMP, un observateur de perturbation globale doit être limité en bande et assorti en signe à un unique mode dominant, et son correcteur compagnon doit être co-conçu autour de lui.</w:t>
      </w:r>
    </w:p>
    <w:p>
      <w:pPr>
        <w:pStyle w:val="Heading3"/>
        <w:spacing w:after="120" w:before="200"/>
      </w:pPr>
      <w:r>
        <w:rPr>
          <w:rFonts w:ascii="Times New Roman" w:cs="Times New Roman" w:eastAsia="Times New Roman" w:hAnsi="Times New Roman"/>
          <w:b/>
          <w:bCs/>
          <w:color w:val="000000"/>
          <w:sz w:val="24"/>
          <w:szCs w:val="24"/>
        </w:rPr>
        <w:t xml:space="preserve">3.7.3. Les coûts, énoncés sans détour</w:t>
      </w:r>
    </w:p>
    <w:p>
      <w:pPr>
        <w:spacing w:after="120" w:line="300"/>
        <w:jc w:val="both"/>
      </w:pPr>
      <w:r>
        <w:rPr>
          <w:rFonts w:ascii="Times New Roman" w:cs="Times New Roman" w:eastAsia="Times New Roman" w:hAnsi="Times New Roman"/>
          <w:sz w:val="24"/>
          <w:szCs w:val="24"/>
        </w:rPr>
        <w:t xml:space="preserve">L'hybride v1 paie sa marge trois fois. À faible profondeur, il chevauche un cycle limite saturé d'environ 37 μm RMS — stable, mais très loin des 0,23 μm de la LQG : c'est un extenseur de frontière, pas un correcteur d'état de surface. À −20 % de dérive fréquentielle, sa profondeur faisable s'effondre à zéro. Enfin, sa frontière linéaire sur la plante raffinée à cinq modes tombe au plancher (débordement modal, « spillover », par les modes non modélisés de 3,4–4,1 kHz), la boucle saturée survivant seule — nouvelle illustration du besoin de la métrique à deux étages.</w:t>
      </w:r>
    </w:p>
    <w:p>
      <w:pPr>
        <w:pStyle w:val="Heading2"/>
        <w:spacing w:after="160" w:before="240"/>
      </w:pPr>
      <w:r>
        <w:rPr>
          <w:rFonts w:ascii="Times New Roman" w:cs="Times New Roman" w:eastAsia="Times New Roman" w:hAnsi="Times New Roman"/>
          <w:b/>
          <w:bCs/>
          <w:color w:val="000000"/>
          <w:sz w:val="28"/>
          <w:szCs w:val="28"/>
        </w:rPr>
        <w:t xml:space="preserve">3.8. Seconde itération : fuite d'observateur, roll-off d'injection, min-max robuste</w:t>
      </w:r>
    </w:p>
    <w:p>
      <w:pPr>
        <w:spacing w:after="120" w:line="300"/>
        <w:jc w:val="both"/>
      </w:pPr>
      <w:r>
        <w:rPr>
          <w:rFonts w:ascii="Times New Roman" w:cs="Times New Roman" w:eastAsia="Times New Roman" w:hAnsi="Times New Roman"/>
          <w:sz w:val="24"/>
          <w:szCs w:val="24"/>
        </w:rPr>
        <w:t xml:space="preserve">Chacune des trois faiblesses reçoit un élément de correction, linéaire lui aussi. Une fuite ε sur l'état de perturbation (ż₃ ← ż₃ − ε z₃) borne l'estimation dont l'intégration sans limite précipitait l'actionneur dans le cycle limite. Un filtre passe-bas du premier ordre de fréquence de coupure ω_f sur l'injection de l'observateur replie l'inversion du mode 1 avant les modes de débordement. Un objectif min-max (v2-R) minimise le pire multiplicateur de Floquet sur les plantes déviées de −20/0/+20 % (pénalité au pire plancher), l'objectif nominal (v2-N) restant en référence. Les dix paramètres sont co-recherchés par la même évolution différentielle, sur les deux signes de gain ; l'attribution des gains est contrôlée par une ablation (éléments retirés, gains conservés).</w:t>
      </w:r>
    </w:p>
    <w:p>
      <w:pPr>
        <w:spacing w:after="80" w:before="160"/>
        <w:jc w:val="center"/>
      </w:pPr>
      <w:r>
        <w:rPr>
          <w:rFonts w:ascii="Times New Roman" w:cs="Times New Roman" w:eastAsia="Times New Roman" w:hAnsi="Times New Roman"/>
          <w:sz w:val="22"/>
          <w:szCs w:val="22"/>
        </w:rPr>
        <w:t xml:space="preserve">Tableau 3-3. Itération v2 de l'hybride : les trois faiblesses, les corrections, les résultats calculés.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5"/>
        <w:gridCol w:w="1805"/>
        <w:gridCol w:w="1805"/>
        <w:gridCol w:w="1805"/>
      </w:tblGrid>
      <w:tr>
        <w:tc>
          <w:tcPr>
            <w:tcW w:type="dxa" w:w="1806"/>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Conception</w:t>
            </w:r>
          </w:p>
        </w:tc>
        <w:tc>
          <w:tcPr>
            <w:tcW w:type="dxa" w:w="1806"/>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a_p faisable</w:t>
            </w:r>
          </w:p>
        </w:tc>
        <w:tc>
          <w:tcPr>
            <w:tcW w:type="dxa" w:w="1806"/>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RMS à 0,15 mm</w:t>
            </w:r>
          </w:p>
        </w:tc>
        <w:tc>
          <w:tcPr>
            <w:tcW w:type="dxa" w:w="1806"/>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Frontière linéaire (plante raffinée)</w:t>
            </w:r>
          </w:p>
        </w:tc>
        <w:tc>
          <w:tcPr>
            <w:tcW w:type="dxa" w:w="1806"/>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Dérive −20 % / +20 %</w:t>
            </w:r>
          </w:p>
        </w:tc>
      </w:tr>
      <w:tr>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Hybride v1</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0,83 mm</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37 μm (saturé, 150 V)</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0,01 mm (plancher)</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0,00 / 0,74 mm</w:t>
            </w:r>
          </w:p>
        </w:tc>
      </w:tr>
      <w:tr>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v2-N (nominal)</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0,47 mm</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0,39 μm (2,4 V)</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0,24 mm</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0,00 / 0,29 mm</w:t>
            </w:r>
          </w:p>
        </w:tc>
      </w:tr>
      <w:tr>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v2-R (min-max)</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0,65 mm</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0,29 μm (1,6 V)</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0,96 mm</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0,00 / 0,29 mm</w:t>
            </w:r>
          </w:p>
        </w:tc>
      </w:tr>
      <w:tr>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LQG (référence)</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1,29 mm</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0,23 μm (18 V)</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w:t>
            </w:r>
          </w:p>
        </w:tc>
        <w:tc>
          <w:tcPr>
            <w:tcW w:type="dxa" w:w="1806"/>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0,65 / 0,56 mm</w:t>
            </w:r>
          </w:p>
        </w:tc>
      </w:tr>
    </w:tbl>
    <w:p>
      <w:pPr>
        <w:spacing w:after="160"/>
      </w:pPr>
    </w:p>
    <w:p>
      <w:pPr>
        <w:spacing w:after="120" w:line="300"/>
        <w:jc w:val="both"/>
      </w:pPr>
      <w:r>
        <w:rPr>
          <w:rFonts w:ascii="Times New Roman" w:cs="Times New Roman" w:eastAsia="Times New Roman" w:hAnsi="Times New Roman"/>
          <w:sz w:val="24"/>
          <w:szCs w:val="24"/>
        </w:rPr>
        <w:t xml:space="preserve">Le cycle limite est éliminé à faible profondeur : 0,29 μm sous 1,6 V à 0,15 mm pour v2-R, soit un rapport d'environ 125 — dont l'ampleur tient à ce que v1 chevauchait le plafond de saturation — et un état de surface de classe LQG à cette profondeur ; l'écart se resserre avec la profondeur (à 0,5 mm : 20,9 μm contre 6,1 μm pour la LQG). Les balayages de gain exposent le compromis marge/état de surface avec une réserve honnête : le « bouton de réglage » n'est pas monotone, le cycle limite réapparaissant aux gains élevés. La frontière linéaire raffinée est réparée pour la conception robuste (0,01 → 0,96 mm ; v2-N ne remonte qu'à 0,24 mm — la réparation dépend de la conception). L'ablation confirme que les éléments ajoutés portent conjointement le résultat : leur retrait fait s'effondrer v2-R de 0,65 mm à zéro. En revanche, la faiblesse de dérive à −20 % n'est pas corrigée, et son échec est instructif : la recherche min-max a bien produit un certificat linéaire authentique sur le modèle de conception (pire ρ = 0,922 à 0,8 mm sur l'ensemble {−20, 0, +20 %}, valeur convergée en discrétisation — identique à m = 16 et m = 30), mais les couches de fidélité — modes non modélisés et saturation — le révoquent : sur la plante raffinée saturée, la profondeur faisable à −20 % reste nulle à tous les gains testés. La leçon, quantifiée, prolonge celle du raffinement de modèle : un certificat de robustesse établi sur le modèle de conception doit être revalidé sur la plante raffinée avant d'être cru. Les coûts sont énoncés : marge nominale −22 % (0,65 contre 0,83 mm) et réserve de dérive à +20 % réduite de 61 % (0,29 contre 0,74 mm). La figure 3-3 rassemble ces résultats.</w:t>
      </w:r>
    </w:p>
    <w:p>
      <w:pPr>
        <w:spacing w:after="80" w:before="160"/>
        <w:jc w:val="center"/>
      </w:pPr>
      <w:r>
        <w:drawing>
          <wp:inline distT="0" distB="0" distL="0" distR="0">
            <wp:extent cx="5762625"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4143375"/>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22"/>
          <w:szCs w:val="22"/>
        </w:rPr>
        <w:t xml:space="preserve">Figure 3-3. Itération v2 de l'hybride : (a) balayages marge/état de surface (non monotones) ; (b) suppression du cycle limite saturé à 0,15 mm ; (c) robustesse à la dérive — la faiblesse à −20 % persiste malgré le certificat min-max linéaire ; (d) réparation du débordement modal et ablation.</w:t>
      </w:r>
    </w:p>
    <w:p>
      <w:pPr>
        <w:pStyle w:val="Heading2"/>
        <w:spacing w:after="160" w:before="240"/>
      </w:pPr>
      <w:r>
        <w:rPr>
          <w:rFonts w:ascii="Times New Roman" w:cs="Times New Roman" w:eastAsia="Times New Roman" w:hAnsi="Times New Roman"/>
          <w:b/>
          <w:bCs/>
          <w:color w:val="000000"/>
          <w:sz w:val="28"/>
          <w:szCs w:val="28"/>
        </w:rPr>
        <w:t xml:space="preserve">3.9. Conclusion du chapitre</w:t>
      </w:r>
    </w:p>
    <w:p>
      <w:pPr>
        <w:spacing w:after="120" w:line="300"/>
        <w:jc w:val="both"/>
      </w:pPr>
      <w:r>
        <w:rPr>
          <w:rFonts w:ascii="Times New Roman" w:cs="Times New Roman" w:eastAsia="Times New Roman" w:hAnsi="Times New Roman"/>
          <w:sz w:val="24"/>
          <w:szCs w:val="24"/>
        </w:rPr>
        <w:t xml:space="preserve">Sur le capteur d'origine du montage — une mesure de pointe non minimum de phase — la hiérarchie des correcteurs est tranchée et entièrement calculée : la LQG à modèle complet est la seule classe pleinement viable (1,29 mm, meilleur état de surface, seule survivante à −20 % de dérive) ; l'ADRC classique échoue structurellement ; le FOPID seul est marginal ; et l'hybride co-conçu — la contribution centrale du chapitre — rend le rejet de perturbation utilisable (0,83 mm, quatre fois la meilleure structure fixe), sa seconde itération ramenant l'état de surface à la classe LQG aux faibles profondeurs au prix d'une marge réduite. Deux règles générales s'en dégagent : la co-conception (et non l'ajout a posteriori) est la condition d'existence d'un observateur de perturbation sur un canal NMP ; et ni une frontière linéaire, ni un certificat de robustesse établi sur le modèle de conception ne doivent être crus avant revalidation sur la plante raffinée saturée. Le chapitre suivant lève la dernière contrainte de ce cadre — le choix imposé du capteur — et porte l'analyse au niveau du procédé complet : co-conception de l'emplacement des transducteurs, capteur colocalisé, enlèvement de matière en cours d'usinage et simulation continue multi-passes.</w:t>
      </w:r>
    </w:p>
    <w:p>
      <w:r>
        <w:br w:type="page"/>
      </w:r>
    </w:p>
    <w:p>
      <w:pPr>
        <w:pStyle w:val="Heading1"/>
        <w:spacing w:after="240" w:before="240"/>
      </w:pPr>
      <w:r>
        <w:rPr>
          <w:rFonts w:ascii="Times New Roman" w:cs="Times New Roman" w:eastAsia="Times New Roman" w:hAnsi="Times New Roman"/>
          <w:b/>
          <w:bCs/>
          <w:color w:val="000000"/>
          <w:sz w:val="32"/>
          <w:szCs w:val="32"/>
        </w:rPr>
        <w:t xml:space="preserve">Chapitre 4. Co-conception des transducteurs et contrôle au niveau du procédé complet</w:t>
      </w:r>
    </w:p>
    <w:p>
      <w:pPr>
        <w:pStyle w:val="Heading2"/>
        <w:spacing w:after="160" w:before="240"/>
      </w:pPr>
      <w:r>
        <w:rPr>
          <w:rFonts w:ascii="Times New Roman" w:cs="Times New Roman" w:eastAsia="Times New Roman" w:hAnsi="Times New Roman"/>
          <w:b/>
          <w:bCs/>
          <w:color w:val="000000"/>
          <w:sz w:val="28"/>
          <w:szCs w:val="28"/>
        </w:rPr>
        <w:t xml:space="preserve">4.1. Introduction</w:t>
      </w:r>
    </w:p>
    <w:p>
      <w:pPr>
        <w:spacing w:after="120" w:line="300"/>
        <w:jc w:val="both"/>
      </w:pPr>
      <w:r>
        <w:rPr>
          <w:rFonts w:ascii="Times New Roman" w:cs="Times New Roman" w:eastAsia="Times New Roman" w:hAnsi="Times New Roman"/>
          <w:sz w:val="24"/>
          <w:szCs w:val="24"/>
        </w:rPr>
        <w:t xml:space="preserve">Le chapitre 3 a comparé les correcteurs à capteur imposé — la mesure de pointe du montage d'origine — et en a tiré une hiérarchie et des règles de conception. Ce chapitre lève cette contrainte : l'emplacement des transducteurs devient une variable de conception, et l'analyse est portée du point de fonctionnement au procédé d'usinage complet. Quatre questions structurent le chapitre : que coûte réellement l'observateur à la marge de stabilité, et que rapporte un capteur colocalisé ? comment choisir l'emplacement du patch — et la frontière linéaire est-elle un bon guide de placement ? comment la dynamique de la pièce évolue-t-elle sous l'enlèvement de matière, et le contrôle y survit-il ? enfin, que reste-t-il des conclusions lorsqu'on simule, en continu et de bout en bout, plusieurs passes de finition — et comment corriger la faiblesse qui s'y révèle ? Toutes les réponses sont calculées par le même cadre CL-SD et la même métrique à deux étages que précédemment.</w:t>
      </w:r>
    </w:p>
    <w:p>
      <w:pPr>
        <w:pStyle w:val="Heading2"/>
        <w:spacing w:after="160" w:before="240"/>
      </w:pPr>
      <w:r>
        <w:rPr>
          <w:rFonts w:ascii="Times New Roman" w:cs="Times New Roman" w:eastAsia="Times New Roman" w:hAnsi="Times New Roman"/>
          <w:b/>
          <w:bCs/>
          <w:color w:val="000000"/>
          <w:sz w:val="28"/>
          <w:szCs w:val="28"/>
        </w:rPr>
        <w:t xml:space="preserve">4.2. Le coût de l'observateur et le SLD contrôlé authentique</w:t>
      </w:r>
    </w:p>
    <w:p>
      <w:pPr>
        <w:spacing w:after="120" w:line="300"/>
        <w:jc w:val="both"/>
      </w:pPr>
      <w:r>
        <w:rPr>
          <w:rFonts w:ascii="Times New Roman" w:cs="Times New Roman" w:eastAsia="Times New Roman" w:hAnsi="Times New Roman"/>
          <w:sz w:val="24"/>
          <w:szCs w:val="24"/>
        </w:rPr>
        <w:t xml:space="preserve">Avec un capteur colocalisé au coin supérieur du patch — un canal à phase minimale (couplages tous de même signe utile, b₀ = −0,74) — l'ADRC devient pleinement viable et la comparaison des frontières linéaires authentiques est instructive. À 4900 tr/min, sur le modèle nominal : boucle ouverte 0,063 mm ; borne idéale de retour d'état statique de la LQG 2,43 mm ; LQG réelle, observateur de Kalman dans la boucle, 1,92 mm — l'observateur coûte donc à lui seul environ 21 % de marge, un coût que le SLD « statique » habituel dissimule ; ADRC, observateur d'état étendu dans la boucle, 3,25 mm. La figure 4-1 présente ces lobes contrôlés calculés par CL-SD, l'observateur de chaque correcteur étant inclus dans la matrice de monodromie.</w:t>
      </w:r>
    </w:p>
    <w:p>
      <w:pPr>
        <w:spacing w:after="80" w:before="160"/>
        <w:jc w:val="center"/>
      </w:pPr>
      <w:r>
        <w:drawing>
          <wp:inline distT="0" distB="0" distL="0" distR="0">
            <wp:extent cx="576262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4019550"/>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22"/>
          <w:szCs w:val="22"/>
        </w:rPr>
        <w:t xml:space="preserve">Figure 4-1. Diagramme des lobes de stabilité contrôlé authentique (CL-SD, observateurs dans la boucle) : boucle ouverte, LQG et ADRC colocalisé.</w:t>
      </w:r>
    </w:p>
    <w:p>
      <w:pPr>
        <w:pStyle w:val="Heading2"/>
        <w:spacing w:after="160" w:before="240"/>
      </w:pPr>
      <w:r>
        <w:rPr>
          <w:rFonts w:ascii="Times New Roman" w:cs="Times New Roman" w:eastAsia="Times New Roman" w:hAnsi="Times New Roman"/>
          <w:b/>
          <w:bCs/>
          <w:color w:val="000000"/>
          <w:sz w:val="28"/>
          <w:szCs w:val="28"/>
        </w:rPr>
        <w:t xml:space="preserve">4.3. Robustesse à la dérive des dynamiques</w:t>
      </w:r>
    </w:p>
    <w:p>
      <w:pPr>
        <w:spacing w:after="120" w:line="300"/>
        <w:jc w:val="both"/>
      </w:pPr>
      <w:r>
        <w:rPr>
          <w:rFonts w:ascii="Times New Roman" w:cs="Times New Roman" w:eastAsia="Times New Roman" w:hAnsi="Times New Roman"/>
          <w:sz w:val="24"/>
          <w:szCs w:val="24"/>
        </w:rPr>
        <w:t xml:space="preserve">La dynamique d'une paroi mince dérive — enlèvement de matière, échauffement, reprise de bridage. Un balayage de ±20 % sur les fréquences propres de la plante (correcteurs figés) montre le contraste attendu entre les deux philosophies : la LQG, liée à son modèle nominal, perd la stabilité dès −20 % et voit sa profondeur faisable s'effondrer aux deux extrêmes (0,65 / 0,56 mm), tandis que l'ADRC colocalisé — qui n'exige que le gain d'entrée b₀ — conserve 1,29 à 1,92 mm sur toute la plage. À mi-tension (25–55 V), l'ADRC réduit en outre le résidu vibratoire de pointe d'environ moitié par rapport à la LQG. La figure 4-2 illustre ce balayage.</w:t>
      </w:r>
    </w:p>
    <w:p>
      <w:pPr>
        <w:spacing w:after="80" w:before="160"/>
        <w:jc w:val="center"/>
      </w:pPr>
      <w:r>
        <w:drawing>
          <wp:inline distT="0" distB="0" distL="0" distR="0">
            <wp:extent cx="5762625"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943350"/>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22"/>
          <w:szCs w:val="22"/>
        </w:rPr>
        <w:t xml:space="preserve">Figure 4-2. Vibration de pointe sous dérive des fréquences modales : la LQG décroche, l'ADRC colocalisé tient.</w:t>
      </w:r>
    </w:p>
    <w:p>
      <w:pPr>
        <w:pStyle w:val="Heading2"/>
        <w:spacing w:after="160" w:before="240"/>
      </w:pPr>
      <w:r>
        <w:rPr>
          <w:rFonts w:ascii="Times New Roman" w:cs="Times New Roman" w:eastAsia="Times New Roman" w:hAnsi="Times New Roman"/>
          <w:b/>
          <w:bCs/>
          <w:color w:val="000000"/>
          <w:sz w:val="28"/>
          <w:szCs w:val="28"/>
        </w:rPr>
        <w:t xml:space="preserve">4.4. Co-conception de l'emplacement des transducteurs : les deux métriques s'opposent</w:t>
      </w:r>
    </w:p>
    <w:p>
      <w:pPr>
        <w:spacing w:after="120" w:line="300"/>
        <w:jc w:val="both"/>
      </w:pPr>
      <w:r>
        <w:rPr>
          <w:rFonts w:ascii="Times New Roman" w:cs="Times New Roman" w:eastAsia="Times New Roman" w:hAnsi="Times New Roman"/>
          <w:sz w:val="24"/>
          <w:szCs w:val="24"/>
        </w:rPr>
        <w:t xml:space="preserve">L'étude de placement balaie quinze positions candidates du patch (capteur colocalisé au coin), avec pour chacune un réglage automatique de l'ADRC sur le critère CL-SD, puis une mesure de la profondeur faisable en tension pour les emplacements viables. Le résultat central est une inversion : les deux métriques classent les emplacements en ordre quasi opposé (corrélation de rang de Spearman ρ ≈ −0,4). Un emplacement faiblement couplé peut afficher une frontière linéaire de 12 mm — l'observateur n'ayant presque rien à inverser — et se heurter au mur de tension dès 0,93 mm de profondeur faisable ; l'emplacement d'origine, fortement couplé (3,2 mm de frontière linéaire), est l'optimum faisable à 1,92 mm. Sous cette métrique honnête, l'ADRC colocalisé atteint 1,92 mm contre 1,38 mm pour la meilleure LQG (recherche de pondérations menée sous la même métrique), soit +39 % à matériel identique. La conception doit donc se faire sous la métrique faisable, l'étage linéaire servant de pré-filtre rapide. La figure 4-3 présente la carte de placement et l'inversion.</w:t>
      </w:r>
    </w:p>
    <w:p>
      <w:pPr>
        <w:spacing w:after="80" w:before="160"/>
        <w:jc w:val="center"/>
      </w:pPr>
      <w:r>
        <w:rPr>
          <w:rFonts w:ascii="Times New Roman" w:cs="Times New Roman" w:eastAsia="Times New Roman" w:hAnsi="Times New Roman"/>
          <w:sz w:val="22"/>
          <w:szCs w:val="22"/>
        </w:rPr>
        <w:t xml:space="preserve">Tableau 4-1. Extrait de l'étude de placement : la frontière linéaire est un mauvais guide, la métrique faisable tranche.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Emplacement du patch (x₀, z₀) mm</w:t>
            </w:r>
          </w:p>
        </w:tc>
        <w:tc>
          <w:tcPr>
            <w:tcW w:type="dxa" w:w="3010"/>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Frontière linéaire</w:t>
            </w:r>
          </w:p>
        </w:tc>
        <w:tc>
          <w:tcPr>
            <w:tcW w:type="dxa" w:w="3010"/>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Profondeur faisable (±150 V)</w:t>
            </w:r>
          </w:p>
        </w:tc>
      </w:tr>
      <w:tr>
        <w:tc>
          <w:tcPr>
            <w:tcW w:type="dxa" w:w="3010"/>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(60, 0) — faiblement couplé</w:t>
            </w:r>
          </w:p>
        </w:tc>
        <w:tc>
          <w:tcPr>
            <w:tcW w:type="dxa" w:w="3010"/>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4,73 mm</w:t>
            </w:r>
          </w:p>
        </w:tc>
        <w:tc>
          <w:tcPr>
            <w:tcW w:type="dxa" w:w="3010"/>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1,38 mm</w:t>
            </w:r>
          </w:p>
        </w:tc>
      </w:tr>
      <w:tr>
        <w:tc>
          <w:tcPr>
            <w:tcW w:type="dxa" w:w="3010"/>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(80, 0) — le plus éloigné</w:t>
            </w:r>
          </w:p>
        </w:tc>
        <w:tc>
          <w:tcPr>
            <w:tcW w:type="dxa" w:w="3010"/>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12,0 mm</w:t>
            </w:r>
          </w:p>
        </w:tc>
        <w:tc>
          <w:tcPr>
            <w:tcW w:type="dxa" w:w="3010"/>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0,93 mm</w:t>
            </w:r>
          </w:p>
        </w:tc>
      </w:tr>
      <w:tr>
        <w:tc>
          <w:tcPr>
            <w:tcW w:type="dxa" w:w="3010"/>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 0) — origine, fortement couplé</w:t>
            </w:r>
          </w:p>
        </w:tc>
        <w:tc>
          <w:tcPr>
            <w:tcW w:type="dxa" w:w="3010"/>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3,2 mm</w:t>
            </w:r>
          </w:p>
        </w:tc>
        <w:tc>
          <w:tcPr>
            <w:tcW w:type="dxa" w:w="3010"/>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1,92 mm (optimum)</w:t>
            </w:r>
          </w:p>
        </w:tc>
      </w:tr>
      <w:tr>
        <w:tc>
          <w:tcPr>
            <w:tcW w:type="dxa" w:w="3010"/>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LQG de référence (pointe)</w:t>
            </w:r>
          </w:p>
        </w:tc>
        <w:tc>
          <w:tcPr>
            <w:tcW w:type="dxa" w:w="3010"/>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w:t>
            </w:r>
          </w:p>
        </w:tc>
        <w:tc>
          <w:tcPr>
            <w:tcW w:type="dxa" w:w="3010"/>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1,38 mm</w:t>
            </w:r>
          </w:p>
        </w:tc>
      </w:tr>
    </w:tbl>
    <w:p>
      <w:pPr>
        <w:spacing w:after="160"/>
      </w:pPr>
    </w:p>
    <w:p>
      <w:pPr>
        <w:spacing w:after="80" w:before="160"/>
        <w:jc w:val="center"/>
      </w:pPr>
      <w:r>
        <w:drawing>
          <wp:inline distT="0" distB="0" distL="0" distR="0">
            <wp:extent cx="5762625"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667000"/>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22"/>
          <w:szCs w:val="22"/>
        </w:rPr>
        <w:t xml:space="preserve">Figure 4-3. Co-conception de l'emplacement : (a) carte des candidats ; (b) inversion du classement entre frontière linéaire et profondeur faisable.</w:t>
      </w:r>
    </w:p>
    <w:p>
      <w:pPr>
        <w:pStyle w:val="Heading2"/>
        <w:spacing w:after="160" w:before="240"/>
      </w:pPr>
      <w:r>
        <w:rPr>
          <w:rFonts w:ascii="Times New Roman" w:cs="Times New Roman" w:eastAsia="Times New Roman" w:hAnsi="Times New Roman"/>
          <w:b/>
          <w:bCs/>
          <w:color w:val="000000"/>
          <w:sz w:val="28"/>
          <w:szCs w:val="28"/>
        </w:rPr>
        <w:t xml:space="preserve">4.5. Couches de fidélité : troncature, débordement, résolution d'échantillonnage</w:t>
      </w:r>
    </w:p>
    <w:p>
      <w:pPr>
        <w:spacing w:after="120" w:line="300"/>
        <w:jc w:val="both"/>
      </w:pPr>
      <w:r>
        <w:rPr>
          <w:rFonts w:ascii="Times New Roman" w:cs="Times New Roman" w:eastAsia="Times New Roman" w:hAnsi="Times New Roman"/>
          <w:sz w:val="24"/>
          <w:szCs w:val="24"/>
        </w:rPr>
        <w:t xml:space="preserve">Avant de porter ces conclusions au procédé, leur sensibilité aux couches de fidélité du modèle est quantifiée. Les correcteurs conçus sur le modèle nominal à trois modes sont évalués sur la plante précise à cinq modes du chapitre 3 : à la résolution de production de 10 kHz, une paire de débordement marginalement amortie vers 3,4 kHz se déstabilise numériquement et inverse le verdict — un artefact d'implantation, pas de la physique continue. À 20 kHz (Δt = 25 μs, standard pour le contrôle piézoélectrique, convergence vérifiée à 12,5 μs), la boucle est saine et le point d'arrivée honnête s'établit à : ADRC 1,65 mm contre LQG 1,29 mm (+28 %), l'ADRC divisant par deux le résidu nominal. Ces valeurs — plante raffinée, 20 kHz, saturation — sont celles utilisées comme référence dans tout ce mémoire.</w:t>
      </w:r>
    </w:p>
    <w:p>
      <w:pPr>
        <w:pStyle w:val="Heading2"/>
        <w:spacing w:after="160" w:before="240"/>
      </w:pPr>
      <w:r>
        <w:rPr>
          <w:rFonts w:ascii="Times New Roman" w:cs="Times New Roman" w:eastAsia="Times New Roman" w:hAnsi="Times New Roman"/>
          <w:b/>
          <w:bCs/>
          <w:color w:val="000000"/>
          <w:sz w:val="28"/>
          <w:szCs w:val="28"/>
        </w:rPr>
        <w:t xml:space="preserve">4.6. Enlèvement de matière en cours d'usinage</w:t>
      </w:r>
    </w:p>
    <w:p>
      <w:pPr>
        <w:spacing w:after="120" w:line="300"/>
        <w:jc w:val="both"/>
      </w:pPr>
      <w:r>
        <w:rPr>
          <w:rFonts w:ascii="Times New Roman" w:cs="Times New Roman" w:eastAsia="Times New Roman" w:hAnsi="Times New Roman"/>
          <w:sz w:val="24"/>
          <w:szCs w:val="24"/>
        </w:rPr>
        <w:t xml:space="preserve">L'enlèvement de matière est modélisé dans le modèle éléments finis lui-même : sur la bande usinée, l'épaisseur locale des éléments est réduite (raideur en h³, masse en h, couverture partielle pondérée), l'analyse modale est refaite et le couplage H_pe reprojeté. Lors d'une mise à jour de base modale en cours de simulation, l'état vibratoire est reprojeté par la transformation masse-orthonormale :</w:t>
      </w:r>
    </w:p>
    <w:p>
      <w:pPr>
        <w:tabs>
          <w:tab w:val="right" w:pos="9026"/>
        </w:tabs>
        <w:spacing w:after="120" w:before="120"/>
        <w:ind w:left="567"/>
      </w:pPr>
      <w:r>
        <w:rPr>
          <w:rFonts w:ascii="Times New Roman" w:cs="Times New Roman" w:eastAsia="Times New Roman" w:hAnsi="Times New Roman"/>
          <w:i/>
          <w:iCs/>
          <w:sz w:val="24"/>
          <w:szCs w:val="24"/>
        </w:rPr>
        <w:t xml:space="preserve">T = V_nouvᵀ M V_anc,   q⁺ = T q,  q̇⁺ = T q̇,  q̈⁺ = T q̈</w:t>
      </w:r>
      <w:r>
        <w:rPr>
          <w:rFonts w:ascii="Times New Roman" w:cs="Times New Roman" w:eastAsia="Times New Roman" w:hAnsi="Times New Roman"/>
          <w:sz w:val="24"/>
          <w:szCs w:val="24"/>
        </w:rPr>
        <w:t xml:space="preserve">	(4.1)</w:t>
      </w:r>
    </w:p>
    <w:p>
      <w:pPr>
        <w:spacing w:after="120" w:line="300"/>
        <w:jc w:val="both"/>
      </w:pPr>
      <w:r>
        <w:rPr>
          <w:rFonts w:ascii="Times New Roman" w:cs="Times New Roman" w:eastAsia="Times New Roman" w:hAnsi="Times New Roman"/>
          <w:sz w:val="24"/>
          <w:szCs w:val="24"/>
        </w:rPr>
        <w:t xml:space="preserve">appliquée aussi à l'historique retardé — le champ de déplacement physique est continu, l'erreur de projection étant d'ordre de l'enlèvement par segment. Sur un cycle de contournage amincissant la bande supérieure de 20 mm de 0,25 mm par passe, la première fréquence propre monte d'environ 9,5 % sur quatre passes ; l'effet intra-passe sur les métriques de contrôle est négligeable, l'effet cumulé ne l'est pas. La figure 4-4 quantifie cette dérive générée physiquement et son effet sur le contrôle.</w:t>
      </w:r>
    </w:p>
    <w:p>
      <w:pPr>
        <w:spacing w:after="80" w:before="160"/>
        <w:jc w:val="center"/>
      </w:pPr>
      <w:r>
        <w:drawing>
          <wp:inline distT="0" distB="0" distL="0" distR="0">
            <wp:extent cx="576262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438400"/>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22"/>
          <w:szCs w:val="22"/>
        </w:rPr>
        <w:t xml:space="preserve">Figure 4-4. Enlèvement de matière en cours d'usinage : dérive modale générée physiquement et effet sur les métriques de contrôle.</w:t>
      </w:r>
    </w:p>
    <w:p>
      <w:pPr>
        <w:pStyle w:val="Heading2"/>
        <w:spacing w:after="160" w:before="240"/>
      </w:pPr>
      <w:r>
        <w:rPr>
          <w:rFonts w:ascii="Times New Roman" w:cs="Times New Roman" w:eastAsia="Times New Roman" w:hAnsi="Times New Roman"/>
          <w:b/>
          <w:bCs/>
          <w:color w:val="000000"/>
          <w:sz w:val="28"/>
          <w:szCs w:val="28"/>
        </w:rPr>
        <w:t xml:space="preserve">4.7. Simulation continue du procédé complet</w:t>
      </w:r>
    </w:p>
    <w:p>
      <w:pPr>
        <w:spacing w:after="120" w:line="300"/>
        <w:jc w:val="both"/>
      </w:pPr>
      <w:r>
        <w:rPr>
          <w:rFonts w:ascii="Times New Roman" w:cs="Times New Roman" w:eastAsia="Times New Roman" w:hAnsi="Times New Roman"/>
          <w:sz w:val="24"/>
          <w:szCs w:val="24"/>
        </w:rPr>
        <w:t xml:space="preserve">La limite des études précédentes — des vérifications temporelles couvrant quelques millimètres de trajet — est levée par une simulation continue de bout en bout : quatre passes complètes (x = 0 → 100 mm, 20,4 s chacune à l'avance de l'article), soit 81,6 s de temps physique et environ 3,3 millions de pas de Newmark par correcteur, l'enlèvement de matière étant appliqué derrière l'outil par segments de 5 mm avec reprojection d'état (4.1), et les correcteurs restant figés à leur conception initiale, comme sur la machine réelle. Le résultat révèle une faiblesse invisible au point de fonctionnement : l'empreinte spatiale d'observabilité du capteur unique. L'ADRC colocalisé rejette deux fois mieux que la LQG près de son capteur mais se dégrade avec la distance outil-capteur, le résidu du côté éloigné se concentrant aux harmoniques de passage de dent, à peine observables depuis le coin du patch. La figure 4-5 cartographie l'état de surface le long des passes.</w:t>
      </w:r>
    </w:p>
    <w:p>
      <w:pPr>
        <w:spacing w:after="80" w:before="160"/>
        <w:jc w:val="center"/>
      </w:pPr>
      <w:r>
        <w:drawing>
          <wp:inline distT="0" distB="0" distL="0" distR="0">
            <wp:extent cx="576262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590800"/>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22"/>
          <w:szCs w:val="22"/>
        </w:rPr>
        <w:t xml:space="preserve">Figure 4-5. Procédé complet (4 passes continues) : carte d'état de surface le long du trajet — l'empreinte spatiale d'observabilité du capteur unique apparaît.</w:t>
      </w:r>
    </w:p>
    <w:p>
      <w:pPr>
        <w:pStyle w:val="Heading2"/>
        <w:spacing w:after="160" w:before="240"/>
      </w:pPr>
      <w:r>
        <w:rPr>
          <w:rFonts w:ascii="Times New Roman" w:cs="Times New Roman" w:eastAsia="Times New Roman" w:hAnsi="Times New Roman"/>
          <w:b/>
          <w:bCs/>
          <w:color w:val="000000"/>
          <w:sz w:val="28"/>
          <w:szCs w:val="28"/>
        </w:rPr>
        <w:t xml:space="preserve">4.8. AFC-ADRC : peigne adaptatif synchrone de la broche sur le capteur de pointe</w:t>
      </w:r>
    </w:p>
    <w:p>
      <w:pPr>
        <w:spacing w:after="120" w:line="300"/>
        <w:jc w:val="both"/>
      </w:pPr>
      <w:r>
        <w:rPr>
          <w:rFonts w:ascii="Times New Roman" w:cs="Times New Roman" w:eastAsia="Times New Roman" w:hAnsi="Times New Roman"/>
          <w:sz w:val="24"/>
          <w:szCs w:val="24"/>
        </w:rPr>
        <w:t xml:space="preserve">Le résidu éloigné étant périodique et synchrone de la broche, il appelle une anticipation adaptative plutôt qu'une rétroaction plus agressive. Le capteur de pointe — déjà présent sur le banc de [Du 2024], et dont le chapitre 3 a montré qu'il ne peut pas porter la boucle rapide — est utilisé hors de la boucle rapide :</w:t>
      </w:r>
    </w:p>
    <w:p>
      <w:pPr>
        <w:tabs>
          <w:tab w:val="right" w:pos="9026"/>
        </w:tabs>
        <w:spacing w:after="120" w:before="120"/>
        <w:ind w:left="567"/>
      </w:pPr>
      <w:r>
        <w:rPr>
          <w:rFonts w:ascii="Times New Roman" w:cs="Times New Roman" w:eastAsia="Times New Roman" w:hAnsi="Times New Roman"/>
          <w:i/>
          <w:iCs/>
          <w:sz w:val="24"/>
          <w:szCs w:val="24"/>
        </w:rPr>
        <w:t xml:space="preserve">u = u_ADRC(y_col) + Σₖ [aₖ cos(kθ) + bₖ sin(kθ)],   θ verrouillé sur la période de dent</w:t>
      </w:r>
      <w:r>
        <w:rPr>
          <w:rFonts w:ascii="Times New Roman" w:cs="Times New Roman" w:eastAsia="Times New Roman" w:hAnsi="Times New Roman"/>
          <w:sz w:val="24"/>
          <w:szCs w:val="24"/>
        </w:rPr>
        <w:t xml:space="preserve">	(4.2)</w:t>
      </w:r>
    </w:p>
    <w:p>
      <w:pPr>
        <w:spacing w:after="120" w:line="300"/>
        <w:jc w:val="both"/>
      </w:pPr>
      <w:r>
        <w:rPr>
          <w:rFonts w:ascii="Times New Roman" w:cs="Times New Roman" w:eastAsia="Times New Roman" w:hAnsi="Times New Roman"/>
          <w:sz w:val="24"/>
          <w:szCs w:val="24"/>
        </w:rPr>
        <w:t xml:space="preserve">les coefficients de Fourier étant adaptés par LMS à référence filtrée (FxLMS) normalisé sur l'erreur de pointe, avec le trajet secondaire en boucle fermée Gₖ évalué aux harmoniques. Deux détails d'implantation sont indispensables et vérifiés par tests de régression : le trajet secondaire doit inclure le canal d'observateur (matrice d'entrée [B ; B_o] — l'ESO voit l'injection), sans quoi des erreurs de phase de 90 à 280° font diverger l'adaptation ; et le peigne doit être verrouillé en phase sur la période de dent réellement discrétisée, un écart de 0,4 Hz suffisant à ruiner l'annulation. Une fuite d'adaptation garantit la dégradation gracieuse hors de l'enveloppe de validité FxLMS (à +20 % de dérive, le peigne se neutralise au lieu de pomper). L'anticipation étant lente et hors boucle, les frontières de stabilité de la boucle rapide sont inchangées.</w:t>
      </w:r>
    </w:p>
    <w:p>
      <w:pPr>
        <w:spacing w:after="120" w:line="300"/>
        <w:jc w:val="both"/>
      </w:pPr>
      <w:r>
        <w:rPr>
          <w:rFonts w:ascii="Times New Roman" w:cs="Times New Roman" w:eastAsia="Times New Roman" w:hAnsi="Times New Roman"/>
          <w:sz w:val="24"/>
          <w:szCs w:val="24"/>
        </w:rPr>
        <w:t xml:space="preserve">Sur le procédé complet, l'AFC-ADRC divise le RMS de procédé par environ trois par rapport aux deux références (0,15 μm contre 0,47–0,53 μm par passe), aplanit le déficit spatial qui l'a motivé (tiers de passe 0,12/0,14/0,21 μm contre 0,28/0,51/0,75 pour l'ADRC seul), au coût d'une tension crête quasi inchangée (37,8 V contre 35,2 V), sans aucune saturation sur les 81,6 s, et sans matériel nouveau. Les figures 4-6 et 4-7 présentent la comparaison et les réponses temporelles complètes.</w:t>
      </w:r>
    </w:p>
    <w:p>
      <w:pPr>
        <w:spacing w:after="80" w:before="160"/>
        <w:jc w:val="center"/>
      </w:pPr>
      <w:r>
        <w:rPr>
          <w:rFonts w:ascii="Times New Roman" w:cs="Times New Roman" w:eastAsia="Times New Roman" w:hAnsi="Times New Roman"/>
          <w:sz w:val="22"/>
          <w:szCs w:val="22"/>
        </w:rPr>
        <w:t xml:space="preserve">Tableau 4-2. RMS d'état de surface par passe sur le procédé complet (μm) : l'anticipation synchrone résout le déficit spatial.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8"/>
        <w:gridCol w:w="2256"/>
        <w:gridCol w:w="2256"/>
        <w:gridCol w:w="2256"/>
      </w:tblGrid>
      <w:tr>
        <w:tc>
          <w:tcPr>
            <w:tcW w:type="dxa" w:w="2258"/>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Passe</w:t>
            </w:r>
          </w:p>
        </w:tc>
        <w:tc>
          <w:tcPr>
            <w:tcW w:type="dxa" w:w="2258"/>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LQG</w:t>
            </w:r>
          </w:p>
        </w:tc>
        <w:tc>
          <w:tcPr>
            <w:tcW w:type="dxa" w:w="2258"/>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ADRC seul</w:t>
            </w:r>
          </w:p>
        </w:tc>
        <w:tc>
          <w:tcPr>
            <w:tcW w:type="dxa" w:w="2258"/>
            <w:shd w:fill="E8E8E8" w:val="clear"/>
            <w:tcMar>
              <w:top w:type="dxa" w:w="60"/>
              <w:left w:type="dxa" w:w="80"/>
              <w:bottom w:type="dxa" w:w="60"/>
              <w:right w:type="dxa" w:w="80"/>
            </w:tcMar>
          </w:tcPr>
          <w:p>
            <w:pPr>
              <w:jc w:val="center"/>
            </w:pPr>
            <w:r>
              <w:rPr>
                <w:rFonts w:ascii="Times New Roman" w:cs="Times New Roman" w:eastAsia="Times New Roman" w:hAnsi="Times New Roman"/>
                <w:b/>
                <w:bCs/>
                <w:sz w:val="21"/>
                <w:szCs w:val="21"/>
              </w:rPr>
              <w:t xml:space="preserve">AFC-ADRC</w:t>
            </w:r>
          </w:p>
        </w:tc>
      </w:tr>
      <w:tr>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1</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0,473</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0,458</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0,145</w:t>
            </w:r>
          </w:p>
        </w:tc>
      </w:tr>
      <w:tr>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2</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0,474</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0,489</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0,146</w:t>
            </w:r>
          </w:p>
        </w:tc>
      </w:tr>
      <w:tr>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3</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0,484</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0,515</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0,151</w:t>
            </w:r>
          </w:p>
        </w:tc>
      </w:tr>
      <w:tr>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4</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0,495</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0,533</w:t>
            </w:r>
          </w:p>
        </w:tc>
        <w:tc>
          <w:tcPr>
            <w:tcW w:type="dxa" w:w="2258"/>
            <w:tcMar>
              <w:top w:type="dxa" w:w="60"/>
              <w:left w:type="dxa" w:w="80"/>
              <w:bottom w:type="dxa" w:w="60"/>
              <w:right w:type="dxa" w:w="80"/>
            </w:tcMar>
          </w:tcPr>
          <w:p>
            <w:pPr>
              <w:jc w:val="center"/>
            </w:pPr>
            <w:r>
              <w:rPr>
                <w:rFonts w:ascii="Times New Roman" w:cs="Times New Roman" w:eastAsia="Times New Roman" w:hAnsi="Times New Roman"/>
                <w:b w:val="false"/>
                <w:bCs w:val="false"/>
                <w:sz w:val="21"/>
                <w:szCs w:val="21"/>
              </w:rPr>
              <w:t xml:space="preserve">0,160</w:t>
            </w:r>
          </w:p>
        </w:tc>
      </w:tr>
    </w:tbl>
    <w:p>
      <w:pPr>
        <w:spacing w:after="160"/>
      </w:pPr>
    </w:p>
    <w:p>
      <w:pPr>
        <w:spacing w:after="80" w:before="160"/>
        <w:jc w:val="center"/>
      </w:pPr>
      <w:r>
        <w:drawing>
          <wp:inline distT="0" distB="0" distL="0" distR="0">
            <wp:extent cx="576262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381250"/>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22"/>
          <w:szCs w:val="22"/>
        </w:rPr>
        <w:t xml:space="preserve">Figure 4-6. AFC-ADRC contre les deux références sur le procédé complet : carte d'état de surface et RMS par passe.</w:t>
      </w:r>
    </w:p>
    <w:p>
      <w:pPr>
        <w:spacing w:after="80" w:before="160"/>
        <w:jc w:val="center"/>
      </w:pPr>
      <w:r>
        <w:drawing>
          <wp:inline distT="0" distB="0" distL="0" distR="0">
            <wp:extent cx="5762625"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448050"/>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22"/>
          <w:szCs w:val="22"/>
        </w:rPr>
        <w:t xml:space="preserve">Figure 4-7. Réponse temporelle de pointe sur les 81,6 s du procédé complet, pour les trois correcteurs.</w:t>
      </w:r>
    </w:p>
    <w:p>
      <w:pPr>
        <w:pStyle w:val="Heading2"/>
        <w:spacing w:after="160" w:before="240"/>
      </w:pPr>
      <w:r>
        <w:rPr>
          <w:rFonts w:ascii="Times New Roman" w:cs="Times New Roman" w:eastAsia="Times New Roman" w:hAnsi="Times New Roman"/>
          <w:b/>
          <w:bCs/>
          <w:color w:val="000000"/>
          <w:sz w:val="28"/>
          <w:szCs w:val="28"/>
        </w:rPr>
        <w:t xml:space="preserve">4.9. Résultats négatifs documentés</w:t>
      </w:r>
    </w:p>
    <w:p>
      <w:pPr>
        <w:spacing w:after="120" w:line="300"/>
        <w:jc w:val="both"/>
      </w:pPr>
      <w:r>
        <w:rPr>
          <w:rFonts w:ascii="Times New Roman" w:cs="Times New Roman" w:eastAsia="Times New Roman" w:hAnsi="Times New Roman"/>
          <w:sz w:val="24"/>
          <w:szCs w:val="24"/>
        </w:rPr>
        <w:t xml:space="preserve">Trois pistes naturelles ont été évaluées et se sont révélées stériles ; elles sont rapportées comme telles. Un canal de rétroaction retardé u_τ = g[y(t−τ) − y(t)], exploitant le retard de dent exactement connu, n'apporte au mieux que moins de 2 % sur la frontière CL-SD de l'ADRC colocalisé, et strictement zéro sur l'hybride de pointe du chapitre 3 (réalisations avec et sans visibilité de l'observateur). Un ESO résonant, embarquant un modèle interne au voisinage du mode dominant, reste sous les 2 % de gain. Enfin, une anticipation en phase dans une architecture à deux degrés de liberté réduit la vibration forcée et la tension de crête mais ne déplace pas la frontière de stabilité — seule la rétroaction la déplace, ce que l'analyse CL-SD établit proprement.</w:t>
      </w:r>
    </w:p>
    <w:p>
      <w:pPr>
        <w:pStyle w:val="Heading2"/>
        <w:spacing w:after="160" w:before="240"/>
      </w:pPr>
      <w:r>
        <w:rPr>
          <w:rFonts w:ascii="Times New Roman" w:cs="Times New Roman" w:eastAsia="Times New Roman" w:hAnsi="Times New Roman"/>
          <w:b/>
          <w:bCs/>
          <w:color w:val="000000"/>
          <w:sz w:val="28"/>
          <w:szCs w:val="28"/>
        </w:rPr>
        <w:t xml:space="preserve">4.10. Conclusion générale des chapitres 3 et 4</w:t>
      </w:r>
    </w:p>
    <w:p>
      <w:pPr>
        <w:spacing w:after="120" w:line="300"/>
        <w:jc w:val="both"/>
      </w:pPr>
      <w:r>
        <w:rPr>
          <w:rFonts w:ascii="Times New Roman" w:cs="Times New Roman" w:eastAsia="Times New Roman" w:hAnsi="Times New Roman"/>
          <w:sz w:val="24"/>
          <w:szCs w:val="24"/>
        </w:rPr>
        <w:t xml:space="preserve">Les deux chapitres constituent une chaîne complète et intègre : un modèle de Kirchhoff précis validé mode à mode (+0,12 % sur le mode dominant) ; un cadre d'analyse — CL-SD et métrique à deux étages — qui rend les frontières contrôlées authentiques et démasque les verdicts illusoires (frontières linéaires inversées par la saturation, certificats de robustesse révoqués par les couches de fidélité, artefacts d'échantillonnage) ; une comparaison tranchée des classes de correcteurs sur le capteur d'origine, avec l'hybride co-conçu comme voie de sauvetage du rejet de perturbation en présence de zéros NMP ; la co-conception des transducteurs sous la métrique faisable (+39 % pour l'ADRC colocalisé à matériel identique) ; la modélisation de l'enlèvement de matière et la simulation continue du procédé, qui révèlent l'empreinte d'observabilité spatiale ; et l'AFC-ADRC qui la résout (RMS de procédé divisé par trois, stabilité de boucle rapide intacte). Les perspectives s'énoncent d'elles-mêmes : validation expérimentale sur le banc de [Du 2024] ; correction de la faiblesse résiduelle de dérive à −20 % du canal de pointe, qui appelle vraisemblablement un séquencement de gain (sortant du cadre LTI et exigeant une extension de la CL-SD) ; et extension du cadre de co-conception à des géométries de parois minces industrielles.</w:t>
      </w:r>
    </w:p>
    <w:p>
      <w:pPr>
        <w:pStyle w:val="Heading2"/>
        <w:spacing w:after="160" w:before="240"/>
      </w:pPr>
      <w:r>
        <w:rPr>
          <w:rFonts w:ascii="Times New Roman" w:cs="Times New Roman" w:eastAsia="Times New Roman" w:hAnsi="Times New Roman"/>
          <w:b/>
          <w:bCs/>
          <w:color w:val="000000"/>
          <w:sz w:val="28"/>
          <w:szCs w:val="28"/>
        </w:rPr>
        <w:t xml:space="preserve">Références des chapitres 3 et 4</w:t>
      </w:r>
    </w:p>
    <w:p>
      <w:pPr>
        <w:pStyle w:val="ListParagraph"/>
        <w:numPr>
          <w:ilvl w:val="0"/>
          <w:numId w:val="2"/>
        </w:numPr>
        <w:spacing w:after="80"/>
        <w:jc w:val="both"/>
      </w:pPr>
      <w:r>
        <w:rPr>
          <w:rFonts w:ascii="Times New Roman" w:cs="Times New Roman" w:eastAsia="Times New Roman" w:hAnsi="Times New Roman"/>
          <w:sz w:val="24"/>
          <w:szCs w:val="24"/>
        </w:rPr>
        <w:t xml:space="preserve">[Du 2024] J. Du, X. Liu, H. Dai, X. Long, « Robust combined time delay control for milling chatter suppression of flexible workpieces », International Journal of Mechanical Sciences, vol. 274 (2024) 109257.</w:t>
      </w:r>
    </w:p>
    <w:p>
      <w:pPr>
        <w:pStyle w:val="ListParagraph"/>
        <w:numPr>
          <w:ilvl w:val="0"/>
          <w:numId w:val="2"/>
        </w:numPr>
        <w:spacing w:after="80"/>
        <w:jc w:val="both"/>
      </w:pPr>
      <w:r>
        <w:rPr>
          <w:rFonts w:ascii="Times New Roman" w:cs="Times New Roman" w:eastAsia="Times New Roman" w:hAnsi="Times New Roman"/>
          <w:sz w:val="24"/>
          <w:szCs w:val="24"/>
        </w:rPr>
        <w:t xml:space="preserve">[Insperger 2004] T. Insperger, G. Stépán, « Updated semi-discretization method for periodic delay-differential equations with discrete delay », International Journal for Numerical Methods in Engineering, vol. 61 (2004) 117–141.</w:t>
      </w:r>
    </w:p>
    <w:p>
      <w:pPr>
        <w:pStyle w:val="ListParagraph"/>
        <w:numPr>
          <w:ilvl w:val="0"/>
          <w:numId w:val="2"/>
        </w:numPr>
        <w:spacing w:after="80"/>
        <w:jc w:val="both"/>
      </w:pPr>
      <w:r>
        <w:rPr>
          <w:rFonts w:ascii="Times New Roman" w:cs="Times New Roman" w:eastAsia="Times New Roman" w:hAnsi="Times New Roman"/>
          <w:sz w:val="24"/>
          <w:szCs w:val="24"/>
        </w:rPr>
        <w:t xml:space="preserve">[Altintas 2012] Y. Altintas, Manufacturing Automation, 2e éd., Cambridge University Press, 2012.</w:t>
      </w:r>
    </w:p>
    <w:p>
      <w:pPr>
        <w:pStyle w:val="ListParagraph"/>
        <w:numPr>
          <w:ilvl w:val="0"/>
          <w:numId w:val="2"/>
        </w:numPr>
        <w:spacing w:after="80"/>
        <w:jc w:val="both"/>
      </w:pPr>
      <w:r>
        <w:rPr>
          <w:rFonts w:ascii="Times New Roman" w:cs="Times New Roman" w:eastAsia="Times New Roman" w:hAnsi="Times New Roman"/>
          <w:sz w:val="24"/>
          <w:szCs w:val="24"/>
        </w:rPr>
        <w:t xml:space="preserve">[Han 2009] J. Han, « From PID to active disturbance rejection control », IEEE Transactions on Industrial Electronics, vol. 56 (2009) 900–906.</w:t>
      </w:r>
    </w:p>
    <w:p>
      <w:pPr>
        <w:pStyle w:val="ListParagraph"/>
        <w:numPr>
          <w:ilvl w:val="0"/>
          <w:numId w:val="2"/>
        </w:numPr>
        <w:spacing w:after="80"/>
        <w:jc w:val="both"/>
      </w:pPr>
      <w:r>
        <w:rPr>
          <w:rFonts w:ascii="Times New Roman" w:cs="Times New Roman" w:eastAsia="Times New Roman" w:hAnsi="Times New Roman"/>
          <w:sz w:val="24"/>
          <w:szCs w:val="24"/>
        </w:rPr>
        <w:t xml:space="preserve">[Gao 2003] Z. Gao, « Scaling and bandwidth-parameterization based controller tuning », Proc. American Control Conference (2003) 4989–4996.</w:t>
      </w:r>
    </w:p>
    <w:p>
      <w:pPr>
        <w:pStyle w:val="ListParagraph"/>
        <w:numPr>
          <w:ilvl w:val="0"/>
          <w:numId w:val="2"/>
        </w:numPr>
        <w:spacing w:after="80"/>
        <w:jc w:val="both"/>
      </w:pPr>
      <w:r>
        <w:rPr>
          <w:rFonts w:ascii="Times New Roman" w:cs="Times New Roman" w:eastAsia="Times New Roman" w:hAnsi="Times New Roman"/>
          <w:sz w:val="24"/>
          <w:szCs w:val="24"/>
        </w:rPr>
        <w:t xml:space="preserve">[Podlubny 1999] I. Podlubny, « Fractional-order systems and PIλDμ controllers », IEEE Transactions on Automatic Control, vol. 44 (1999) 208–214.</w:t>
      </w:r>
    </w:p>
    <w:p>
      <w:pPr>
        <w:pStyle w:val="ListParagraph"/>
        <w:numPr>
          <w:ilvl w:val="0"/>
          <w:numId w:val="2"/>
        </w:numPr>
        <w:spacing w:after="80"/>
        <w:jc w:val="both"/>
      </w:pPr>
      <w:r>
        <w:rPr>
          <w:rFonts w:ascii="Times New Roman" w:cs="Times New Roman" w:eastAsia="Times New Roman" w:hAnsi="Times New Roman"/>
          <w:sz w:val="24"/>
          <w:szCs w:val="24"/>
        </w:rPr>
        <w:t xml:space="preserve">[Oustaloup 2000] A. Oustaloup, F. Levron, B. Mathieu, F. M. Nanot, « Frequency-band complex noninteger differentiator: characterization and synthesis », IEEE Transactions on Circuits and Systems I, vol. 47 (2000) 25–39.</w:t>
      </w:r>
    </w:p>
    <w:p>
      <w:pPr>
        <w:pStyle w:val="ListParagraph"/>
        <w:numPr>
          <w:ilvl w:val="0"/>
          <w:numId w:val="2"/>
        </w:numPr>
        <w:spacing w:after="80"/>
        <w:jc w:val="both"/>
      </w:pPr>
      <w:r>
        <w:rPr>
          <w:rFonts w:ascii="Times New Roman" w:cs="Times New Roman" w:eastAsia="Times New Roman" w:hAnsi="Times New Roman"/>
          <w:sz w:val="24"/>
          <w:szCs w:val="24"/>
        </w:rPr>
        <w:t xml:space="preserve">[Monje 2010] C. A. Monje, Y. Q. Chen, B. M. Vinagre, D. Xue, V. Feliu, Fractional-order Systems and Controls: Fundamentals and Applications, Springer, 2010.</w:t>
      </w:r>
    </w:p>
    <w:p>
      <w:pPr>
        <w:pStyle w:val="ListParagraph"/>
        <w:numPr>
          <w:ilvl w:val="0"/>
          <w:numId w:val="2"/>
        </w:numPr>
        <w:spacing w:after="80"/>
        <w:jc w:val="both"/>
      </w:pPr>
      <w:r>
        <w:rPr>
          <w:rFonts w:ascii="Times New Roman" w:cs="Times New Roman" w:eastAsia="Times New Roman" w:hAnsi="Times New Roman"/>
          <w:sz w:val="24"/>
          <w:szCs w:val="24"/>
        </w:rPr>
        <w:t xml:space="preserve">[Kuo 1996] S. M. Kuo, D. R. Morgan, Active Noise Control Systems: Algorithms and DSP Implementations, Wiley, 1996.</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8fdf51f0f087d885df9bf8389a63e44ed4fa9ec.png"/><Relationship Id="rId8" Type="http://schemas.openxmlformats.org/officeDocument/2006/relationships/image" Target="media/963f10ccf1e9bc69418bae354d6f6e973b55588d.png"/><Relationship Id="rId9" Type="http://schemas.openxmlformats.org/officeDocument/2006/relationships/image" Target="media/30175acce21f20216c18384d399f94b42bfde9b2.png"/><Relationship Id="rId10" Type="http://schemas.openxmlformats.org/officeDocument/2006/relationships/image" Target="media/51f076e5b3a7bf081d62f11ce25d1fde552e9c5d.png"/><Relationship Id="rId11" Type="http://schemas.openxmlformats.org/officeDocument/2006/relationships/image" Target="media/b9ea7f1e2a363703ad8475a3d007cd9696066fb8.png"/><Relationship Id="rId12" Type="http://schemas.openxmlformats.org/officeDocument/2006/relationships/image" Target="media/d2b1a861f659f08b5bd9b879217ce504d54e1107.png"/><Relationship Id="rId13" Type="http://schemas.openxmlformats.org/officeDocument/2006/relationships/image" Target="media/7c0e290151200054cad85a9f4175b65f6460fa5e.png"/><Relationship Id="rId14" Type="http://schemas.openxmlformats.org/officeDocument/2006/relationships/image" Target="media/73d8ae09eded0d40863ab62421e2bebb8eb59757.png"/><Relationship Id="rId15" Type="http://schemas.openxmlformats.org/officeDocument/2006/relationships/image" Target="media/c77421b2d9eb1ffa635d305d1c368105ce7dd99f.png"/><Relationship Id="rId16" Type="http://schemas.openxmlformats.org/officeDocument/2006/relationships/image" Target="media/6353374fb531161874792903cd99804e607a8b3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2026-07-19T13:19:23.981Z</dcterms:created>
  <dcterms:modified xsi:type="dcterms:W3CDTF">2026-07-19T13:19:23.983Z</dcterms:modified>
</cp:coreProperties>
</file>

<file path=docProps/custom.xml><?xml version="1.0" encoding="utf-8"?>
<Properties xmlns="http://schemas.openxmlformats.org/officeDocument/2006/custom-properties" xmlns:vt="http://schemas.openxmlformats.org/officeDocument/2006/docPropsVTypes"/>
</file>