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دليل استخدام قسم أرصدة الطلاب</w:t>
      </w:r>
    </w:p>
    <w:p>
      <w:pPr>
        <w:jc w:val="center"/>
      </w:pPr>
      <w:r>
        <w:rPr>
          <w:b/>
          <w:sz w:val="24"/>
        </w:rPr>
        <w:t>SCHOOL-FINANCE-1-POLISH-1</w:t>
      </w:r>
    </w:p>
    <w:p>
      <w:pPr>
        <w:spacing w:after="120"/>
        <w:ind w:right="0"/>
        <w:jc w:val="right"/>
      </w:pPr>
      <w:r>
        <w:rPr>
          <w:b w:val="0"/>
          <w:sz w:val="22"/>
        </w:rPr>
        <w:t>مشروع school_erp — تنظيم المالية والرسوم وفق أفضل ممارسة محاسبية.</w:t>
      </w:r>
    </w:p>
    <w:p>
      <w:pPr>
        <w:pStyle w:val="Heading1"/>
        <w:spacing w:after="120"/>
        <w:ind w:right="0"/>
        <w:jc w:val="right"/>
      </w:pPr>
      <w:r>
        <w:rPr>
          <w:b w:val="0"/>
        </w:rPr>
        <w:t>1. الهدف من القسم</w:t>
      </w:r>
    </w:p>
    <w:p>
      <w:pPr>
        <w:spacing w:after="120"/>
        <w:ind w:right="0"/>
        <w:jc w:val="right"/>
      </w:pPr>
      <w:r>
        <w:rPr>
          <w:b w:val="0"/>
        </w:rPr>
        <w:t>يهدف قسم أرصدة الطلاب إلى تقديم شاشة مالية تجميعية تعرض كل طالب بسطر واحد بدل تكرار اسم الطالب بعدد الرسوم المفروضة عليه. الشاشة لا تستبدل تفاصيل الرسوم أو إيصالات الدفع، بل تجعل الإدارة ترى الوضع المالي العام بسرعة ووضوح.</w:t>
      </w:r>
    </w:p>
    <w:p>
      <w:pPr>
        <w:pStyle w:val="Heading1"/>
        <w:spacing w:after="120"/>
        <w:ind w:right="0"/>
        <w:jc w:val="right"/>
      </w:pPr>
      <w:r>
        <w:rPr>
          <w:b w:val="0"/>
        </w:rPr>
        <w:t>2. القاعدة المحاسبية المعتمدة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bidi w:val="1"/>
            <w:shd w:fill="D9EAF7"/>
          </w:tcPr>
          <w:p>
            <w:pPr>
              <w:jc w:val="right"/>
            </w:pPr>
            <w:r/>
            <w:r>
              <w:rPr>
                <w:b/>
                <w:sz w:val="20"/>
              </w:rPr>
              <w:t>القسم</w:t>
            </w:r>
          </w:p>
        </w:tc>
        <w:tc>
          <w:tcPr>
            <w:tcW w:type="dxa" w:w="5184"/>
            <w:vAlign w:val="center"/>
            <w:bidi w:val="1"/>
            <w:shd w:fill="D9EAF7"/>
          </w:tcPr>
          <w:p>
            <w:pPr>
              <w:jc w:val="right"/>
            </w:pPr>
            <w:r/>
            <w:r>
              <w:rPr>
                <w:b/>
                <w:sz w:val="20"/>
              </w:rPr>
              <w:t>الدور</w:t>
            </w:r>
          </w:p>
        </w:tc>
      </w:tr>
      <w:tr>
        <w:tc>
          <w:tcPr>
            <w:tcW w:type="dxa" w:w="5184"/>
            <w:vAlign w:val="center"/>
            <w:bidi w:val="1"/>
          </w:tcPr>
          <w:p>
            <w:pPr>
              <w:jc w:val="right"/>
            </w:pPr>
            <w:r/>
            <w:r>
              <w:rPr>
                <w:b/>
                <w:sz w:val="20"/>
              </w:rPr>
              <w:t>أنواع الرسوم</w:t>
            </w:r>
          </w:p>
        </w:tc>
        <w:tc>
          <w:tcPr>
            <w:tcW w:type="dxa" w:w="5184"/>
            <w:vAlign w:val="center"/>
            <w:bidi w:val="1"/>
          </w:tcPr>
          <w:p>
            <w:pPr>
              <w:jc w:val="right"/>
            </w:pPr>
            <w:r/>
            <w:r>
              <w:rPr>
                <w:b w:val="0"/>
                <w:sz w:val="20"/>
              </w:rPr>
              <w:t>تعريف نوع الرسم مثل قسط، كتب، نقل، رحلة، زي مدرسي.</w:t>
            </w:r>
          </w:p>
        </w:tc>
      </w:tr>
      <w:tr>
        <w:tc>
          <w:tcPr>
            <w:tcW w:type="dxa" w:w="5184"/>
            <w:vAlign w:val="center"/>
            <w:bidi w:val="1"/>
          </w:tcPr>
          <w:p>
            <w:pPr>
              <w:jc w:val="right"/>
            </w:pPr>
            <w:r/>
            <w:r>
              <w:rPr>
                <w:b/>
                <w:sz w:val="20"/>
              </w:rPr>
              <w:t>تفاصيل الرسوم</w:t>
            </w:r>
          </w:p>
        </w:tc>
        <w:tc>
          <w:tcPr>
            <w:tcW w:type="dxa" w:w="5184"/>
            <w:vAlign w:val="center"/>
            <w:bidi w:val="1"/>
          </w:tcPr>
          <w:p>
            <w:pPr>
              <w:jc w:val="right"/>
            </w:pPr>
            <w:r/>
            <w:r>
              <w:rPr>
                <w:b w:val="0"/>
                <w:sz w:val="20"/>
              </w:rPr>
              <w:t>المطالبات المالية المفروضة على الطلاب، وكل رسم يبقى سجلًا مستقلًا.</w:t>
            </w:r>
          </w:p>
        </w:tc>
      </w:tr>
      <w:tr>
        <w:tc>
          <w:tcPr>
            <w:tcW w:type="dxa" w:w="5184"/>
            <w:vAlign w:val="center"/>
            <w:bidi w:val="1"/>
          </w:tcPr>
          <w:p>
            <w:pPr>
              <w:jc w:val="right"/>
            </w:pPr>
            <w:r/>
            <w:r>
              <w:rPr>
                <w:b/>
                <w:sz w:val="20"/>
              </w:rPr>
              <w:t>إيصالات الدفع</w:t>
            </w:r>
          </w:p>
        </w:tc>
        <w:tc>
          <w:tcPr>
            <w:tcW w:type="dxa" w:w="5184"/>
            <w:vAlign w:val="center"/>
            <w:bidi w:val="1"/>
          </w:tcPr>
          <w:p>
            <w:pPr>
              <w:jc w:val="right"/>
            </w:pPr>
            <w:r/>
            <w:r>
              <w:rPr>
                <w:b w:val="0"/>
                <w:sz w:val="20"/>
              </w:rPr>
              <w:t>الدفعات الفعلية التي يدفعها الطالب، مع التاريخ والطريقة ورقم الإيصال.</w:t>
            </w:r>
          </w:p>
        </w:tc>
      </w:tr>
      <w:tr>
        <w:tc>
          <w:tcPr>
            <w:tcW w:type="dxa" w:w="5184"/>
            <w:vAlign w:val="center"/>
            <w:bidi w:val="1"/>
          </w:tcPr>
          <w:p>
            <w:pPr>
              <w:jc w:val="right"/>
            </w:pPr>
            <w:r/>
            <w:r>
              <w:rPr>
                <w:b/>
                <w:sz w:val="20"/>
              </w:rPr>
              <w:t>أرصدة الطلاب</w:t>
            </w:r>
          </w:p>
        </w:tc>
        <w:tc>
          <w:tcPr>
            <w:tcW w:type="dxa" w:w="5184"/>
            <w:vAlign w:val="center"/>
            <w:bidi w:val="1"/>
          </w:tcPr>
          <w:p>
            <w:pPr>
              <w:jc w:val="right"/>
            </w:pPr>
            <w:r/>
            <w:r>
              <w:rPr>
                <w:b w:val="0"/>
                <w:sz w:val="20"/>
              </w:rPr>
              <w:t>عرض تجميعي محسوب من الرسوم والدفعات: إجمالي الرسوم، المدفوع، المتبقي، والحالة.</w:t>
            </w:r>
          </w:p>
        </w:tc>
      </w:tr>
    </w:tbl>
    <w:p>
      <w:pPr>
        <w:pStyle w:val="Heading1"/>
        <w:spacing w:after="120"/>
        <w:ind w:right="0"/>
        <w:jc w:val="right"/>
      </w:pPr>
      <w:r>
        <w:rPr>
          <w:b w:val="0"/>
        </w:rPr>
        <w:t>3. التوزيع المقترح في القائمة الجانبية</w:t>
      </w:r>
    </w:p>
    <w:p>
      <w:pPr>
        <w:spacing w:after="120"/>
        <w:ind w:right="0"/>
        <w:jc w:val="right"/>
      </w:pPr>
      <w:r>
        <w:rPr>
          <w:b w:val="0"/>
        </w:rPr>
        <w:t>المالية والرسوم تحتوي على: أنواع الرسوم، أرصدة الطلاب، تفاصيل الرسوم، إيصالات الدفع. بالإنكليزي: Fee Types, Student Balances, Fee Details, Payment Receipts.</w:t>
      </w:r>
    </w:p>
    <w:p>
      <w:pPr>
        <w:pStyle w:val="Heading1"/>
        <w:spacing w:after="120"/>
        <w:ind w:right="0"/>
        <w:jc w:val="right"/>
      </w:pPr>
      <w:r>
        <w:rPr>
          <w:b w:val="0"/>
        </w:rPr>
        <w:t>4. أعمدة شاشة أرصدة الطلاب</w:t>
      </w:r>
    </w:p>
    <w:tbl>
      <w:tblPr>
        <w:tblStyle w:val="TableGrid"/>
        <w:tblW w:type="auto" w:w="0"/>
        <w:jc w:val="center"/>
        <w:tblLook w:firstColumn="1" w:firstRow="1" w:lastColumn="0" w:lastRow="0" w:noHBand="0" w:noVBand="1" w:val="04A0"/>
      </w:tblPr>
      <w:tblGrid>
        <w:gridCol w:w="5184"/>
        <w:gridCol w:w="5184"/>
      </w:tblGrid>
      <w:tr>
        <w:tc>
          <w:tcPr>
            <w:tcW w:type="dxa" w:w="5184"/>
            <w:vAlign w:val="center"/>
            <w:bidi w:val="1"/>
            <w:shd w:fill="E2F0D9"/>
          </w:tcPr>
          <w:p>
            <w:pPr>
              <w:jc w:val="right"/>
            </w:pPr>
            <w:r/>
            <w:r>
              <w:rPr>
                <w:b/>
                <w:sz w:val="20"/>
              </w:rPr>
              <w:t>الحقل</w:t>
            </w:r>
          </w:p>
        </w:tc>
        <w:tc>
          <w:tcPr>
            <w:tcW w:type="dxa" w:w="5184"/>
            <w:vAlign w:val="center"/>
            <w:bidi w:val="1"/>
            <w:shd w:fill="E2F0D9"/>
          </w:tcPr>
          <w:p>
            <w:pPr>
              <w:jc w:val="right"/>
            </w:pPr>
            <w:r/>
            <w:r>
              <w:rPr>
                <w:b/>
                <w:sz w:val="20"/>
              </w:rPr>
              <w:t>الشرح</w:t>
            </w:r>
          </w:p>
        </w:tc>
      </w:tr>
      <w:tr>
        <w:tc>
          <w:tcPr>
            <w:tcW w:type="dxa" w:w="5184"/>
            <w:vAlign w:val="center"/>
            <w:bidi w:val="1"/>
          </w:tcPr>
          <w:p>
            <w:pPr>
              <w:jc w:val="right"/>
            </w:pPr>
            <w:r/>
            <w:r>
              <w:rPr>
                <w:b/>
                <w:sz w:val="20"/>
              </w:rPr>
              <w:t>رقم الطالب</w:t>
            </w:r>
          </w:p>
        </w:tc>
        <w:tc>
          <w:tcPr>
            <w:tcW w:type="dxa" w:w="5184"/>
            <w:vAlign w:val="center"/>
            <w:bidi w:val="1"/>
          </w:tcPr>
          <w:p>
            <w:pPr>
              <w:jc w:val="right"/>
            </w:pPr>
            <w:r/>
            <w:r>
              <w:rPr>
                <w:b w:val="0"/>
                <w:sz w:val="20"/>
              </w:rPr>
              <w:t>يعرض باتجاه LTR لمنع انعكاس الأرقام في الواجهة العربية.</w:t>
            </w:r>
          </w:p>
        </w:tc>
      </w:tr>
      <w:tr>
        <w:tc>
          <w:tcPr>
            <w:tcW w:type="dxa" w:w="5184"/>
            <w:vAlign w:val="center"/>
            <w:bidi w:val="1"/>
          </w:tcPr>
          <w:p>
            <w:pPr>
              <w:jc w:val="right"/>
            </w:pPr>
            <w:r/>
            <w:r>
              <w:rPr>
                <w:b/>
                <w:sz w:val="20"/>
              </w:rPr>
              <w:t>الطالب</w:t>
            </w:r>
          </w:p>
        </w:tc>
        <w:tc>
          <w:tcPr>
            <w:tcW w:type="dxa" w:w="5184"/>
            <w:vAlign w:val="center"/>
            <w:bidi w:val="1"/>
          </w:tcPr>
          <w:p>
            <w:pPr>
              <w:jc w:val="right"/>
            </w:pPr>
            <w:r/>
            <w:r>
              <w:rPr>
                <w:b w:val="0"/>
                <w:sz w:val="20"/>
              </w:rPr>
              <w:t>اسم الطالب مع السنة الدراسية في الوصف.</w:t>
            </w:r>
          </w:p>
        </w:tc>
      </w:tr>
      <w:tr>
        <w:tc>
          <w:tcPr>
            <w:tcW w:type="dxa" w:w="5184"/>
            <w:vAlign w:val="center"/>
            <w:bidi w:val="1"/>
          </w:tcPr>
          <w:p>
            <w:pPr>
              <w:jc w:val="right"/>
            </w:pPr>
            <w:r/>
            <w:r>
              <w:rPr>
                <w:b/>
                <w:sz w:val="20"/>
              </w:rPr>
              <w:t>عدد الرسوم</w:t>
            </w:r>
          </w:p>
        </w:tc>
        <w:tc>
          <w:tcPr>
            <w:tcW w:type="dxa" w:w="5184"/>
            <w:vAlign w:val="center"/>
            <w:bidi w:val="1"/>
          </w:tcPr>
          <w:p>
            <w:pPr>
              <w:jc w:val="right"/>
            </w:pPr>
            <w:r/>
            <w:r>
              <w:rPr>
                <w:b w:val="0"/>
                <w:sz w:val="20"/>
              </w:rPr>
              <w:t>عدد المطالبات المالية المفروضة على الطالب في السنة.</w:t>
            </w:r>
          </w:p>
        </w:tc>
      </w:tr>
      <w:tr>
        <w:tc>
          <w:tcPr>
            <w:tcW w:type="dxa" w:w="5184"/>
            <w:vAlign w:val="center"/>
            <w:bidi w:val="1"/>
          </w:tcPr>
          <w:p>
            <w:pPr>
              <w:jc w:val="right"/>
            </w:pPr>
            <w:r/>
            <w:r>
              <w:rPr>
                <w:b/>
                <w:sz w:val="20"/>
              </w:rPr>
              <w:t>إجمالي الرسوم</w:t>
            </w:r>
          </w:p>
        </w:tc>
        <w:tc>
          <w:tcPr>
            <w:tcW w:type="dxa" w:w="5184"/>
            <w:vAlign w:val="center"/>
            <w:bidi w:val="1"/>
          </w:tcPr>
          <w:p>
            <w:pPr>
              <w:jc w:val="right"/>
            </w:pPr>
            <w:r/>
            <w:r>
              <w:rPr>
                <w:b w:val="0"/>
                <w:sz w:val="20"/>
              </w:rPr>
              <w:t>مجموع الرسوم المطلوبة.</w:t>
            </w:r>
          </w:p>
        </w:tc>
      </w:tr>
      <w:tr>
        <w:tc>
          <w:tcPr>
            <w:tcW w:type="dxa" w:w="5184"/>
            <w:vAlign w:val="center"/>
            <w:bidi w:val="1"/>
          </w:tcPr>
          <w:p>
            <w:pPr>
              <w:jc w:val="right"/>
            </w:pPr>
            <w:r/>
            <w:r>
              <w:rPr>
                <w:b/>
                <w:sz w:val="20"/>
              </w:rPr>
              <w:t>إجمالي المدفوع</w:t>
            </w:r>
          </w:p>
        </w:tc>
        <w:tc>
          <w:tcPr>
            <w:tcW w:type="dxa" w:w="5184"/>
            <w:vAlign w:val="center"/>
            <w:bidi w:val="1"/>
          </w:tcPr>
          <w:p>
            <w:pPr>
              <w:jc w:val="right"/>
            </w:pPr>
            <w:r/>
            <w:r>
              <w:rPr>
                <w:b w:val="0"/>
                <w:sz w:val="20"/>
              </w:rPr>
              <w:t>مجموع المدفوع من الرسوم.</w:t>
            </w:r>
          </w:p>
        </w:tc>
      </w:tr>
      <w:tr>
        <w:tc>
          <w:tcPr>
            <w:tcW w:type="dxa" w:w="5184"/>
            <w:vAlign w:val="center"/>
            <w:bidi w:val="1"/>
          </w:tcPr>
          <w:p>
            <w:pPr>
              <w:jc w:val="right"/>
            </w:pPr>
            <w:r/>
            <w:r>
              <w:rPr>
                <w:b/>
                <w:sz w:val="20"/>
              </w:rPr>
              <w:t>المتبقي</w:t>
            </w:r>
          </w:p>
        </w:tc>
        <w:tc>
          <w:tcPr>
            <w:tcW w:type="dxa" w:w="5184"/>
            <w:vAlign w:val="center"/>
            <w:bidi w:val="1"/>
          </w:tcPr>
          <w:p>
            <w:pPr>
              <w:jc w:val="right"/>
            </w:pPr>
            <w:r/>
            <w:r>
              <w:rPr>
                <w:b w:val="0"/>
                <w:sz w:val="20"/>
              </w:rPr>
              <w:t>إجمالي المبالغ غير المسددة.</w:t>
            </w:r>
          </w:p>
        </w:tc>
      </w:tr>
      <w:tr>
        <w:tc>
          <w:tcPr>
            <w:tcW w:type="dxa" w:w="5184"/>
            <w:vAlign w:val="center"/>
            <w:bidi w:val="1"/>
          </w:tcPr>
          <w:p>
            <w:pPr>
              <w:jc w:val="right"/>
            </w:pPr>
            <w:r/>
            <w:r>
              <w:rPr>
                <w:b/>
                <w:sz w:val="20"/>
              </w:rPr>
              <w:t>آخر دفعة</w:t>
            </w:r>
          </w:p>
        </w:tc>
        <w:tc>
          <w:tcPr>
            <w:tcW w:type="dxa" w:w="5184"/>
            <w:vAlign w:val="center"/>
            <w:bidi w:val="1"/>
          </w:tcPr>
          <w:p>
            <w:pPr>
              <w:jc w:val="right"/>
            </w:pPr>
            <w:r/>
            <w:r>
              <w:rPr>
                <w:b w:val="0"/>
                <w:sz w:val="20"/>
              </w:rPr>
              <w:t>آخر تاريخ دفع مسجل للطالب في السنة.</w:t>
            </w:r>
          </w:p>
        </w:tc>
      </w:tr>
      <w:tr>
        <w:tc>
          <w:tcPr>
            <w:tcW w:type="dxa" w:w="5184"/>
            <w:vAlign w:val="center"/>
            <w:bidi w:val="1"/>
          </w:tcPr>
          <w:p>
            <w:pPr>
              <w:jc w:val="right"/>
            </w:pPr>
            <w:r/>
            <w:r>
              <w:rPr>
                <w:b/>
                <w:sz w:val="20"/>
              </w:rPr>
              <w:t>الحالة</w:t>
            </w:r>
          </w:p>
        </w:tc>
        <w:tc>
          <w:tcPr>
            <w:tcW w:type="dxa" w:w="5184"/>
            <w:vAlign w:val="center"/>
            <w:bidi w:val="1"/>
          </w:tcPr>
          <w:p>
            <w:pPr>
              <w:jc w:val="right"/>
            </w:pPr>
            <w:r/>
            <w:r>
              <w:rPr>
                <w:b w:val="0"/>
                <w:sz w:val="20"/>
              </w:rPr>
              <w:t>مسدد، مدفوع جزئيًا، غير مسدد، متأخر.</w:t>
            </w:r>
          </w:p>
        </w:tc>
      </w:tr>
    </w:tbl>
    <w:p>
      <w:pPr>
        <w:pStyle w:val="Heading1"/>
        <w:spacing w:after="120"/>
        <w:ind w:right="0"/>
        <w:jc w:val="right"/>
      </w:pPr>
      <w:r>
        <w:rPr>
          <w:b w:val="0"/>
        </w:rPr>
        <w:t>5. حالات الرصيد</w:t>
      </w:r>
    </w:p>
    <w:p>
      <w:pPr>
        <w:spacing w:after="120"/>
        <w:ind w:right="0"/>
        <w:jc w:val="right"/>
      </w:pPr>
      <w:r>
        <w:rPr>
          <w:b w:val="0"/>
        </w:rPr>
        <w:t>مسدد: لا يوجد متبقٍ على الطالب. مدفوع جزئيًا: يوجد مدفوع ويوجد متبقٍ غير متأخر. غير مسدد: لا يوجد أي مدفوعات ويوجد متبقٍ. متأخر: يوجد متبقٍ ورسوم تجاوزت تاريخ الاستحقاق.</w:t>
      </w:r>
    </w:p>
    <w:p>
      <w:pPr>
        <w:pStyle w:val="Heading1"/>
        <w:spacing w:after="120"/>
        <w:ind w:right="0"/>
        <w:jc w:val="right"/>
      </w:pPr>
      <w:r>
        <w:rPr>
          <w:b w:val="0"/>
        </w:rPr>
        <w:t>6. مثال رحلة مدرسية</w:t>
      </w:r>
    </w:p>
    <w:p>
      <w:pPr>
        <w:spacing w:after="120"/>
        <w:ind w:right="0"/>
        <w:jc w:val="right"/>
      </w:pPr>
      <w:r>
        <w:rPr>
          <w:b w:val="0"/>
        </w:rPr>
        <w:t>عند إعلان رحلة مدرسية، تنشئ المدرسة نوع رسم باسم رحلة مدرسية، ثم تولد رسومًا للطلاب المشاركين فقط. عند الدفع، يتم إنشاء إيصال دفع مرتبط بالرسم. شاشة أرصدة الطلاب تعرض إجمالي المطلوب والمدفوع والمتبقي، بينما تبقى تفاصيل الرسوم والإيصالات محفوظة للتدقيق.</w:t>
      </w:r>
    </w:p>
    <w:p>
      <w:pPr>
        <w:pStyle w:val="Heading1"/>
        <w:spacing w:after="120"/>
        <w:ind w:right="0"/>
        <w:jc w:val="right"/>
      </w:pPr>
      <w:r>
        <w:rPr>
          <w:b w:val="0"/>
        </w:rPr>
        <w:t>7. الصلاحيات المطلوبة</w:t>
      </w:r>
    </w:p>
    <w:p>
      <w:pPr>
        <w:spacing w:after="120"/>
        <w:ind w:right="0"/>
        <w:jc w:val="right"/>
      </w:pPr>
      <w:r>
        <w:rPr>
          <w:b w:val="0"/>
        </w:rPr>
        <w:t>يعتمد عرض أرصدة الطلاب على صلاحيات fees.view أو fees.reports. يعتمد تصدير Excel على صلاحية fees.export. لا تضيف هذه المرحلة صلاحيات جديدة ولا تغيّر guard web.</w:t>
      </w:r>
    </w:p>
    <w:p>
      <w:pPr>
        <w:pStyle w:val="Heading1"/>
        <w:spacing w:after="120"/>
        <w:ind w:right="0"/>
        <w:jc w:val="right"/>
      </w:pPr>
      <w:r>
        <w:rPr>
          <w:b w:val="0"/>
        </w:rPr>
        <w:t>8. فحص القبول قبل التسليم</w:t>
      </w:r>
    </w:p>
    <w:p>
      <w:pPr>
        <w:spacing w:after="120"/>
        <w:ind w:right="0"/>
        <w:jc w:val="right"/>
      </w:pPr>
      <w:r>
        <w:rPr>
          <w:b w:val="0"/>
        </w:rPr>
        <w:t>• ظهور شاشة أرصدة الطلاب ضمن المالية والرسوم.</w:t>
      </w:r>
    </w:p>
    <w:p>
      <w:pPr>
        <w:spacing w:after="120"/>
        <w:ind w:right="0"/>
        <w:jc w:val="right"/>
      </w:pPr>
      <w:r>
        <w:rPr>
          <w:b w:val="0"/>
        </w:rPr>
        <w:t>• وجود بيانات مجمعة لكل طالب وسنة دراسية.</w:t>
      </w:r>
    </w:p>
    <w:p>
      <w:pPr>
        <w:spacing w:after="120"/>
        <w:ind w:right="0"/>
        <w:jc w:val="right"/>
      </w:pPr>
      <w:r>
        <w:rPr>
          <w:b w:val="0"/>
        </w:rPr>
        <w:t>• عدم وجود تكرار مزعج للطالب في الشاشة التجميعية.</w:t>
      </w:r>
    </w:p>
    <w:p>
      <w:pPr>
        <w:spacing w:after="120"/>
        <w:ind w:right="0"/>
        <w:jc w:val="right"/>
      </w:pPr>
      <w:r>
        <w:rPr>
          <w:b w:val="0"/>
        </w:rPr>
        <w:t>• بقاء تفاصيل الرسوم وإيصالات الدفع كسجلات مستقلة.</w:t>
      </w:r>
    </w:p>
    <w:p>
      <w:pPr>
        <w:spacing w:after="120"/>
        <w:ind w:right="0"/>
        <w:jc w:val="right"/>
      </w:pPr>
      <w:r>
        <w:rPr>
          <w:b w:val="0"/>
        </w:rPr>
        <w:t>• عمل تصدير Excel.</w:t>
      </w:r>
    </w:p>
    <w:p>
      <w:pPr>
        <w:spacing w:after="120"/>
        <w:ind w:right="0"/>
        <w:jc w:val="right"/>
      </w:pPr>
      <w:r>
        <w:rPr>
          <w:b w:val="0"/>
        </w:rPr>
        <w:t>• نجاح ملف الفحص بدون missing أو duplicates أو non_web_guard_count.</w:t>
      </w:r>
    </w:p>
    <w:p>
      <w:pPr>
        <w:pStyle w:val="Heading1"/>
        <w:spacing w:after="120"/>
        <w:ind w:right="0"/>
        <w:jc w:val="right"/>
      </w:pPr>
      <w:r>
        <w:rPr>
          <w:b w:val="0"/>
        </w:rPr>
        <w:t>9. ملاحظات للمطور</w:t>
      </w:r>
    </w:p>
    <w:p>
      <w:pPr>
        <w:spacing w:after="120"/>
        <w:ind w:right="0"/>
        <w:jc w:val="right"/>
      </w:pPr>
      <w:r>
        <w:rPr>
          <w:b w:val="0"/>
        </w:rPr>
        <w:t>تم إنشاء View باسم student_financial_balances لتجميع بيانات الرسوم والمدفوعات دون تغيير الجداول المحاسبية الأصلية. هذا يحافظ على دقة البيانات ويسمح بتوسيع التقارير لاحقًا مثل كشف حساب الطالب والمتأخرات والتحصيل اليومي.</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