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i w:val="0"/>
          <w:color w:val="555555"/>
          <w:sz w:val="22"/>
        </w:rPr>
        <w:t>ANALYTICAL REPORT</w:t>
      </w:r>
    </w:p>
    <w:p>
      <w:pPr>
        <w:spacing w:after="120"/>
      </w:pPr>
      <w:r>
        <w:rPr>
          <w:b/>
          <w:i w:val="0"/>
          <w:color w:val="1F4E8C"/>
          <w:sz w:val="56"/>
        </w:rPr>
        <w:t>Kenya Electricity Demand Outlook and Supply-Security Assessment</w:t>
      </w:r>
    </w:p>
    <w:p>
      <w:pPr>
        <w:spacing w:after="480"/>
      </w:pPr>
      <w:r>
        <w:rPr>
          <w:i w:val="0"/>
          <w:color w:val="1A1A1A"/>
          <w:sz w:val="28"/>
        </w:rPr>
        <w:t>Forecasting demand, measuring supply security, stress-testing the grid and sizing the capacity gap, 2000–2035</w:t>
      </w:r>
    </w:p>
    <w:p>
      <w:pPr>
        <w:spacing w:after="1200"/>
      </w:pPr>
      <w:r>
        <w:rPr>
          <w:i/>
          <w:color w:val="555555"/>
          <w:sz w:val="22"/>
        </w:rPr>
        <w:t>A data-driven policy analysis built on open electricity data for Kenya and nine regional peers</w:t>
      </w:r>
    </w:p>
    <w:p>
      <w:pPr>
        <w:spacing w:after="40"/>
      </w:pPr>
      <w:r>
        <w:rPr>
          <w:i w:val="0"/>
          <w:sz w:val="22"/>
        </w:rPr>
        <w:t>Author: Samatar Ahmed</w:t>
      </w:r>
    </w:p>
    <w:p>
      <w:pPr>
        <w:spacing w:after="40"/>
      </w:pPr>
      <w:r>
        <w:rPr>
          <w:i w:val="0"/>
          <w:sz w:val="22"/>
        </w:rPr>
        <w:t>Date: October 2026</w:t>
      </w:r>
    </w:p>
    <w:p>
      <w:pPr>
        <w:spacing w:after="40"/>
      </w:pPr>
      <w:r>
        <w:rPr>
          <w:i w:val="0"/>
          <w:color w:val="555555"/>
          <w:sz w:val="20"/>
        </w:rPr>
        <w:t>Data: Ember yearly electricity data (generation, demand, emissions) and Our World in Data energy dataset (population, GDP)</w:t>
      </w:r>
    </w:p>
    <w:p>
      <w:r>
        <w:rPr>
          <w:i w:val="0"/>
          <w:color w:val="555555"/>
          <w:sz w:val="20"/>
        </w:rPr>
        <w:t>Code and reproducible pipeline: see the accompanying GitHub repository and the Technical Methods Report.</w:t>
      </w:r>
    </w:p>
    <w:p>
      <w:r>
        <w:br w:type="page"/>
      </w:r>
    </w:p>
    <w:p>
      <w:pPr>
        <w:pStyle w:val="Heading1"/>
      </w:pPr>
      <w:r>
        <w:t>Executive summary</w:t>
      </w:r>
    </w:p>
    <w:p>
      <w:r>
        <w:rPr>
          <w:i w:val="0"/>
        </w:rPr>
        <w:t>Kenya's electricity system has been growing faster than almost any other part of its economy, and it is changing in character. This report uses open data to answer four questions that a national energy-planning team has to answer repeatedly: how fast will electricity demand grow, how secure is supply today, what happens if the grid is hit by drought or by loss of imported power, and how much new capacity is needed to keep pace.</w:t>
      </w:r>
    </w:p>
    <w:tbl>
      <w:tblPr>
        <w:tblW w:type="auto" w:w="0"/>
        <w:jc w:val="center"/>
        <w:tblLook w:firstColumn="1" w:firstRow="1" w:lastColumn="0" w:lastRow="0" w:noHBand="0" w:noVBand="1" w:val="04A0"/>
      </w:tblPr>
      <w:tblGrid>
        <w:gridCol w:w="9184"/>
      </w:tblGrid>
      <w:tr>
        <w:tc>
          <w:tcPr>
            <w:tcW w:type="dxa" w:w="9184"/>
            <w:shd w:val="clear" w:color="auto" w:fill="EAF1FB"/>
          </w:tcPr>
          <w:p>
            <w:r>
              <w:rPr>
                <w:b/>
              </w:rPr>
              <w:t>Headline findings</w:t>
            </w:r>
          </w:p>
          <w:p>
            <w:pPr>
              <w:spacing w:after="40"/>
            </w:pPr>
          </w:p>
        </w:tc>
      </w:tr>
    </w:tbl>
    <w:p>
      <w:pPr>
        <w:spacing w:after="40"/>
      </w:pPr>
    </w:p>
    <w:p>
      <w:pPr>
        <w:pStyle w:val="ListBullet"/>
        <w:spacing w:after="60"/>
      </w:pPr>
      <w:r>
        <w:rPr>
          <w:b/>
        </w:rPr>
        <w:t xml:space="preserve">Demand has more than tripled and will keep climbing. </w:t>
      </w:r>
      <w:r>
        <w:t>Annual electricity demand rose from 4.5 TWh in 2000 to 15.6 TWh in 2025, an average of 5.1% a year. Our backtested ensemble forecast puts demand at 19.6 TWh in 2030 (80% interval 17.4–22.0) and 24.9 TWh in 2035 (80% interval 21.0–29.4).</w:t>
      </w:r>
    </w:p>
    <w:p>
      <w:pPr>
        <w:pStyle w:val="ListBullet"/>
        <w:spacing w:after="60"/>
      </w:pPr>
      <w:r>
        <w:rPr>
          <w:b/>
        </w:rPr>
        <w:t xml:space="preserve">Forecast accuracy is good but honest limits apply. </w:t>
      </w:r>
      <w:r>
        <w:t>In rolling-origin backtests the ensemble missed next-year demand by 2.9% on average and three-year-ahead demand by 3.3%. Only 26 annual observations exist, so the intervals widen quickly and the model cannot see structural breaks.</w:t>
      </w:r>
    </w:p>
    <w:p>
      <w:pPr>
        <w:pStyle w:val="ListBullet"/>
        <w:spacing w:after="60"/>
      </w:pPr>
      <w:r>
        <w:rPr>
          <w:b/>
        </w:rPr>
        <w:t xml:space="preserve">Kenya is the most diversified power system in its region, which makes it structurally the most secure. </w:t>
      </w:r>
      <w:r>
        <w:t>On a four-pillar supply-security index Kenya ranks first among ten countries in 2024 (score 87/100, next best Uganda 82). The result holds as the median under 10,000 random weightings, but Kenya is first in only 54% of them, so the ranking is a strength, not a certainty.</w:t>
      </w:r>
    </w:p>
    <w:p>
      <w:pPr>
        <w:pStyle w:val="ListBullet"/>
        <w:spacing w:after="60"/>
      </w:pPr>
      <w:r>
        <w:rPr>
          <w:b/>
        </w:rPr>
        <w:t xml:space="preserve">The new weak spot is imported power. </w:t>
      </w:r>
      <w:r>
        <w:t>Net imports supplied 0.1% of demand in 2015 and 9.8% in 2025, the one security pillar that deteriorated markedly (score 100 to 72).</w:t>
      </w:r>
    </w:p>
    <w:p>
      <w:pPr>
        <w:pStyle w:val="ListBullet"/>
        <w:spacing w:after="60"/>
      </w:pPr>
      <w:r>
        <w:rPr>
          <w:b/>
        </w:rPr>
        <w:t xml:space="preserve">The grid survives drought or an import outage, but not both together. </w:t>
      </w:r>
      <w:r>
        <w:t>On an annual-energy basis, existing thermal plant can replace a drought as severe as the 2000 event or the loss of all imports, one at a time. Combine the two and about 5.8% of demand goes unserved. In a Monte Carlo built on 25 years of hydrology, the chance of a shortfall is 0% with imports available and 27% if the import link is down.</w:t>
      </w:r>
    </w:p>
    <w:p>
      <w:pPr>
        <w:pStyle w:val="ListBullet"/>
        <w:spacing w:after="60"/>
      </w:pPr>
      <w:r>
        <w:rPr>
          <w:b/>
        </w:rPr>
        <w:t xml:space="preserve">Meeting base-case demand needs about twice the historical build pace. </w:t>
      </w:r>
      <w:r>
        <w:t>Closing the gap to 24.9 TWh by 2035 requires adding roughly 0.93 TWh of new supply per year, 2.2 times the 0.42 TWh per year added in 2015–2025. That is about 2.2–3.1 GW of new capacity depending on the technology mix.</w:t>
      </w:r>
    </w:p>
    <w:p>
      <w:r>
        <w:rPr>
          <w:b/>
          <w:i w:val="0"/>
        </w:rPr>
        <w:t>What this means for planners.</w:t>
      </w:r>
    </w:p>
    <w:p>
      <w:pPr>
        <w:pStyle w:val="ListBullet"/>
        <w:spacing w:after="60"/>
      </w:pPr>
      <w:r>
        <w:t>Treat the import share and the thermal reserve as the two numbers to watch monthly. Both are cheap to track and both drive the stress results.</w:t>
      </w:r>
    </w:p>
    <w:p>
      <w:pPr>
        <w:pStyle w:val="ListBullet"/>
        <w:spacing w:after="60"/>
      </w:pPr>
      <w:r>
        <w:t>Keep geothermal at the centre of the build programme: it is the technology that adds the most secure energy per gigawatt and it keeps the mix diversified.</w:t>
      </w:r>
    </w:p>
    <w:p>
      <w:pPr>
        <w:pStyle w:val="ListBullet"/>
        <w:spacing w:after="60"/>
      </w:pPr>
      <w:r>
        <w:t>Invest in higher-frequency data (monthly generation, peak demand, reservoir levels). Annual data answers the strategic questions in this report but cannot answer the operational ones.</w:t>
      </w:r>
    </w:p>
    <w:p>
      <w:r>
        <w:rPr>
          <w:i/>
          <w:color w:val="555555"/>
          <w:sz w:val="20"/>
        </w:rPr>
        <w:t>How to read this report. Chapters 2–3 describe the data and Kenya's system. Chapters 4–7 contain the four analyses. Chapter 8 draws recommendations, Chapter 9 sets out limitations, and the appendices give definitions, a data dictionary and full tables. The companion Technical Methods Report documents every step and every line of code.</w:t>
      </w:r>
    </w:p>
    <w:p>
      <w:r>
        <w:br w:type="page"/>
      </w:r>
    </w:p>
    <w:p>
      <w:pPr>
        <w:pStyle w:val="Heading1"/>
      </w:pPr>
      <w:r>
        <w:t>Contents</w:t>
      </w:r>
    </w:p>
    <w:p>
      <w:pPr>
        <w:spacing w:after="60"/>
      </w:pPr>
      <w:r>
        <w:rPr>
          <w:i w:val="0"/>
        </w:rPr>
        <w:t>1  Introduction and policy context</w:t>
      </w:r>
    </w:p>
    <w:p>
      <w:pPr>
        <w:spacing w:after="60"/>
      </w:pPr>
      <w:r>
        <w:rPr>
          <w:i w:val="0"/>
        </w:rPr>
        <w:t>2  Data and quality assurance</w:t>
      </w:r>
    </w:p>
    <w:p>
      <w:pPr>
        <w:spacing w:after="60"/>
      </w:pPr>
      <w:r>
        <w:rPr>
          <w:i w:val="0"/>
        </w:rPr>
        <w:t>3  Kenya's electricity system, 2000–2025</w:t>
      </w:r>
    </w:p>
    <w:p>
      <w:pPr>
        <w:spacing w:after="60"/>
      </w:pPr>
      <w:r>
        <w:rPr>
          <w:i w:val="0"/>
        </w:rPr>
        <w:t>4  Demand forecasting</w:t>
      </w:r>
    </w:p>
    <w:p>
      <w:pPr>
        <w:spacing w:after="60"/>
      </w:pPr>
      <w:r>
        <w:rPr>
          <w:i w:val="0"/>
        </w:rPr>
        <w:t>5  Supply-security index</w:t>
      </w:r>
    </w:p>
    <w:p>
      <w:pPr>
        <w:spacing w:after="60"/>
      </w:pPr>
      <w:r>
        <w:rPr>
          <w:i w:val="0"/>
        </w:rPr>
        <w:t>6  Stress tests: drought and import interruption</w:t>
      </w:r>
    </w:p>
    <w:p>
      <w:pPr>
        <w:spacing w:after="60"/>
      </w:pPr>
      <w:r>
        <w:rPr>
          <w:i w:val="0"/>
        </w:rPr>
        <w:t>7  Capacity-gap analysis to 2035</w:t>
      </w:r>
    </w:p>
    <w:p>
      <w:pPr>
        <w:spacing w:after="60"/>
      </w:pPr>
      <w:r>
        <w:rPr>
          <w:i w:val="0"/>
        </w:rPr>
        <w:t>8  Recommendations for energy planners</w:t>
      </w:r>
    </w:p>
    <w:p>
      <w:pPr>
        <w:spacing w:after="60"/>
      </w:pPr>
      <w:r>
        <w:rPr>
          <w:i w:val="0"/>
        </w:rPr>
        <w:t>9  Limitations and threats to validity</w:t>
      </w:r>
    </w:p>
    <w:p>
      <w:pPr>
        <w:spacing w:after="60"/>
      </w:pPr>
      <w:r>
        <w:rPr>
          <w:i w:val="0"/>
        </w:rPr>
        <w:t>10 Conclusion</w:t>
      </w:r>
    </w:p>
    <w:p>
      <w:pPr>
        <w:spacing w:after="60"/>
      </w:pPr>
      <w:r>
        <w:rPr>
          <w:i w:val="0"/>
        </w:rPr>
        <w:t>Appendix A  Glossary</w:t>
      </w:r>
    </w:p>
    <w:p>
      <w:pPr>
        <w:spacing w:after="60"/>
      </w:pPr>
      <w:r>
        <w:rPr>
          <w:i w:val="0"/>
        </w:rPr>
        <w:t>Appendix B  Data dictionary</w:t>
      </w:r>
    </w:p>
    <w:p>
      <w:pPr>
        <w:spacing w:after="60"/>
      </w:pPr>
      <w:r>
        <w:rPr>
          <w:i w:val="0"/>
        </w:rPr>
        <w:t>Appendix C  Supporting tables</w:t>
      </w:r>
    </w:p>
    <w:p>
      <w:pPr>
        <w:spacing w:after="60"/>
      </w:pPr>
      <w:r>
        <w:rPr>
          <w:i w:val="0"/>
        </w:rPr>
        <w:t>Appendix D  Sources</w:t>
      </w:r>
    </w:p>
    <w:p>
      <w:r>
        <w:br w:type="page"/>
      </w:r>
    </w:p>
    <w:p>
      <w:pPr>
        <w:pStyle w:val="Heading1"/>
      </w:pPr>
      <w:r>
        <w:t>1  Introduction and policy context</w:t>
      </w:r>
    </w:p>
    <w:p>
      <w:pPr>
        <w:pStyle w:val="Heading2"/>
      </w:pPr>
      <w:r>
        <w:t>1.1  Why electricity, and why now</w:t>
      </w:r>
    </w:p>
    <w:p>
      <w:r>
        <w:rPr>
          <w:i w:val="0"/>
        </w:rPr>
        <w:t>Electricity is the part of the energy system where Kenya's recent story is most visible. The supply mix is dominated by geothermal, hydro and wind, the grid is increasingly interconnected with neighbours, and demand is growing steadily as incomes rise and more households and firms connect. For a planning ministry, three recurring questions follow: what will demand be, can supply meet it reliably, and what must be built.</w:t>
      </w:r>
    </w:p>
    <w:p>
      <w:r>
        <w:rPr>
          <w:i w:val="0"/>
        </w:rPr>
        <w:t>These are the questions behind the day-to-day work of an energy economic analyst: compiling and updating consumption data, analysing programmes and projects, forecasting market trends, and monitoring supply chains and strategic reserves. This project applies exactly that toolkit to electricity, using only open data, so that every number can be reproduced by anyone.</w:t>
      </w:r>
    </w:p>
    <w:p>
      <w:pPr>
        <w:pStyle w:val="Heading2"/>
      </w:pPr>
      <w:r>
        <w:t>1.2  What this report does</w:t>
      </w:r>
    </w:p>
    <w:p>
      <w:pPr>
        <w:keepNext/>
        <w:spacing w:after="60"/>
      </w:pPr>
      <w:r>
        <w:rPr>
          <w:b/>
          <w:color w:val="555555"/>
          <w:sz w:val="19"/>
        </w:rPr>
        <w:t>Table 1. Mapping of the analysis to the core duties of an energy economic analyst</w:t>
      </w:r>
    </w:p>
    <w:tbl>
      <w:tblPr>
        <w:tblStyle w:val="TableGrid"/>
        <w:tblW w:type="auto" w:w="0"/>
        <w:jc w:val="center"/>
        <w:tblLook w:firstColumn="1" w:firstRow="1" w:lastColumn="0" w:lastRow="0" w:noHBand="0" w:noVBand="1" w:val="04A0"/>
      </w:tblPr>
      <w:tblGrid>
        <w:gridCol w:w="4592"/>
        <w:gridCol w:w="4592"/>
      </w:tblGrid>
      <w:tr>
        <w:tc>
          <w:tcPr>
            <w:tcW w:type="dxa" w:w="3515"/>
            <w:shd w:val="clear" w:color="auto" w:fill="1F4E8C"/>
          </w:tcPr>
          <w:p>
            <w:r/>
            <w:r>
              <w:rPr>
                <w:b/>
                <w:color w:val="FFFFFF"/>
                <w:sz w:val="18"/>
              </w:rPr>
              <w:t>Analyst duty</w:t>
            </w:r>
          </w:p>
        </w:tc>
        <w:tc>
          <w:tcPr>
            <w:tcW w:type="dxa" w:w="5669"/>
            <w:shd w:val="clear" w:color="auto" w:fill="1F4E8C"/>
          </w:tcPr>
          <w:p>
            <w:r/>
            <w:r>
              <w:rPr>
                <w:b/>
                <w:color w:val="FFFFFF"/>
                <w:sz w:val="18"/>
              </w:rPr>
              <w:t>Where this project demonstrates it</w:t>
            </w:r>
          </w:p>
        </w:tc>
      </w:tr>
      <w:tr>
        <w:tc>
          <w:tcPr>
            <w:tcW w:type="dxa" w:w="3515"/>
          </w:tcPr>
          <w:p>
            <w:pPr>
              <w:spacing w:after="0"/>
            </w:pPr>
            <w:r/>
            <w:r>
              <w:rPr>
                <w:sz w:val="18"/>
              </w:rPr>
              <w:t>Collect, compile and update consumption data</w:t>
            </w:r>
          </w:p>
        </w:tc>
        <w:tc>
          <w:tcPr>
            <w:tcW w:type="dxa" w:w="5669"/>
          </w:tcPr>
          <w:p>
            <w:pPr>
              <w:spacing w:after="0"/>
            </w:pPr>
            <w:r/>
            <w:r>
              <w:rPr>
                <w:sz w:val="18"/>
              </w:rPr>
              <w:t>Chapter 2: harmonised Kenya and 10-country panel built from two open datasets, with reconciliation checks</w:t>
            </w:r>
          </w:p>
        </w:tc>
      </w:tr>
      <w:tr>
        <w:tc>
          <w:tcPr>
            <w:tcW w:type="dxa" w:w="3515"/>
            <w:shd w:val="clear" w:color="auto" w:fill="F3F5F8"/>
          </w:tcPr>
          <w:p>
            <w:pPr>
              <w:spacing w:after="0"/>
            </w:pPr>
            <w:r/>
            <w:r>
              <w:rPr>
                <w:sz w:val="18"/>
              </w:rPr>
              <w:t>Analyse data on programmes and projects</w:t>
            </w:r>
          </w:p>
        </w:tc>
        <w:tc>
          <w:tcPr>
            <w:tcW w:type="dxa" w:w="5669"/>
            <w:shd w:val="clear" w:color="auto" w:fill="F3F5F8"/>
          </w:tcPr>
          <w:p>
            <w:pPr>
              <w:spacing w:after="0"/>
            </w:pPr>
            <w:r/>
            <w:r>
              <w:rPr>
                <w:sz w:val="18"/>
              </w:rPr>
              <w:t>Chapter 7: capacity-gap analysis converting forecast demand into GW of new plant under alternative technology mixes</w:t>
            </w:r>
          </w:p>
        </w:tc>
      </w:tr>
      <w:tr>
        <w:tc>
          <w:tcPr>
            <w:tcW w:type="dxa" w:w="3515"/>
          </w:tcPr>
          <w:p>
            <w:pPr>
              <w:spacing w:after="0"/>
            </w:pPr>
            <w:r/>
            <w:r>
              <w:rPr>
                <w:sz w:val="18"/>
              </w:rPr>
              <w:t>Forecast market trends</w:t>
            </w:r>
          </w:p>
        </w:tc>
        <w:tc>
          <w:tcPr>
            <w:tcW w:type="dxa" w:w="5669"/>
          </w:tcPr>
          <w:p>
            <w:pPr>
              <w:spacing w:after="0"/>
            </w:pPr>
            <w:r/>
            <w:r>
              <w:rPr>
                <w:sz w:val="18"/>
              </w:rPr>
              <w:t>Chapter 4: five forecasting methods, rolling-origin backtests, calibrated prediction intervals to 2035</w:t>
            </w:r>
          </w:p>
        </w:tc>
      </w:tr>
      <w:tr>
        <w:tc>
          <w:tcPr>
            <w:tcW w:type="dxa" w:w="3515"/>
            <w:shd w:val="clear" w:color="auto" w:fill="F3F5F8"/>
          </w:tcPr>
          <w:p>
            <w:pPr>
              <w:spacing w:after="0"/>
            </w:pPr>
            <w:r/>
            <w:r>
              <w:rPr>
                <w:sz w:val="18"/>
              </w:rPr>
              <w:t>Monitor supply chains and strategic stocks</w:t>
            </w:r>
          </w:p>
        </w:tc>
        <w:tc>
          <w:tcPr>
            <w:tcW w:type="dxa" w:w="5669"/>
            <w:shd w:val="clear" w:color="auto" w:fill="F3F5F8"/>
          </w:tcPr>
          <w:p>
            <w:pPr>
              <w:spacing w:after="0"/>
            </w:pPr>
            <w:r/>
            <w:r>
              <w:rPr>
                <w:sz w:val="18"/>
              </w:rPr>
              <w:t>Chapters 5–6: supply-security index and stress tests of thermal reserves and import dependence</w:t>
            </w:r>
          </w:p>
        </w:tc>
      </w:tr>
    </w:tbl>
    <w:p>
      <w:pPr>
        <w:spacing w:after="40"/>
      </w:pPr>
    </w:p>
    <w:p>
      <w:pPr>
        <w:pStyle w:val="Heading2"/>
      </w:pPr>
      <w:r>
        <w:t>1.3  Scope and an important boundary</w:t>
      </w:r>
    </w:p>
    <w:p>
      <w:r>
        <w:rPr>
          <w:i w:val="0"/>
        </w:rPr>
        <w:t>The analysis is about electricity, not fuels. It uses annual data from 2000 to 2025 for Kenya and annual data to 2024 for nine regional comparators (Uganda, Tanzania, Ethiopia, Rwanda, Burundi, Zambia, Mozambique, DR Congo and Sudan). Everything is measured in energy terms (terawatt-hours, TWh). The report does not model prices, tariffs, transmission constraints or hourly operations, because the open data used here cannot support them. Chapter 9 explains what that means for how results should be used.</w:t>
      </w:r>
    </w:p>
    <w:p>
      <w:r>
        <w:br w:type="page"/>
      </w:r>
    </w:p>
    <w:p>
      <w:pPr>
        <w:pStyle w:val="Heading1"/>
      </w:pPr>
      <w:r>
        <w:t>2  Data and quality assurance</w:t>
      </w:r>
    </w:p>
    <w:p>
      <w:pPr>
        <w:pStyle w:val="Heading2"/>
      </w:pPr>
      <w:r>
        <w:t>2.1  Sources</w:t>
      </w:r>
    </w:p>
    <w:p>
      <w:pPr>
        <w:pStyle w:val="ListBullet"/>
        <w:spacing w:after="60"/>
      </w:pPr>
      <w:r>
        <w:rPr>
          <w:b/>
        </w:rPr>
        <w:t xml:space="preserve">Ember yearly electricity data (global, long format). </w:t>
      </w:r>
      <w:r>
        <w:t>Generation by source (TWh), electricity demand, net imports, emissions and installed capacity by country and year. The extract contains 104,273 rows for 1985–2025; Kenya is covered 2000–2025.</w:t>
      </w:r>
    </w:p>
    <w:p>
      <w:pPr>
        <w:pStyle w:val="ListBullet"/>
        <w:spacing w:after="60"/>
      </w:pPr>
      <w:r>
        <w:rPr>
          <w:b/>
        </w:rPr>
        <w:t xml:space="preserve">Our World in Data (OWID) energy dataset. </w:t>
      </w:r>
      <w:r>
        <w:t>Population, GDP (2011 international dollars), primary energy and derived per-capita measures. OWID's electricity series is itself derived from Ember, so the two files are consistent by construction and the reconciliation below is a check on processing, not an independent validation.</w:t>
      </w:r>
    </w:p>
    <w:p>
      <w:pPr>
        <w:pStyle w:val="Heading2"/>
      </w:pPr>
      <w:r>
        <w:t>2.2  Panel construction</w:t>
      </w:r>
    </w:p>
    <w:p>
      <w:r>
        <w:rPr>
          <w:i w:val="0"/>
        </w:rPr>
        <w:t>The pipeline filters Ember to country-level records, reshapes generation by source into one row per country and year, merges population and GDP from OWID, and derives per-capita demand and GDP per capita. Geothermal is reported by Ember under 'Other renewables'; for Kenya this is overwhelmingly geothermal, and it is labelled 'Geothermal &amp; other renewables' throughout. Fossil generation is the sum of coal, gas and other fossil.</w:t>
      </w:r>
    </w:p>
    <w:p>
      <w:pPr>
        <w:pStyle w:val="Heading2"/>
      </w:pPr>
      <w:r>
        <w:t>2.3  Quality checks</w:t>
      </w:r>
    </w:p>
    <w:p>
      <w:pPr>
        <w:keepNext/>
        <w:spacing w:after="60"/>
      </w:pPr>
      <w:r>
        <w:rPr>
          <w:b/>
          <w:color w:val="555555"/>
          <w:sz w:val="19"/>
        </w:rPr>
        <w:t>Table 2. Data quality checks</w:t>
      </w:r>
    </w:p>
    <w:tbl>
      <w:tblPr>
        <w:tblStyle w:val="TableGrid"/>
        <w:tblW w:type="auto" w:w="0"/>
        <w:jc w:val="center"/>
        <w:tblLook w:firstColumn="1" w:firstRow="1" w:lastColumn="0" w:lastRow="0" w:noHBand="0" w:noVBand="1" w:val="04A0"/>
      </w:tblPr>
      <w:tblGrid>
        <w:gridCol w:w="3061"/>
        <w:gridCol w:w="3061"/>
        <w:gridCol w:w="3061"/>
      </w:tblGrid>
      <w:tr>
        <w:tc>
          <w:tcPr>
            <w:tcW w:type="dxa" w:w="4195"/>
            <w:shd w:val="clear" w:color="auto" w:fill="1F4E8C"/>
          </w:tcPr>
          <w:p>
            <w:r/>
            <w:r>
              <w:rPr>
                <w:b/>
                <w:color w:val="FFFFFF"/>
                <w:sz w:val="18"/>
              </w:rPr>
              <w:t>Check</w:t>
            </w:r>
          </w:p>
        </w:tc>
        <w:tc>
          <w:tcPr>
            <w:tcW w:type="dxa" w:w="3515"/>
            <w:shd w:val="clear" w:color="auto" w:fill="1F4E8C"/>
          </w:tcPr>
          <w:p>
            <w:r/>
            <w:r>
              <w:rPr>
                <w:b/>
                <w:color w:val="FFFFFF"/>
                <w:sz w:val="18"/>
              </w:rPr>
              <w:t>Result</w:t>
            </w:r>
          </w:p>
        </w:tc>
        <w:tc>
          <w:tcPr>
            <w:tcW w:type="dxa" w:w="1701"/>
            <w:shd w:val="clear" w:color="auto" w:fill="1F4E8C"/>
          </w:tcPr>
          <w:p>
            <w:r/>
            <w:r>
              <w:rPr>
                <w:b/>
                <w:color w:val="FFFFFF"/>
                <w:sz w:val="18"/>
              </w:rPr>
              <w:t>Status</w:t>
            </w:r>
          </w:p>
        </w:tc>
      </w:tr>
      <w:tr>
        <w:tc>
          <w:tcPr>
            <w:tcW w:type="dxa" w:w="4195"/>
          </w:tcPr>
          <w:p>
            <w:pPr>
              <w:spacing w:after="0"/>
            </w:pPr>
            <w:r/>
            <w:r>
              <w:rPr>
                <w:sz w:val="18"/>
              </w:rPr>
              <w:t>Generation by source sums to total generation</w:t>
            </w:r>
          </w:p>
        </w:tc>
        <w:tc>
          <w:tcPr>
            <w:tcW w:type="dxa" w:w="3515"/>
          </w:tcPr>
          <w:p>
            <w:pPr>
              <w:spacing w:after="0"/>
            </w:pPr>
            <w:r/>
            <w:r>
              <w:rPr>
                <w:sz w:val="18"/>
              </w:rPr>
              <w:t>max gap 0.007%</w:t>
            </w:r>
          </w:p>
        </w:tc>
        <w:tc>
          <w:tcPr>
            <w:tcW w:type="dxa" w:w="1701"/>
          </w:tcPr>
          <w:p>
            <w:pPr>
              <w:spacing w:after="0"/>
            </w:pPr>
            <w:r/>
            <w:r>
              <w:rPr>
                <w:sz w:val="18"/>
              </w:rPr>
              <w:t>Pass</w:t>
            </w:r>
          </w:p>
        </w:tc>
      </w:tr>
      <w:tr>
        <w:tc>
          <w:tcPr>
            <w:tcW w:type="dxa" w:w="4195"/>
            <w:shd w:val="clear" w:color="auto" w:fill="F3F5F8"/>
          </w:tcPr>
          <w:p>
            <w:pPr>
              <w:spacing w:after="0"/>
            </w:pPr>
            <w:r/>
            <w:r>
              <w:rPr>
                <w:sz w:val="18"/>
              </w:rPr>
              <w:t>Generation + net imports equals demand</w:t>
            </w:r>
          </w:p>
        </w:tc>
        <w:tc>
          <w:tcPr>
            <w:tcW w:type="dxa" w:w="3515"/>
            <w:shd w:val="clear" w:color="auto" w:fill="F3F5F8"/>
          </w:tcPr>
          <w:p>
            <w:pPr>
              <w:spacing w:after="0"/>
            </w:pPr>
            <w:r/>
            <w:r>
              <w:rPr>
                <w:sz w:val="18"/>
              </w:rPr>
              <w:t>max gap 0.006%</w:t>
            </w:r>
          </w:p>
        </w:tc>
        <w:tc>
          <w:tcPr>
            <w:tcW w:type="dxa" w:w="1701"/>
            <w:shd w:val="clear" w:color="auto" w:fill="F3F5F8"/>
          </w:tcPr>
          <w:p>
            <w:pPr>
              <w:spacing w:after="0"/>
            </w:pPr>
            <w:r/>
            <w:r>
              <w:rPr>
                <w:sz w:val="18"/>
              </w:rPr>
              <w:t>Pass</w:t>
            </w:r>
          </w:p>
        </w:tc>
      </w:tr>
      <w:tr>
        <w:tc>
          <w:tcPr>
            <w:tcW w:type="dxa" w:w="4195"/>
          </w:tcPr>
          <w:p>
            <w:pPr>
              <w:spacing w:after="0"/>
            </w:pPr>
            <w:r/>
            <w:r>
              <w:rPr>
                <w:sz w:val="18"/>
              </w:rPr>
              <w:t>Ember vs OWID generation (Kenya, 26 years)</w:t>
            </w:r>
          </w:p>
        </w:tc>
        <w:tc>
          <w:tcPr>
            <w:tcW w:type="dxa" w:w="3515"/>
          </w:tcPr>
          <w:p>
            <w:pPr>
              <w:spacing w:after="0"/>
            </w:pPr>
            <w:r/>
            <w:r>
              <w:rPr>
                <w:sz w:val="18"/>
              </w:rPr>
              <w:t>max gap 0.06%</w:t>
            </w:r>
          </w:p>
        </w:tc>
        <w:tc>
          <w:tcPr>
            <w:tcW w:type="dxa" w:w="1701"/>
          </w:tcPr>
          <w:p>
            <w:pPr>
              <w:spacing w:after="0"/>
            </w:pPr>
            <w:r/>
            <w:r>
              <w:rPr>
                <w:sz w:val="18"/>
              </w:rPr>
              <w:t>Pass (not independent)</w:t>
            </w:r>
          </w:p>
        </w:tc>
      </w:tr>
      <w:tr>
        <w:tc>
          <w:tcPr>
            <w:tcW w:type="dxa" w:w="4195"/>
            <w:shd w:val="clear" w:color="auto" w:fill="F3F5F8"/>
          </w:tcPr>
          <w:p>
            <w:pPr>
              <w:spacing w:after="0"/>
            </w:pPr>
            <w:r/>
            <w:r>
              <w:rPr>
                <w:sz w:val="18"/>
              </w:rPr>
              <w:t>Ember vs OWID demand (Kenya, 26 years)</w:t>
            </w:r>
          </w:p>
        </w:tc>
        <w:tc>
          <w:tcPr>
            <w:tcW w:type="dxa" w:w="3515"/>
            <w:shd w:val="clear" w:color="auto" w:fill="F3F5F8"/>
          </w:tcPr>
          <w:p>
            <w:pPr>
              <w:spacing w:after="0"/>
            </w:pPr>
            <w:r/>
            <w:r>
              <w:rPr>
                <w:sz w:val="18"/>
              </w:rPr>
              <w:t>max gap 0.04%</w:t>
            </w:r>
          </w:p>
        </w:tc>
        <w:tc>
          <w:tcPr>
            <w:tcW w:type="dxa" w:w="1701"/>
            <w:shd w:val="clear" w:color="auto" w:fill="F3F5F8"/>
          </w:tcPr>
          <w:p>
            <w:pPr>
              <w:spacing w:after="0"/>
            </w:pPr>
            <w:r/>
            <w:r>
              <w:rPr>
                <w:sz w:val="18"/>
              </w:rPr>
              <w:t>Pass (not independent)</w:t>
            </w:r>
          </w:p>
        </w:tc>
      </w:tr>
      <w:tr>
        <w:tc>
          <w:tcPr>
            <w:tcW w:type="dxa" w:w="4195"/>
          </w:tcPr>
          <w:p>
            <w:pPr>
              <w:spacing w:after="0"/>
            </w:pPr>
            <w:r/>
            <w:r>
              <w:rPr>
                <w:sz w:val="18"/>
              </w:rPr>
              <w:t>Kenya capacity for geothermal</w:t>
            </w:r>
          </w:p>
        </w:tc>
        <w:tc>
          <w:tcPr>
            <w:tcW w:type="dxa" w:w="3515"/>
          </w:tcPr>
          <w:p>
            <w:pPr>
              <w:spacing w:after="0"/>
            </w:pPr>
            <w:r/>
            <w:r>
              <w:rPr>
                <w:sz w:val="18"/>
              </w:rPr>
              <w:t>Reported as zero in Ember</w:t>
            </w:r>
          </w:p>
        </w:tc>
        <w:tc>
          <w:tcPr>
            <w:tcW w:type="dxa" w:w="1701"/>
          </w:tcPr>
          <w:p>
            <w:pPr>
              <w:spacing w:after="0"/>
            </w:pPr>
            <w:r/>
            <w:r>
              <w:rPr>
                <w:sz w:val="18"/>
              </w:rPr>
              <w:t>Not used (see 2.4)</w:t>
            </w:r>
          </w:p>
        </w:tc>
      </w:tr>
    </w:tbl>
    <w:p>
      <w:pPr>
        <w:spacing w:after="40"/>
      </w:pPr>
    </w:p>
    <w:p>
      <w:pPr>
        <w:pStyle w:val="Heading2"/>
      </w:pPr>
      <w:r>
        <w:t>2.4  Known data limitations that shape the analysis</w:t>
      </w:r>
    </w:p>
    <w:p>
      <w:pPr>
        <w:pStyle w:val="ListBullet"/>
        <w:spacing w:after="60"/>
      </w:pPr>
      <w:r>
        <w:rPr>
          <w:b/>
        </w:rPr>
        <w:t xml:space="preserve">Short series. </w:t>
      </w:r>
      <w:r>
        <w:t>Kenya has 26 annual observations. That is enough to estimate trends and test forecasts out of sample, but too few for rich models. The report therefore favours simple, transparent methods and reports uncertainty explicitly.</w:t>
      </w:r>
    </w:p>
    <w:p>
      <w:pPr>
        <w:pStyle w:val="ListBullet"/>
        <w:spacing w:after="60"/>
      </w:pPr>
      <w:r>
        <w:rPr>
          <w:b/>
        </w:rPr>
        <w:t xml:space="preserve">No geothermal capacity. </w:t>
      </w:r>
      <w:r>
        <w:t>Ember reports zero installed capacity for Kenya's 'Other renewables', although the category generated 6.4 TWh in 2025. Capacity-based adequacy metrics (such as reserve margins) would be misleading, so the report works in energy terms and uses capacity only for thermal plant, where it is reported.</w:t>
      </w:r>
    </w:p>
    <w:p>
      <w:pPr>
        <w:pStyle w:val="ListBullet"/>
        <w:spacing w:after="60"/>
      </w:pPr>
      <w:r>
        <w:rPr>
          <w:b/>
        </w:rPr>
        <w:t xml:space="preserve">GDP ends in 2022; 2025 may be provisional. </w:t>
      </w:r>
      <w:r>
        <w:t>GDP is used for elasticity estimation and a conditional cross-check only. Latest-year values can be revised, so results should be refreshed with each Ember release; the pipeline reruns in one command.</w:t>
      </w:r>
    </w:p>
    <w:p>
      <w:r>
        <w:br w:type="page"/>
      </w:r>
    </w:p>
    <w:p>
      <w:pPr>
        <w:pStyle w:val="Heading1"/>
      </w:pPr>
      <w:r>
        <w:t>3  Kenya's electricity system, 2000–2025</w:t>
      </w:r>
    </w:p>
    <w:p>
      <w:pPr>
        <w:pStyle w:val="Heading2"/>
      </w:pPr>
      <w:r>
        <w:t>3.1  Growth</w:t>
      </w:r>
    </w:p>
    <w:p>
      <w:r>
        <w:rPr>
          <w:i w:val="0"/>
        </w:rPr>
        <w:t>Annual electricity demand grew from 4.5 TWh in 2000 to 9.8 TWh in 2015 and 15.6 TWh in 2025: an average of 5.1% a year over the whole period, 4.7% over the last decade and 5.7% over the last five years. Per-capita demand rose from 147 kWh to 271 kWh, so growth is mainly a story of more people and more use per person together. Demand fell in four years: sharply in 2007 and 2008 (−11% and −8%) and marginally in 2013 and 2016 (about −1% each).</w:t>
      </w:r>
    </w:p>
    <w:p>
      <w:pPr>
        <w:keepNext/>
        <w:spacing w:after="40"/>
        <w:jc w:val="center"/>
      </w:pPr>
      <w:r>
        <w:drawing>
          <wp:inline xmlns:a="http://schemas.openxmlformats.org/drawingml/2006/main" xmlns:pic="http://schemas.openxmlformats.org/drawingml/2006/picture">
            <wp:extent cx="5472000" cy="3040000"/>
            <wp:docPr id="1" name="Picture 1"/>
            <wp:cNvGraphicFramePr>
              <a:graphicFrameLocks noChangeAspect="1"/>
            </wp:cNvGraphicFramePr>
            <a:graphic>
              <a:graphicData uri="http://schemas.openxmlformats.org/drawingml/2006/picture">
                <pic:pic>
                  <pic:nvPicPr>
                    <pic:cNvPr id="0" name="fig01_supply_mix.png"/>
                    <pic:cNvPicPr/>
                  </pic:nvPicPr>
                  <pic:blipFill>
                    <a:blip r:embed="rId11"/>
                    <a:stretch>
                      <a:fillRect/>
                    </a:stretch>
                  </pic:blipFill>
                  <pic:spPr>
                    <a:xfrm>
                      <a:off x="0" y="0"/>
                      <a:ext cx="5472000" cy="3040000"/>
                    </a:xfrm>
                    <a:prstGeom prst="rect"/>
                  </pic:spPr>
                </pic:pic>
              </a:graphicData>
            </a:graphic>
          </wp:inline>
        </w:drawing>
      </w:r>
    </w:p>
    <w:p>
      <w:pPr>
        <w:jc w:val="center"/>
      </w:pPr>
      <w:r>
        <w:rPr>
          <w:i/>
          <w:color w:val="555555"/>
          <w:sz w:val="18"/>
        </w:rPr>
        <w:t>Figure 1. Kenya's electricity supply mix by source, with demand shown as the dashed line. Net imports appear at the top from 2022.</w:t>
      </w:r>
    </w:p>
    <w:p>
      <w:pPr>
        <w:pStyle w:val="Heading2"/>
      </w:pPr>
      <w:r>
        <w:t>3.2  The mix</w:t>
      </w:r>
    </w:p>
    <w:p>
      <w:r>
        <w:rPr>
          <w:i w:val="0"/>
        </w:rPr>
        <w:t>In 2025 geothermal and other renewables supplied 46% of Kenya's generation, hydro 21%, wind 17%, solar 5%, bioenergy 2% and fossil plant 10%. The grid emits about 96 grams of CO2 per kWh generated, among the lowest in the world, and broadly unchanged from a decade earlier (104 g/kWh in 2015): the intensity moves year to year with hydrology and with how much thermal plant is called.</w:t>
      </w:r>
    </w:p>
    <w:p>
      <w:r>
        <w:rPr>
          <w:i w:val="0"/>
        </w:rPr>
        <w:t>Two changes stand out. First, wind went from a negligible 0.06 TWh in 2015 to 2.3 TWh in 2025, and solar from 0.05 to 0.7 TWh. Second, hydro's share fell from 38% in 2015 to 21% in 2025: hydro output has been flat-to-down while demand grew, so new supply came from other sources.</w:t>
      </w:r>
    </w:p>
    <w:p>
      <w:pPr>
        <w:keepNext/>
        <w:spacing w:after="40"/>
        <w:jc w:val="center"/>
      </w:pPr>
      <w:r>
        <w:drawing>
          <wp:inline xmlns:a="http://schemas.openxmlformats.org/drawingml/2006/main" xmlns:pic="http://schemas.openxmlformats.org/drawingml/2006/picture">
            <wp:extent cx="5472000" cy="2345143"/>
            <wp:docPr id="2" name="Picture 2"/>
            <wp:cNvGraphicFramePr>
              <a:graphicFrameLocks noChangeAspect="1"/>
            </wp:cNvGraphicFramePr>
            <a:graphic>
              <a:graphicData uri="http://schemas.openxmlformats.org/drawingml/2006/picture">
                <pic:pic>
                  <pic:nvPicPr>
                    <pic:cNvPr id="0" name="fig07_imports_shares.png"/>
                    <pic:cNvPicPr/>
                  </pic:nvPicPr>
                  <pic:blipFill>
                    <a:blip r:embed="rId12"/>
                    <a:stretch>
                      <a:fillRect/>
                    </a:stretch>
                  </pic:blipFill>
                  <pic:spPr>
                    <a:xfrm>
                      <a:off x="0" y="0"/>
                      <a:ext cx="5472000" cy="2345143"/>
                    </a:xfrm>
                    <a:prstGeom prst="rect"/>
                  </pic:spPr>
                </pic:pic>
              </a:graphicData>
            </a:graphic>
          </wp:inline>
        </w:drawing>
      </w:r>
    </w:p>
    <w:p>
      <w:pPr>
        <w:jc w:val="center"/>
      </w:pPr>
      <w:r>
        <w:rPr>
          <w:i/>
          <w:color w:val="555555"/>
          <w:sz w:val="18"/>
        </w:rPr>
        <w:t>Figure 2. Left: net imports as a share of demand, last 14 years. Right: share of generation from geothermal and other renewables, hydro and wind.</w:t>
      </w:r>
    </w:p>
    <w:p>
      <w:pPr>
        <w:pStyle w:val="Heading2"/>
      </w:pPr>
      <w:r>
        <w:t>3.3  The rise of imported power</w:t>
      </w:r>
    </w:p>
    <w:p>
      <w:r>
        <w:rPr>
          <w:i w:val="0"/>
        </w:rPr>
        <w:t>Net imports were negligible (0.01 TWh, 0.1% of demand) in 2015, stayed at or below 0.3 TWh through 2022, then reached 0.89 TWh in 2023, 1.49 TWh in 2024 and 1.52 TWh (9.8% of demand) in 2025. The data do not identify the supplying country; the timing is consistent with the commissioning of the high-capacity interconnector with Ethiopia, but that attribution is an inference and not something the dataset shows. What matters for security analysis is that roughly one unit in ten now crosses a border.</w:t>
      </w:r>
    </w:p>
    <w:p>
      <w:pPr>
        <w:pStyle w:val="Heading2"/>
      </w:pPr>
      <w:r>
        <w:t>3.4  Regional benchmarking</w:t>
      </w:r>
    </w:p>
    <w:p>
      <w:r>
        <w:rPr>
          <w:i w:val="0"/>
        </w:rPr>
        <w:t>Kenya's per-capita demand of 261 kWh in 2024 sits in the middle of the East African pack. It is well above Tanzania, Uganda, Rwanda, Ethiopia, Burundi and DR Congo, and below Sudan, Mozambique and Zambia, the last two of which combine large hydro supply with heavy industrial demand. Kenya's ten-year demand growth of 4.7% a year is slower than Ethiopia (10.4%), Rwanda (9.3%) and Burundi (7.8%), which are growing from much smaller bases.</w:t>
      </w:r>
    </w:p>
    <w:p>
      <w:pPr>
        <w:keepNext/>
        <w:spacing w:after="60"/>
      </w:pPr>
      <w:r>
        <w:rPr>
          <w:b/>
          <w:color w:val="555555"/>
          <w:sz w:val="19"/>
        </w:rPr>
        <w:t>Table 3. Regional benchmark, 2024</w:t>
      </w:r>
    </w:p>
    <w:tbl>
      <w:tblPr>
        <w:tblStyle w:val="TableGrid"/>
        <w:tblW w:type="auto" w:w="0"/>
        <w:jc w:val="center"/>
        <w:tblLook w:firstColumn="1" w:firstRow="1" w:lastColumn="0" w:lastRow="0" w:noHBand="0" w:noVBand="1" w:val="04A0"/>
      </w:tblPr>
      <w:tblGrid>
        <w:gridCol w:w="1148"/>
        <w:gridCol w:w="1148"/>
        <w:gridCol w:w="1148"/>
        <w:gridCol w:w="1148"/>
        <w:gridCol w:w="1148"/>
        <w:gridCol w:w="1148"/>
        <w:gridCol w:w="1148"/>
        <w:gridCol w:w="1148"/>
      </w:tblGrid>
      <w:tr>
        <w:tc>
          <w:tcPr>
            <w:tcW w:type="dxa" w:w="1361"/>
            <w:shd w:val="clear" w:color="auto" w:fill="1F4E8C"/>
          </w:tcPr>
          <w:p>
            <w:r/>
            <w:r>
              <w:rPr>
                <w:b/>
                <w:color w:val="FFFFFF"/>
                <w:sz w:val="17"/>
              </w:rPr>
              <w:t>Country</w:t>
            </w:r>
          </w:p>
        </w:tc>
        <w:tc>
          <w:tcPr>
            <w:tcW w:type="dxa" w:w="1077"/>
            <w:shd w:val="clear" w:color="auto" w:fill="1F4E8C"/>
          </w:tcPr>
          <w:p>
            <w:r/>
            <w:r>
              <w:rPr>
                <w:b/>
                <w:color w:val="FFFFFF"/>
                <w:sz w:val="17"/>
              </w:rPr>
              <w:t>Demand (TWh)</w:t>
            </w:r>
          </w:p>
        </w:tc>
        <w:tc>
          <w:tcPr>
            <w:tcW w:type="dxa" w:w="1191"/>
            <w:shd w:val="clear" w:color="auto" w:fill="1F4E8C"/>
          </w:tcPr>
          <w:p>
            <w:r/>
            <w:r>
              <w:rPr>
                <w:b/>
                <w:color w:val="FFFFFF"/>
                <w:sz w:val="17"/>
              </w:rPr>
              <w:t>Per capita (kWh)</w:t>
            </w:r>
          </w:p>
        </w:tc>
        <w:tc>
          <w:tcPr>
            <w:tcW w:type="dxa" w:w="1077"/>
            <w:shd w:val="clear" w:color="auto" w:fill="1F4E8C"/>
          </w:tcPr>
          <w:p>
            <w:r/>
            <w:r>
              <w:rPr>
                <w:b/>
                <w:color w:val="FFFFFF"/>
                <w:sz w:val="17"/>
              </w:rPr>
              <w:t>Hydro share (%)</w:t>
            </w:r>
          </w:p>
        </w:tc>
        <w:tc>
          <w:tcPr>
            <w:tcW w:type="dxa" w:w="1077"/>
            <w:shd w:val="clear" w:color="auto" w:fill="1F4E8C"/>
          </w:tcPr>
          <w:p>
            <w:r/>
            <w:r>
              <w:rPr>
                <w:b/>
                <w:color w:val="FFFFFF"/>
                <w:sz w:val="17"/>
              </w:rPr>
              <w:t>Fossil share (%)</w:t>
            </w:r>
          </w:p>
        </w:tc>
        <w:tc>
          <w:tcPr>
            <w:tcW w:type="dxa" w:w="1304"/>
            <w:shd w:val="clear" w:color="auto" w:fill="1F4E8C"/>
          </w:tcPr>
          <w:p>
            <w:r/>
            <w:r>
              <w:rPr>
                <w:b/>
                <w:color w:val="FFFFFF"/>
                <w:sz w:val="17"/>
              </w:rPr>
              <w:t>Net imports (% demand)</w:t>
            </w:r>
          </w:p>
        </w:tc>
        <w:tc>
          <w:tcPr>
            <w:tcW w:type="dxa" w:w="964"/>
            <w:shd w:val="clear" w:color="auto" w:fill="1F4E8C"/>
          </w:tcPr>
          <w:p>
            <w:r/>
            <w:r>
              <w:rPr>
                <w:b/>
                <w:color w:val="FFFFFF"/>
                <w:sz w:val="17"/>
              </w:rPr>
              <w:t>g CO2/kWh</w:t>
            </w:r>
          </w:p>
        </w:tc>
        <w:tc>
          <w:tcPr>
            <w:tcW w:type="dxa" w:w="1304"/>
            <w:shd w:val="clear" w:color="auto" w:fill="1F4E8C"/>
          </w:tcPr>
          <w:p>
            <w:r/>
            <w:r>
              <w:rPr>
                <w:b/>
                <w:color w:val="FFFFFF"/>
                <w:sz w:val="17"/>
              </w:rPr>
              <w:t>Demand CAGR 2014–24 (%)</w:t>
            </w:r>
          </w:p>
        </w:tc>
      </w:tr>
      <w:tr>
        <w:tc>
          <w:tcPr>
            <w:tcW w:type="dxa" w:w="1361"/>
          </w:tcPr>
          <w:p>
            <w:pPr>
              <w:spacing w:after="0"/>
            </w:pPr>
            <w:r/>
            <w:r>
              <w:rPr>
                <w:sz w:val="17"/>
              </w:rPr>
              <w:t>Zambia</w:t>
            </w:r>
          </w:p>
        </w:tc>
        <w:tc>
          <w:tcPr>
            <w:tcW w:type="dxa" w:w="1077"/>
          </w:tcPr>
          <w:p>
            <w:pPr>
              <w:spacing w:after="0"/>
              <w:jc w:val="right"/>
            </w:pPr>
            <w:r/>
            <w:r>
              <w:rPr>
                <w:sz w:val="17"/>
              </w:rPr>
              <w:t>16.6</w:t>
            </w:r>
          </w:p>
        </w:tc>
        <w:tc>
          <w:tcPr>
            <w:tcW w:type="dxa" w:w="1191"/>
          </w:tcPr>
          <w:p>
            <w:pPr>
              <w:spacing w:after="0"/>
              <w:jc w:val="right"/>
            </w:pPr>
            <w:r/>
            <w:r>
              <w:rPr>
                <w:sz w:val="17"/>
              </w:rPr>
              <w:t>779</w:t>
            </w:r>
          </w:p>
        </w:tc>
        <w:tc>
          <w:tcPr>
            <w:tcW w:type="dxa" w:w="1077"/>
          </w:tcPr>
          <w:p>
            <w:pPr>
              <w:spacing w:after="0"/>
              <w:jc w:val="right"/>
            </w:pPr>
            <w:r/>
            <w:r>
              <w:rPr>
                <w:sz w:val="17"/>
              </w:rPr>
              <w:t>86</w:t>
            </w:r>
          </w:p>
        </w:tc>
        <w:tc>
          <w:tcPr>
            <w:tcW w:type="dxa" w:w="1077"/>
          </w:tcPr>
          <w:p>
            <w:pPr>
              <w:spacing w:after="0"/>
              <w:jc w:val="right"/>
            </w:pPr>
            <w:r/>
            <w:r>
              <w:rPr>
                <w:sz w:val="17"/>
              </w:rPr>
              <w:t>13</w:t>
            </w:r>
          </w:p>
        </w:tc>
        <w:tc>
          <w:tcPr>
            <w:tcW w:type="dxa" w:w="1304"/>
          </w:tcPr>
          <w:p>
            <w:pPr>
              <w:spacing w:after="0"/>
              <w:jc w:val="right"/>
            </w:pPr>
            <w:r/>
            <w:r>
              <w:rPr>
                <w:sz w:val="17"/>
              </w:rPr>
              <w:t>0.0</w:t>
            </w:r>
          </w:p>
        </w:tc>
        <w:tc>
          <w:tcPr>
            <w:tcW w:type="dxa" w:w="964"/>
          </w:tcPr>
          <w:p>
            <w:pPr>
              <w:spacing w:after="0"/>
              <w:jc w:val="right"/>
            </w:pPr>
            <w:r/>
            <w:r>
              <w:rPr>
                <w:sz w:val="17"/>
              </w:rPr>
              <w:t>126</w:t>
            </w:r>
          </w:p>
        </w:tc>
        <w:tc>
          <w:tcPr>
            <w:tcW w:type="dxa" w:w="1304"/>
          </w:tcPr>
          <w:p>
            <w:pPr>
              <w:spacing w:after="0"/>
              <w:jc w:val="right"/>
            </w:pPr>
            <w:r/>
            <w:r>
              <w:rPr>
                <w:sz w:val="17"/>
              </w:rPr>
              <w:t>2.3</w:t>
            </w:r>
          </w:p>
        </w:tc>
      </w:tr>
      <w:tr>
        <w:tc>
          <w:tcPr>
            <w:tcW w:type="dxa" w:w="1361"/>
            <w:shd w:val="clear" w:color="auto" w:fill="F3F5F8"/>
          </w:tcPr>
          <w:p>
            <w:pPr>
              <w:spacing w:after="0"/>
            </w:pPr>
            <w:r/>
            <w:r>
              <w:rPr>
                <w:sz w:val="17"/>
              </w:rPr>
              <w:t>Mozambique</w:t>
            </w:r>
          </w:p>
        </w:tc>
        <w:tc>
          <w:tcPr>
            <w:tcW w:type="dxa" w:w="1077"/>
            <w:shd w:val="clear" w:color="auto" w:fill="F3F5F8"/>
          </w:tcPr>
          <w:p>
            <w:pPr>
              <w:spacing w:after="0"/>
              <w:jc w:val="right"/>
            </w:pPr>
            <w:r/>
            <w:r>
              <w:rPr>
                <w:sz w:val="17"/>
              </w:rPr>
              <w:t>16.5</w:t>
            </w:r>
          </w:p>
        </w:tc>
        <w:tc>
          <w:tcPr>
            <w:tcW w:type="dxa" w:w="1191"/>
            <w:shd w:val="clear" w:color="auto" w:fill="F3F5F8"/>
          </w:tcPr>
          <w:p>
            <w:pPr>
              <w:spacing w:after="0"/>
              <w:jc w:val="right"/>
            </w:pPr>
            <w:r/>
            <w:r>
              <w:rPr>
                <w:sz w:val="17"/>
              </w:rPr>
              <w:t>476</w:t>
            </w:r>
          </w:p>
        </w:tc>
        <w:tc>
          <w:tcPr>
            <w:tcW w:type="dxa" w:w="1077"/>
            <w:shd w:val="clear" w:color="auto" w:fill="F3F5F8"/>
          </w:tcPr>
          <w:p>
            <w:pPr>
              <w:spacing w:after="0"/>
              <w:jc w:val="right"/>
            </w:pPr>
            <w:r/>
            <w:r>
              <w:rPr>
                <w:sz w:val="17"/>
              </w:rPr>
              <w:t>82</w:t>
            </w:r>
          </w:p>
        </w:tc>
        <w:tc>
          <w:tcPr>
            <w:tcW w:type="dxa" w:w="1077"/>
            <w:shd w:val="clear" w:color="auto" w:fill="F3F5F8"/>
          </w:tcPr>
          <w:p>
            <w:pPr>
              <w:spacing w:after="0"/>
              <w:jc w:val="right"/>
            </w:pPr>
            <w:r/>
            <w:r>
              <w:rPr>
                <w:sz w:val="17"/>
              </w:rPr>
              <w:t>17</w:t>
            </w:r>
          </w:p>
        </w:tc>
        <w:tc>
          <w:tcPr>
            <w:tcW w:type="dxa" w:w="1304"/>
            <w:shd w:val="clear" w:color="auto" w:fill="F3F5F8"/>
          </w:tcPr>
          <w:p>
            <w:pPr>
              <w:spacing w:after="0"/>
              <w:jc w:val="right"/>
            </w:pPr>
            <w:r/>
            <w:r>
              <w:rPr>
                <w:sz w:val="17"/>
              </w:rPr>
              <w:t>0.0</w:t>
            </w:r>
          </w:p>
        </w:tc>
        <w:tc>
          <w:tcPr>
            <w:tcW w:type="dxa" w:w="964"/>
            <w:shd w:val="clear" w:color="auto" w:fill="F3F5F8"/>
          </w:tcPr>
          <w:p>
            <w:pPr>
              <w:spacing w:after="0"/>
              <w:jc w:val="right"/>
            </w:pPr>
            <w:r/>
            <w:r>
              <w:rPr>
                <w:sz w:val="17"/>
              </w:rPr>
              <w:t>129</w:t>
            </w:r>
          </w:p>
        </w:tc>
        <w:tc>
          <w:tcPr>
            <w:tcW w:type="dxa" w:w="1304"/>
            <w:shd w:val="clear" w:color="auto" w:fill="F3F5F8"/>
          </w:tcPr>
          <w:p>
            <w:pPr>
              <w:spacing w:after="0"/>
              <w:jc w:val="right"/>
            </w:pPr>
            <w:r/>
            <w:r>
              <w:rPr>
                <w:sz w:val="17"/>
              </w:rPr>
              <w:t>1.4</w:t>
            </w:r>
          </w:p>
        </w:tc>
      </w:tr>
      <w:tr>
        <w:tc>
          <w:tcPr>
            <w:tcW w:type="dxa" w:w="1361"/>
          </w:tcPr>
          <w:p>
            <w:pPr>
              <w:spacing w:after="0"/>
            </w:pPr>
            <w:r/>
            <w:r>
              <w:rPr>
                <w:sz w:val="17"/>
              </w:rPr>
              <w:t>Sudan</w:t>
            </w:r>
          </w:p>
        </w:tc>
        <w:tc>
          <w:tcPr>
            <w:tcW w:type="dxa" w:w="1077"/>
          </w:tcPr>
          <w:p>
            <w:pPr>
              <w:spacing w:after="0"/>
              <w:jc w:val="right"/>
            </w:pPr>
            <w:r/>
            <w:r>
              <w:rPr>
                <w:sz w:val="17"/>
              </w:rPr>
              <w:t>15.6</w:t>
            </w:r>
          </w:p>
        </w:tc>
        <w:tc>
          <w:tcPr>
            <w:tcW w:type="dxa" w:w="1191"/>
          </w:tcPr>
          <w:p>
            <w:pPr>
              <w:spacing w:after="0"/>
              <w:jc w:val="right"/>
            </w:pPr>
            <w:r/>
            <w:r>
              <w:rPr>
                <w:sz w:val="17"/>
              </w:rPr>
              <w:t>309</w:t>
            </w:r>
          </w:p>
        </w:tc>
        <w:tc>
          <w:tcPr>
            <w:tcW w:type="dxa" w:w="1077"/>
          </w:tcPr>
          <w:p>
            <w:pPr>
              <w:spacing w:after="0"/>
              <w:jc w:val="right"/>
            </w:pPr>
            <w:r/>
            <w:r>
              <w:rPr>
                <w:sz w:val="17"/>
              </w:rPr>
              <w:t>78</w:t>
            </w:r>
          </w:p>
        </w:tc>
        <w:tc>
          <w:tcPr>
            <w:tcW w:type="dxa" w:w="1077"/>
          </w:tcPr>
          <w:p>
            <w:pPr>
              <w:spacing w:after="0"/>
              <w:jc w:val="right"/>
            </w:pPr>
            <w:r/>
            <w:r>
              <w:rPr>
                <w:sz w:val="17"/>
              </w:rPr>
              <w:t>20</w:t>
            </w:r>
          </w:p>
        </w:tc>
        <w:tc>
          <w:tcPr>
            <w:tcW w:type="dxa" w:w="1304"/>
          </w:tcPr>
          <w:p>
            <w:pPr>
              <w:spacing w:after="0"/>
              <w:jc w:val="right"/>
            </w:pPr>
            <w:r/>
            <w:r>
              <w:rPr>
                <w:sz w:val="17"/>
              </w:rPr>
              <w:t>5.1</w:t>
            </w:r>
          </w:p>
        </w:tc>
        <w:tc>
          <w:tcPr>
            <w:tcW w:type="dxa" w:w="964"/>
          </w:tcPr>
          <w:p>
            <w:pPr>
              <w:spacing w:after="0"/>
              <w:jc w:val="right"/>
            </w:pPr>
            <w:r/>
            <w:r>
              <w:rPr>
                <w:sz w:val="17"/>
              </w:rPr>
              <w:t>154</w:t>
            </w:r>
          </w:p>
        </w:tc>
        <w:tc>
          <w:tcPr>
            <w:tcW w:type="dxa" w:w="1304"/>
          </w:tcPr>
          <w:p>
            <w:pPr>
              <w:spacing w:after="0"/>
              <w:jc w:val="right"/>
            </w:pPr>
            <w:r/>
            <w:r>
              <w:rPr>
                <w:sz w:val="17"/>
              </w:rPr>
              <w:t>2.8</w:t>
            </w:r>
          </w:p>
        </w:tc>
      </w:tr>
      <w:tr>
        <w:tc>
          <w:tcPr>
            <w:tcW w:type="dxa" w:w="1361"/>
            <w:shd w:val="clear" w:color="auto" w:fill="F3F5F8"/>
          </w:tcPr>
          <w:p>
            <w:pPr>
              <w:spacing w:after="0"/>
            </w:pPr>
            <w:r/>
            <w:r>
              <w:rPr>
                <w:sz w:val="17"/>
              </w:rPr>
              <w:t>Kenya</w:t>
            </w:r>
          </w:p>
        </w:tc>
        <w:tc>
          <w:tcPr>
            <w:tcW w:type="dxa" w:w="1077"/>
            <w:shd w:val="clear" w:color="auto" w:fill="F3F5F8"/>
          </w:tcPr>
          <w:p>
            <w:pPr>
              <w:spacing w:after="0"/>
              <w:jc w:val="right"/>
            </w:pPr>
            <w:r/>
            <w:r>
              <w:rPr>
                <w:sz w:val="17"/>
              </w:rPr>
              <w:t>14.8</w:t>
            </w:r>
          </w:p>
        </w:tc>
        <w:tc>
          <w:tcPr>
            <w:tcW w:type="dxa" w:w="1191"/>
            <w:shd w:val="clear" w:color="auto" w:fill="F3F5F8"/>
          </w:tcPr>
          <w:p>
            <w:pPr>
              <w:spacing w:after="0"/>
              <w:jc w:val="right"/>
            </w:pPr>
            <w:r/>
            <w:r>
              <w:rPr>
                <w:sz w:val="17"/>
              </w:rPr>
              <w:t>261</w:t>
            </w:r>
          </w:p>
        </w:tc>
        <w:tc>
          <w:tcPr>
            <w:tcW w:type="dxa" w:w="1077"/>
            <w:shd w:val="clear" w:color="auto" w:fill="F3F5F8"/>
          </w:tcPr>
          <w:p>
            <w:pPr>
              <w:spacing w:after="0"/>
              <w:jc w:val="right"/>
            </w:pPr>
            <w:r/>
            <w:r>
              <w:rPr>
                <w:sz w:val="17"/>
              </w:rPr>
              <w:t>23</w:t>
            </w:r>
          </w:p>
        </w:tc>
        <w:tc>
          <w:tcPr>
            <w:tcW w:type="dxa" w:w="1077"/>
            <w:shd w:val="clear" w:color="auto" w:fill="F3F5F8"/>
          </w:tcPr>
          <w:p>
            <w:pPr>
              <w:spacing w:after="0"/>
              <w:jc w:val="right"/>
            </w:pPr>
            <w:r/>
            <w:r>
              <w:rPr>
                <w:sz w:val="17"/>
              </w:rPr>
              <w:t>9</w:t>
            </w:r>
          </w:p>
        </w:tc>
        <w:tc>
          <w:tcPr>
            <w:tcW w:type="dxa" w:w="1304"/>
            <w:shd w:val="clear" w:color="auto" w:fill="F3F5F8"/>
          </w:tcPr>
          <w:p>
            <w:pPr>
              <w:spacing w:after="0"/>
              <w:jc w:val="right"/>
            </w:pPr>
            <w:r/>
            <w:r>
              <w:rPr>
                <w:sz w:val="17"/>
              </w:rPr>
              <w:t>10.1</w:t>
            </w:r>
          </w:p>
        </w:tc>
        <w:tc>
          <w:tcPr>
            <w:tcW w:type="dxa" w:w="964"/>
            <w:shd w:val="clear" w:color="auto" w:fill="F3F5F8"/>
          </w:tcPr>
          <w:p>
            <w:pPr>
              <w:spacing w:after="0"/>
              <w:jc w:val="right"/>
            </w:pPr>
            <w:r/>
            <w:r>
              <w:rPr>
                <w:sz w:val="17"/>
              </w:rPr>
              <w:t>86</w:t>
            </w:r>
          </w:p>
        </w:tc>
        <w:tc>
          <w:tcPr>
            <w:tcW w:type="dxa" w:w="1304"/>
            <w:shd w:val="clear" w:color="auto" w:fill="F3F5F8"/>
          </w:tcPr>
          <w:p>
            <w:pPr>
              <w:spacing w:after="0"/>
              <w:jc w:val="right"/>
            </w:pPr>
            <w:r/>
            <w:r>
              <w:rPr>
                <w:sz w:val="17"/>
              </w:rPr>
              <w:t>4.7</w:t>
            </w:r>
          </w:p>
        </w:tc>
      </w:tr>
      <w:tr>
        <w:tc>
          <w:tcPr>
            <w:tcW w:type="dxa" w:w="1361"/>
          </w:tcPr>
          <w:p>
            <w:pPr>
              <w:spacing w:after="0"/>
            </w:pPr>
            <w:r/>
            <w:r>
              <w:rPr>
                <w:sz w:val="17"/>
              </w:rPr>
              <w:t>Ethiopia</w:t>
            </w:r>
          </w:p>
        </w:tc>
        <w:tc>
          <w:tcPr>
            <w:tcW w:type="dxa" w:w="1077"/>
          </w:tcPr>
          <w:p>
            <w:pPr>
              <w:spacing w:after="0"/>
              <w:jc w:val="right"/>
            </w:pPr>
            <w:r/>
            <w:r>
              <w:rPr>
                <w:sz w:val="17"/>
              </w:rPr>
              <w:t>23.4</w:t>
            </w:r>
          </w:p>
        </w:tc>
        <w:tc>
          <w:tcPr>
            <w:tcW w:type="dxa" w:w="1191"/>
          </w:tcPr>
          <w:p>
            <w:pPr>
              <w:spacing w:after="0"/>
              <w:jc w:val="right"/>
            </w:pPr>
            <w:r/>
            <w:r>
              <w:rPr>
                <w:sz w:val="17"/>
              </w:rPr>
              <w:t>178</w:t>
            </w:r>
          </w:p>
        </w:tc>
        <w:tc>
          <w:tcPr>
            <w:tcW w:type="dxa" w:w="1077"/>
          </w:tcPr>
          <w:p>
            <w:pPr>
              <w:spacing w:after="0"/>
              <w:jc w:val="right"/>
            </w:pPr>
            <w:r/>
            <w:r>
              <w:rPr>
                <w:sz w:val="17"/>
              </w:rPr>
              <w:t>97</w:t>
            </w:r>
          </w:p>
        </w:tc>
        <w:tc>
          <w:tcPr>
            <w:tcW w:type="dxa" w:w="1077"/>
          </w:tcPr>
          <w:p>
            <w:pPr>
              <w:spacing w:after="0"/>
              <w:jc w:val="right"/>
            </w:pPr>
            <w:r/>
            <w:r>
              <w:rPr>
                <w:sz w:val="17"/>
              </w:rPr>
              <w:t>0</w:t>
            </w:r>
          </w:p>
        </w:tc>
        <w:tc>
          <w:tcPr>
            <w:tcW w:type="dxa" w:w="1304"/>
          </w:tcPr>
          <w:p>
            <w:pPr>
              <w:spacing w:after="0"/>
              <w:jc w:val="right"/>
            </w:pPr>
            <w:r/>
            <w:r>
              <w:rPr>
                <w:sz w:val="17"/>
              </w:rPr>
              <w:t>0.0</w:t>
            </w:r>
          </w:p>
        </w:tc>
        <w:tc>
          <w:tcPr>
            <w:tcW w:type="dxa" w:w="964"/>
          </w:tcPr>
          <w:p>
            <w:pPr>
              <w:spacing w:after="0"/>
              <w:jc w:val="right"/>
            </w:pPr>
            <w:r/>
            <w:r>
              <w:rPr>
                <w:sz w:val="17"/>
              </w:rPr>
              <w:t>23</w:t>
            </w:r>
          </w:p>
        </w:tc>
        <w:tc>
          <w:tcPr>
            <w:tcW w:type="dxa" w:w="1304"/>
          </w:tcPr>
          <w:p>
            <w:pPr>
              <w:spacing w:after="0"/>
              <w:jc w:val="right"/>
            </w:pPr>
            <w:r/>
            <w:r>
              <w:rPr>
                <w:sz w:val="17"/>
              </w:rPr>
              <w:t>10.4</w:t>
            </w:r>
          </w:p>
        </w:tc>
      </w:tr>
      <w:tr>
        <w:tc>
          <w:tcPr>
            <w:tcW w:type="dxa" w:w="1361"/>
            <w:shd w:val="clear" w:color="auto" w:fill="F3F5F8"/>
          </w:tcPr>
          <w:p>
            <w:pPr>
              <w:spacing w:after="0"/>
            </w:pPr>
            <w:r/>
            <w:r>
              <w:rPr>
                <w:sz w:val="17"/>
              </w:rPr>
              <w:t>DR Congo</w:t>
            </w:r>
          </w:p>
        </w:tc>
        <w:tc>
          <w:tcPr>
            <w:tcW w:type="dxa" w:w="1077"/>
            <w:shd w:val="clear" w:color="auto" w:fill="F3F5F8"/>
          </w:tcPr>
          <w:p>
            <w:pPr>
              <w:spacing w:after="0"/>
              <w:jc w:val="right"/>
            </w:pPr>
            <w:r/>
            <w:r>
              <w:rPr>
                <w:sz w:val="17"/>
              </w:rPr>
              <w:t>17.4</w:t>
            </w:r>
          </w:p>
        </w:tc>
        <w:tc>
          <w:tcPr>
            <w:tcW w:type="dxa" w:w="1191"/>
            <w:shd w:val="clear" w:color="auto" w:fill="F3F5F8"/>
          </w:tcPr>
          <w:p>
            <w:pPr>
              <w:spacing w:after="0"/>
              <w:jc w:val="right"/>
            </w:pPr>
            <w:r/>
            <w:r>
              <w:rPr>
                <w:sz w:val="17"/>
              </w:rPr>
              <w:t>159</w:t>
            </w:r>
          </w:p>
        </w:tc>
        <w:tc>
          <w:tcPr>
            <w:tcW w:type="dxa" w:w="1077"/>
            <w:shd w:val="clear" w:color="auto" w:fill="F3F5F8"/>
          </w:tcPr>
          <w:p>
            <w:pPr>
              <w:spacing w:after="0"/>
              <w:jc w:val="right"/>
            </w:pPr>
            <w:r/>
            <w:r>
              <w:rPr>
                <w:sz w:val="17"/>
              </w:rPr>
              <w:t>84</w:t>
            </w:r>
          </w:p>
        </w:tc>
        <w:tc>
          <w:tcPr>
            <w:tcW w:type="dxa" w:w="1077"/>
            <w:shd w:val="clear" w:color="auto" w:fill="F3F5F8"/>
          </w:tcPr>
          <w:p>
            <w:pPr>
              <w:spacing w:after="0"/>
              <w:jc w:val="right"/>
            </w:pPr>
            <w:r/>
            <w:r>
              <w:rPr>
                <w:sz w:val="17"/>
              </w:rPr>
              <w:t>0</w:t>
            </w:r>
          </w:p>
        </w:tc>
        <w:tc>
          <w:tcPr>
            <w:tcW w:type="dxa" w:w="1304"/>
            <w:shd w:val="clear" w:color="auto" w:fill="F3F5F8"/>
          </w:tcPr>
          <w:p>
            <w:pPr>
              <w:spacing w:after="0"/>
              <w:jc w:val="right"/>
            </w:pPr>
            <w:r/>
            <w:r>
              <w:rPr>
                <w:sz w:val="17"/>
              </w:rPr>
              <w:t>8.3</w:t>
            </w:r>
          </w:p>
        </w:tc>
        <w:tc>
          <w:tcPr>
            <w:tcW w:type="dxa" w:w="964"/>
            <w:shd w:val="clear" w:color="auto" w:fill="F3F5F8"/>
          </w:tcPr>
          <w:p>
            <w:pPr>
              <w:spacing w:after="0"/>
              <w:jc w:val="right"/>
            </w:pPr>
            <w:r/>
            <w:r>
              <w:rPr>
                <w:sz w:val="17"/>
              </w:rPr>
              <w:t>28</w:t>
            </w:r>
          </w:p>
        </w:tc>
        <w:tc>
          <w:tcPr>
            <w:tcW w:type="dxa" w:w="1304"/>
            <w:shd w:val="clear" w:color="auto" w:fill="F3F5F8"/>
          </w:tcPr>
          <w:p>
            <w:pPr>
              <w:spacing w:after="0"/>
              <w:jc w:val="right"/>
            </w:pPr>
            <w:r/>
            <w:r>
              <w:rPr>
                <w:sz w:val="17"/>
              </w:rPr>
              <w:t>5.9</w:t>
            </w:r>
          </w:p>
        </w:tc>
      </w:tr>
      <w:tr>
        <w:tc>
          <w:tcPr>
            <w:tcW w:type="dxa" w:w="1361"/>
          </w:tcPr>
          <w:p>
            <w:pPr>
              <w:spacing w:after="0"/>
            </w:pPr>
            <w:r/>
            <w:r>
              <w:rPr>
                <w:sz w:val="17"/>
              </w:rPr>
              <w:t>Tanzania</w:t>
            </w:r>
          </w:p>
        </w:tc>
        <w:tc>
          <w:tcPr>
            <w:tcW w:type="dxa" w:w="1077"/>
          </w:tcPr>
          <w:p>
            <w:pPr>
              <w:spacing w:after="0"/>
              <w:jc w:val="right"/>
            </w:pPr>
            <w:r/>
            <w:r>
              <w:rPr>
                <w:sz w:val="17"/>
              </w:rPr>
              <w:t>9.0</w:t>
            </w:r>
          </w:p>
        </w:tc>
        <w:tc>
          <w:tcPr>
            <w:tcW w:type="dxa" w:w="1191"/>
          </w:tcPr>
          <w:p>
            <w:pPr>
              <w:spacing w:after="0"/>
              <w:jc w:val="right"/>
            </w:pPr>
            <w:r/>
            <w:r>
              <w:rPr>
                <w:sz w:val="17"/>
              </w:rPr>
              <w:t>132</w:t>
            </w:r>
          </w:p>
        </w:tc>
        <w:tc>
          <w:tcPr>
            <w:tcW w:type="dxa" w:w="1077"/>
          </w:tcPr>
          <w:p>
            <w:pPr>
              <w:spacing w:after="0"/>
              <w:jc w:val="right"/>
            </w:pPr>
            <w:r/>
            <w:r>
              <w:rPr>
                <w:sz w:val="17"/>
              </w:rPr>
              <w:t>32</w:t>
            </w:r>
          </w:p>
        </w:tc>
        <w:tc>
          <w:tcPr>
            <w:tcW w:type="dxa" w:w="1077"/>
          </w:tcPr>
          <w:p>
            <w:pPr>
              <w:spacing w:after="0"/>
              <w:jc w:val="right"/>
            </w:pPr>
            <w:r/>
            <w:r>
              <w:rPr>
                <w:sz w:val="17"/>
              </w:rPr>
              <w:t>67</w:t>
            </w:r>
          </w:p>
        </w:tc>
        <w:tc>
          <w:tcPr>
            <w:tcW w:type="dxa" w:w="1304"/>
          </w:tcPr>
          <w:p>
            <w:pPr>
              <w:spacing w:after="0"/>
              <w:jc w:val="right"/>
            </w:pPr>
            <w:r/>
            <w:r>
              <w:rPr>
                <w:sz w:val="17"/>
              </w:rPr>
              <w:t>2.1</w:t>
            </w:r>
          </w:p>
        </w:tc>
        <w:tc>
          <w:tcPr>
            <w:tcW w:type="dxa" w:w="964"/>
          </w:tcPr>
          <w:p>
            <w:pPr>
              <w:spacing w:after="0"/>
              <w:jc w:val="right"/>
            </w:pPr>
            <w:r/>
            <w:r>
              <w:rPr>
                <w:sz w:val="17"/>
              </w:rPr>
              <w:t>344</w:t>
            </w:r>
          </w:p>
        </w:tc>
        <w:tc>
          <w:tcPr>
            <w:tcW w:type="dxa" w:w="1304"/>
          </w:tcPr>
          <w:p>
            <w:pPr>
              <w:spacing w:after="0"/>
              <w:jc w:val="right"/>
            </w:pPr>
            <w:r/>
            <w:r>
              <w:rPr>
                <w:sz w:val="17"/>
              </w:rPr>
              <w:t>3.6</w:t>
            </w:r>
          </w:p>
        </w:tc>
      </w:tr>
      <w:tr>
        <w:tc>
          <w:tcPr>
            <w:tcW w:type="dxa" w:w="1361"/>
            <w:shd w:val="clear" w:color="auto" w:fill="F3F5F8"/>
          </w:tcPr>
          <w:p>
            <w:pPr>
              <w:spacing w:after="0"/>
            </w:pPr>
            <w:r/>
            <w:r>
              <w:rPr>
                <w:sz w:val="17"/>
              </w:rPr>
              <w:t>Uganda</w:t>
            </w:r>
          </w:p>
        </w:tc>
        <w:tc>
          <w:tcPr>
            <w:tcW w:type="dxa" w:w="1077"/>
            <w:shd w:val="clear" w:color="auto" w:fill="F3F5F8"/>
          </w:tcPr>
          <w:p>
            <w:pPr>
              <w:spacing w:after="0"/>
              <w:jc w:val="right"/>
            </w:pPr>
            <w:r/>
            <w:r>
              <w:rPr>
                <w:sz w:val="17"/>
              </w:rPr>
              <w:t>5.4</w:t>
            </w:r>
          </w:p>
        </w:tc>
        <w:tc>
          <w:tcPr>
            <w:tcW w:type="dxa" w:w="1191"/>
            <w:shd w:val="clear" w:color="auto" w:fill="F3F5F8"/>
          </w:tcPr>
          <w:p>
            <w:pPr>
              <w:spacing w:after="0"/>
              <w:jc w:val="right"/>
            </w:pPr>
            <w:r/>
            <w:r>
              <w:rPr>
                <w:sz w:val="17"/>
              </w:rPr>
              <w:t>107</w:t>
            </w:r>
          </w:p>
        </w:tc>
        <w:tc>
          <w:tcPr>
            <w:tcW w:type="dxa" w:w="1077"/>
            <w:shd w:val="clear" w:color="auto" w:fill="F3F5F8"/>
          </w:tcPr>
          <w:p>
            <w:pPr>
              <w:spacing w:after="0"/>
              <w:jc w:val="right"/>
            </w:pPr>
            <w:r/>
            <w:r>
              <w:rPr>
                <w:sz w:val="17"/>
              </w:rPr>
              <w:t>86</w:t>
            </w:r>
          </w:p>
        </w:tc>
        <w:tc>
          <w:tcPr>
            <w:tcW w:type="dxa" w:w="1077"/>
            <w:shd w:val="clear" w:color="auto" w:fill="F3F5F8"/>
          </w:tcPr>
          <w:p>
            <w:pPr>
              <w:spacing w:after="0"/>
              <w:jc w:val="right"/>
            </w:pPr>
            <w:r/>
            <w:r>
              <w:rPr>
                <w:sz w:val="17"/>
              </w:rPr>
              <w:t>3</w:t>
            </w:r>
          </w:p>
        </w:tc>
        <w:tc>
          <w:tcPr>
            <w:tcW w:type="dxa" w:w="1304"/>
            <w:shd w:val="clear" w:color="auto" w:fill="F3F5F8"/>
          </w:tcPr>
          <w:p>
            <w:pPr>
              <w:spacing w:after="0"/>
              <w:jc w:val="right"/>
            </w:pPr>
            <w:r/>
            <w:r>
              <w:rPr>
                <w:sz w:val="17"/>
              </w:rPr>
              <w:t>0.0</w:t>
            </w:r>
          </w:p>
        </w:tc>
        <w:tc>
          <w:tcPr>
            <w:tcW w:type="dxa" w:w="964"/>
            <w:shd w:val="clear" w:color="auto" w:fill="F3F5F8"/>
          </w:tcPr>
          <w:p>
            <w:pPr>
              <w:spacing w:after="0"/>
              <w:jc w:val="right"/>
            </w:pPr>
            <w:r/>
            <w:r>
              <w:rPr>
                <w:sz w:val="17"/>
              </w:rPr>
              <w:t>59</w:t>
            </w:r>
          </w:p>
        </w:tc>
        <w:tc>
          <w:tcPr>
            <w:tcW w:type="dxa" w:w="1304"/>
            <w:shd w:val="clear" w:color="auto" w:fill="F3F5F8"/>
          </w:tcPr>
          <w:p>
            <w:pPr>
              <w:spacing w:after="0"/>
              <w:jc w:val="right"/>
            </w:pPr>
            <w:r/>
            <w:r>
              <w:rPr>
                <w:sz w:val="17"/>
              </w:rPr>
              <w:t>5.6</w:t>
            </w:r>
          </w:p>
        </w:tc>
      </w:tr>
      <w:tr>
        <w:tc>
          <w:tcPr>
            <w:tcW w:type="dxa" w:w="1361"/>
          </w:tcPr>
          <w:p>
            <w:pPr>
              <w:spacing w:after="0"/>
            </w:pPr>
            <w:r/>
            <w:r>
              <w:rPr>
                <w:sz w:val="17"/>
              </w:rPr>
              <w:t>Rwanda</w:t>
            </w:r>
          </w:p>
        </w:tc>
        <w:tc>
          <w:tcPr>
            <w:tcW w:type="dxa" w:w="1077"/>
          </w:tcPr>
          <w:p>
            <w:pPr>
              <w:spacing w:after="0"/>
              <w:jc w:val="right"/>
            </w:pPr>
            <w:r/>
            <w:r>
              <w:rPr>
                <w:sz w:val="17"/>
              </w:rPr>
              <w:t>1.2</w:t>
            </w:r>
          </w:p>
        </w:tc>
        <w:tc>
          <w:tcPr>
            <w:tcW w:type="dxa" w:w="1191"/>
          </w:tcPr>
          <w:p>
            <w:pPr>
              <w:spacing w:after="0"/>
              <w:jc w:val="right"/>
            </w:pPr>
            <w:r/>
            <w:r>
              <w:rPr>
                <w:sz w:val="17"/>
              </w:rPr>
              <w:t>86</w:t>
            </w:r>
          </w:p>
        </w:tc>
        <w:tc>
          <w:tcPr>
            <w:tcW w:type="dxa" w:w="1077"/>
          </w:tcPr>
          <w:p>
            <w:pPr>
              <w:spacing w:after="0"/>
              <w:jc w:val="right"/>
            </w:pPr>
            <w:r/>
            <w:r>
              <w:rPr>
                <w:sz w:val="17"/>
              </w:rPr>
              <w:t>46</w:t>
            </w:r>
          </w:p>
        </w:tc>
        <w:tc>
          <w:tcPr>
            <w:tcW w:type="dxa" w:w="1077"/>
          </w:tcPr>
          <w:p>
            <w:pPr>
              <w:spacing w:after="0"/>
              <w:jc w:val="right"/>
            </w:pPr>
            <w:r/>
            <w:r>
              <w:rPr>
                <w:sz w:val="17"/>
              </w:rPr>
              <w:t>50</w:t>
            </w:r>
          </w:p>
        </w:tc>
        <w:tc>
          <w:tcPr>
            <w:tcW w:type="dxa" w:w="1304"/>
          </w:tcPr>
          <w:p>
            <w:pPr>
              <w:spacing w:after="0"/>
              <w:jc w:val="right"/>
            </w:pPr>
            <w:r/>
            <w:r>
              <w:rPr>
                <w:sz w:val="17"/>
              </w:rPr>
              <w:t>7.4</w:t>
            </w:r>
          </w:p>
        </w:tc>
        <w:tc>
          <w:tcPr>
            <w:tcW w:type="dxa" w:w="964"/>
          </w:tcPr>
          <w:p>
            <w:pPr>
              <w:spacing w:after="0"/>
              <w:jc w:val="right"/>
            </w:pPr>
            <w:r/>
            <w:r>
              <w:rPr>
                <w:sz w:val="17"/>
              </w:rPr>
              <w:t>362</w:t>
            </w:r>
          </w:p>
        </w:tc>
        <w:tc>
          <w:tcPr>
            <w:tcW w:type="dxa" w:w="1304"/>
          </w:tcPr>
          <w:p>
            <w:pPr>
              <w:spacing w:after="0"/>
              <w:jc w:val="right"/>
            </w:pPr>
            <w:r/>
            <w:r>
              <w:rPr>
                <w:sz w:val="17"/>
              </w:rPr>
              <w:t>9.3</w:t>
            </w:r>
          </w:p>
        </w:tc>
      </w:tr>
      <w:tr>
        <w:tc>
          <w:tcPr>
            <w:tcW w:type="dxa" w:w="1361"/>
            <w:shd w:val="clear" w:color="auto" w:fill="F3F5F8"/>
          </w:tcPr>
          <w:p>
            <w:pPr>
              <w:spacing w:after="0"/>
            </w:pPr>
            <w:r/>
            <w:r>
              <w:rPr>
                <w:sz w:val="17"/>
              </w:rPr>
              <w:t>Burundi</w:t>
            </w:r>
          </w:p>
        </w:tc>
        <w:tc>
          <w:tcPr>
            <w:tcW w:type="dxa" w:w="1077"/>
            <w:shd w:val="clear" w:color="auto" w:fill="F3F5F8"/>
          </w:tcPr>
          <w:p>
            <w:pPr>
              <w:spacing w:after="0"/>
              <w:jc w:val="right"/>
            </w:pPr>
            <w:r/>
            <w:r>
              <w:rPr>
                <w:sz w:val="17"/>
              </w:rPr>
              <w:t>0.6</w:t>
            </w:r>
          </w:p>
        </w:tc>
        <w:tc>
          <w:tcPr>
            <w:tcW w:type="dxa" w:w="1191"/>
            <w:shd w:val="clear" w:color="auto" w:fill="F3F5F8"/>
          </w:tcPr>
          <w:p>
            <w:pPr>
              <w:spacing w:after="0"/>
              <w:jc w:val="right"/>
            </w:pPr>
            <w:r/>
            <w:r>
              <w:rPr>
                <w:sz w:val="17"/>
              </w:rPr>
              <w:t>41</w:t>
            </w:r>
          </w:p>
        </w:tc>
        <w:tc>
          <w:tcPr>
            <w:tcW w:type="dxa" w:w="1077"/>
            <w:shd w:val="clear" w:color="auto" w:fill="F3F5F8"/>
          </w:tcPr>
          <w:p>
            <w:pPr>
              <w:spacing w:after="0"/>
              <w:jc w:val="right"/>
            </w:pPr>
            <w:r/>
            <w:r>
              <w:rPr>
                <w:sz w:val="17"/>
              </w:rPr>
              <w:t>73</w:t>
            </w:r>
          </w:p>
        </w:tc>
        <w:tc>
          <w:tcPr>
            <w:tcW w:type="dxa" w:w="1077"/>
            <w:shd w:val="clear" w:color="auto" w:fill="F3F5F8"/>
          </w:tcPr>
          <w:p>
            <w:pPr>
              <w:spacing w:after="0"/>
              <w:jc w:val="right"/>
            </w:pPr>
            <w:r/>
            <w:r>
              <w:rPr>
                <w:sz w:val="17"/>
              </w:rPr>
              <w:t>24</w:t>
            </w:r>
          </w:p>
        </w:tc>
        <w:tc>
          <w:tcPr>
            <w:tcW w:type="dxa" w:w="1304"/>
            <w:shd w:val="clear" w:color="auto" w:fill="F3F5F8"/>
          </w:tcPr>
          <w:p>
            <w:pPr>
              <w:spacing w:after="0"/>
              <w:jc w:val="right"/>
            </w:pPr>
            <w:r/>
            <w:r>
              <w:rPr>
                <w:sz w:val="17"/>
              </w:rPr>
              <w:t>14.0</w:t>
            </w:r>
          </w:p>
        </w:tc>
        <w:tc>
          <w:tcPr>
            <w:tcW w:type="dxa" w:w="964"/>
            <w:shd w:val="clear" w:color="auto" w:fill="F3F5F8"/>
          </w:tcPr>
          <w:p>
            <w:pPr>
              <w:spacing w:after="0"/>
              <w:jc w:val="right"/>
            </w:pPr>
            <w:r/>
            <w:r>
              <w:rPr>
                <w:sz w:val="17"/>
              </w:rPr>
              <w:t>184</w:t>
            </w:r>
          </w:p>
        </w:tc>
        <w:tc>
          <w:tcPr>
            <w:tcW w:type="dxa" w:w="1304"/>
            <w:shd w:val="clear" w:color="auto" w:fill="F3F5F8"/>
          </w:tcPr>
          <w:p>
            <w:pPr>
              <w:spacing w:after="0"/>
              <w:jc w:val="right"/>
            </w:pPr>
            <w:r/>
            <w:r>
              <w:rPr>
                <w:sz w:val="17"/>
              </w:rPr>
              <w:t>7.8</w:t>
            </w:r>
          </w:p>
        </w:tc>
      </w:tr>
    </w:tbl>
    <w:p>
      <w:pPr>
        <w:spacing w:after="40"/>
      </w:pPr>
    </w:p>
    <w:p>
      <w:pPr>
        <w:keepNext/>
        <w:spacing w:after="40"/>
        <w:jc w:val="center"/>
      </w:pPr>
      <w:r>
        <w:drawing>
          <wp:inline xmlns:a="http://schemas.openxmlformats.org/drawingml/2006/main" xmlns:pic="http://schemas.openxmlformats.org/drawingml/2006/picture">
            <wp:extent cx="4500000" cy="2953125"/>
            <wp:docPr id="3" name="Picture 3"/>
            <wp:cNvGraphicFramePr>
              <a:graphicFrameLocks noChangeAspect="1"/>
            </wp:cNvGraphicFramePr>
            <a:graphic>
              <a:graphicData uri="http://schemas.openxmlformats.org/drawingml/2006/picture">
                <pic:pic>
                  <pic:nvPicPr>
                    <pic:cNvPr id="0" name="fig04_percapita_vs_gdp.png"/>
                    <pic:cNvPicPr/>
                  </pic:nvPicPr>
                  <pic:blipFill>
                    <a:blip r:embed="rId13"/>
                    <a:stretch>
                      <a:fillRect/>
                    </a:stretch>
                  </pic:blipFill>
                  <pic:spPr>
                    <a:xfrm>
                      <a:off x="0" y="0"/>
                      <a:ext cx="4500000" cy="2953125"/>
                    </a:xfrm>
                    <a:prstGeom prst="rect"/>
                  </pic:spPr>
                </pic:pic>
              </a:graphicData>
            </a:graphic>
          </wp:inline>
        </w:drawing>
      </w:r>
    </w:p>
    <w:p>
      <w:pPr>
        <w:jc w:val="center"/>
      </w:pPr>
      <w:r>
        <w:rPr>
          <w:i/>
          <w:color w:val="555555"/>
          <w:sz w:val="18"/>
        </w:rPr>
        <w:t>Figure 3. Electricity demand per capita against GDP per capita in 2022 (log scales). Kenya, in blue, lies close to the regional income-demand relationship.</w:t>
      </w:r>
    </w:p>
    <w:p>
      <w:r>
        <w:rPr>
          <w:i w:val="0"/>
        </w:rPr>
        <w:t>Across the panel, a one per cent difference in income per head is associated with about 0.84% more electricity per head within a country over time (country fixed-effects estimate, 207 observations). This long-run relation is close to one-for-one, and it explains why demand keeps pace with the economy even when year-to-year growth rates are noisy.</w:t>
      </w:r>
    </w:p>
    <w:p>
      <w:r>
        <w:br w:type="page"/>
      </w:r>
    </w:p>
    <w:p>
      <w:pPr>
        <w:pStyle w:val="Heading1"/>
      </w:pPr>
      <w:r>
        <w:t>4  Demand forecasting</w:t>
      </w:r>
    </w:p>
    <w:p>
      <w:pPr>
        <w:pStyle w:val="Heading2"/>
      </w:pPr>
      <w:r>
        <w:t>4.1  Approach in plain language</w:t>
      </w:r>
    </w:p>
    <w:p>
      <w:r>
        <w:rPr>
          <w:i w:val="0"/>
        </w:rPr>
        <w:t>Forecasting a short annual series calls for restraint. Rather than fit one elaborate model, we compare several simple ones, test each by repeatedly pretending it is an earlier year, and combine the ones that perform well. All models work on the logarithm of demand, so growth is proportional.</w:t>
      </w:r>
    </w:p>
    <w:p>
      <w:pPr>
        <w:pStyle w:val="ListBullet"/>
        <w:spacing w:after="60"/>
      </w:pPr>
      <w:r>
        <w:rPr>
          <w:b/>
        </w:rPr>
        <w:t xml:space="preserve">Random walk with drift: </w:t>
      </w:r>
      <w:r>
        <w:t>demand continues to grow at the historical average rate.</w:t>
      </w:r>
    </w:p>
    <w:p>
      <w:pPr>
        <w:pStyle w:val="ListBullet"/>
        <w:spacing w:after="60"/>
      </w:pPr>
      <w:r>
        <w:rPr>
          <w:b/>
        </w:rPr>
        <w:t xml:space="preserve">Recent drift: </w:t>
      </w:r>
      <w:r>
        <w:t>the same, but using only the last eight years.</w:t>
      </w:r>
    </w:p>
    <w:p>
      <w:pPr>
        <w:pStyle w:val="ListBullet"/>
        <w:spacing w:after="60"/>
      </w:pPr>
      <w:r>
        <w:rPr>
          <w:b/>
        </w:rPr>
        <w:t xml:space="preserve">Log-linear trend: </w:t>
      </w:r>
      <w:r>
        <w:t>a straight line through log demand, i.e. constant percentage growth around a fitted path.</w:t>
      </w:r>
    </w:p>
    <w:p>
      <w:pPr>
        <w:pStyle w:val="ListBullet"/>
        <w:spacing w:after="60"/>
      </w:pPr>
      <w:r>
        <w:rPr>
          <w:b/>
        </w:rPr>
        <w:t xml:space="preserve">ARIMA(1,1,0) with drift: </w:t>
      </w:r>
      <w:r>
        <w:t>growth rates are allowed to persist from year to year.</w:t>
      </w:r>
    </w:p>
    <w:p>
      <w:pPr>
        <w:pStyle w:val="ListBullet"/>
        <w:spacing w:after="60"/>
      </w:pPr>
      <w:r>
        <w:rPr>
          <w:b/>
        </w:rPr>
        <w:t xml:space="preserve">Damped-trend exponential smoothing (ETS): </w:t>
      </w:r>
      <w:r>
        <w:t>growth that slows gradually; standard in demand forecasting.</w:t>
      </w:r>
    </w:p>
    <w:p>
      <w:pPr>
        <w:pStyle w:val="ListBullet"/>
        <w:spacing w:after="60"/>
      </w:pPr>
      <w:r>
        <w:rPr>
          <w:b/>
        </w:rPr>
        <w:t xml:space="preserve">GDP-driver model: </w:t>
      </w:r>
      <w:r>
        <w:t>demand growth explained by GDP growth. It needs future GDP, so it is tested only where GDP is known, and used as a cross-check.</w:t>
      </w:r>
    </w:p>
    <w:p>
      <w:pPr>
        <w:pStyle w:val="Heading2"/>
      </w:pPr>
      <w:r>
        <w:t>4.2  How we test: rolling-origin backtesting</w:t>
      </w:r>
    </w:p>
    <w:p>
      <w:r>
        <w:rPr>
          <w:i w:val="0"/>
        </w:rPr>
        <w:t>A model's fit to history says little about its forecasting skill. We therefore fit each model on the first 11 years, forecast 1, 2 and 3 years ahead, then add one year and repeat until the data end. This produces 42 genuine out-of-sample forecasts per model, each compared with what actually happened. The score is the mean absolute percentage error (MAPE).</w:t>
      </w:r>
    </w:p>
    <w:p>
      <w:pPr>
        <w:keepNext/>
        <w:spacing w:after="60"/>
      </w:pPr>
      <w:r>
        <w:rPr>
          <w:b/>
          <w:color w:val="555555"/>
          <w:sz w:val="19"/>
        </w:rPr>
        <w:t>Table 4. Out-of-sample accuracy (MAPE) from rolling-origin backtests, 2011–2025 targets</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3061"/>
            <w:shd w:val="clear" w:color="auto" w:fill="1F4E8C"/>
          </w:tcPr>
          <w:p>
            <w:r/>
            <w:r>
              <w:rPr>
                <w:b/>
                <w:color w:val="FFFFFF"/>
                <w:sz w:val="18"/>
              </w:rPr>
              <w:t>Model</w:t>
            </w:r>
          </w:p>
        </w:tc>
        <w:tc>
          <w:tcPr>
            <w:tcW w:type="dxa" w:w="1361"/>
            <w:shd w:val="clear" w:color="auto" w:fill="1F4E8C"/>
          </w:tcPr>
          <w:p>
            <w:r/>
            <w:r>
              <w:rPr>
                <w:b/>
                <w:color w:val="FFFFFF"/>
                <w:sz w:val="18"/>
              </w:rPr>
              <w:t>1 year ahead</w:t>
            </w:r>
          </w:p>
        </w:tc>
        <w:tc>
          <w:tcPr>
            <w:tcW w:type="dxa" w:w="1474"/>
            <w:shd w:val="clear" w:color="auto" w:fill="1F4E8C"/>
          </w:tcPr>
          <w:p>
            <w:r/>
            <w:r>
              <w:rPr>
                <w:b/>
                <w:color w:val="FFFFFF"/>
                <w:sz w:val="18"/>
              </w:rPr>
              <w:t>2 years ahead</w:t>
            </w:r>
          </w:p>
        </w:tc>
        <w:tc>
          <w:tcPr>
            <w:tcW w:type="dxa" w:w="1474"/>
            <w:shd w:val="clear" w:color="auto" w:fill="1F4E8C"/>
          </w:tcPr>
          <w:p>
            <w:r/>
            <w:r>
              <w:rPr>
                <w:b/>
                <w:color w:val="FFFFFF"/>
                <w:sz w:val="18"/>
              </w:rPr>
              <w:t>3 years ahead</w:t>
            </w:r>
          </w:p>
        </w:tc>
        <w:tc>
          <w:tcPr>
            <w:tcW w:type="dxa" w:w="1814"/>
            <w:shd w:val="clear" w:color="auto" w:fill="1F4E8C"/>
          </w:tcPr>
          <w:p>
            <w:r/>
            <w:r>
              <w:rPr>
                <w:b/>
                <w:color w:val="FFFFFF"/>
                <w:sz w:val="18"/>
              </w:rPr>
              <w:t>Error vs drift (1-yr)</w:t>
            </w:r>
          </w:p>
        </w:tc>
      </w:tr>
      <w:tr>
        <w:tc>
          <w:tcPr>
            <w:tcW w:type="dxa" w:w="3061"/>
          </w:tcPr>
          <w:p>
            <w:pPr>
              <w:spacing w:after="0"/>
            </w:pPr>
            <w:r/>
            <w:r>
              <w:rPr>
                <w:sz w:val="18"/>
              </w:rPr>
              <w:t>Ensemble (mean)</w:t>
            </w:r>
          </w:p>
        </w:tc>
        <w:tc>
          <w:tcPr>
            <w:tcW w:type="dxa" w:w="1361"/>
          </w:tcPr>
          <w:p>
            <w:pPr>
              <w:spacing w:after="0"/>
              <w:jc w:val="right"/>
            </w:pPr>
            <w:r/>
            <w:r>
              <w:rPr>
                <w:sz w:val="18"/>
              </w:rPr>
              <w:t>2.9%</w:t>
            </w:r>
          </w:p>
        </w:tc>
        <w:tc>
          <w:tcPr>
            <w:tcW w:type="dxa" w:w="1474"/>
          </w:tcPr>
          <w:p>
            <w:pPr>
              <w:spacing w:after="0"/>
              <w:jc w:val="right"/>
            </w:pPr>
            <w:r/>
            <w:r>
              <w:rPr>
                <w:sz w:val="18"/>
              </w:rPr>
              <w:t>3.9%</w:t>
            </w:r>
          </w:p>
        </w:tc>
        <w:tc>
          <w:tcPr>
            <w:tcW w:type="dxa" w:w="1474"/>
          </w:tcPr>
          <w:p>
            <w:pPr>
              <w:spacing w:after="0"/>
              <w:jc w:val="right"/>
            </w:pPr>
            <w:r/>
            <w:r>
              <w:rPr>
                <w:sz w:val="18"/>
              </w:rPr>
              <w:t>3.3%</w:t>
            </w:r>
          </w:p>
        </w:tc>
        <w:tc>
          <w:tcPr>
            <w:tcW w:type="dxa" w:w="1814"/>
          </w:tcPr>
          <w:p>
            <w:pPr>
              <w:spacing w:after="0"/>
              <w:jc w:val="right"/>
            </w:pPr>
            <w:r/>
            <w:r>
              <w:rPr>
                <w:sz w:val="18"/>
              </w:rPr>
              <w:t>0.86</w:t>
            </w:r>
          </w:p>
        </w:tc>
      </w:tr>
      <w:tr>
        <w:tc>
          <w:tcPr>
            <w:tcW w:type="dxa" w:w="3061"/>
            <w:shd w:val="clear" w:color="auto" w:fill="F3F5F8"/>
          </w:tcPr>
          <w:p>
            <w:pPr>
              <w:spacing w:after="0"/>
            </w:pPr>
            <w:r/>
            <w:r>
              <w:rPr>
                <w:sz w:val="18"/>
              </w:rPr>
              <w:t>Drift (RW+drift)</w:t>
            </w:r>
          </w:p>
        </w:tc>
        <w:tc>
          <w:tcPr>
            <w:tcW w:type="dxa" w:w="1361"/>
            <w:shd w:val="clear" w:color="auto" w:fill="F3F5F8"/>
          </w:tcPr>
          <w:p>
            <w:pPr>
              <w:spacing w:after="0"/>
              <w:jc w:val="right"/>
            </w:pPr>
            <w:r/>
            <w:r>
              <w:rPr>
                <w:sz w:val="18"/>
              </w:rPr>
              <w:t>3.4%</w:t>
            </w:r>
          </w:p>
        </w:tc>
        <w:tc>
          <w:tcPr>
            <w:tcW w:type="dxa" w:w="1474"/>
            <w:shd w:val="clear" w:color="auto" w:fill="F3F5F8"/>
          </w:tcPr>
          <w:p>
            <w:pPr>
              <w:spacing w:after="0"/>
              <w:jc w:val="right"/>
            </w:pPr>
            <w:r/>
            <w:r>
              <w:rPr>
                <w:sz w:val="18"/>
              </w:rPr>
              <w:t>4.3%</w:t>
            </w:r>
          </w:p>
        </w:tc>
        <w:tc>
          <w:tcPr>
            <w:tcW w:type="dxa" w:w="1474"/>
            <w:shd w:val="clear" w:color="auto" w:fill="F3F5F8"/>
          </w:tcPr>
          <w:p>
            <w:pPr>
              <w:spacing w:after="0"/>
              <w:jc w:val="right"/>
            </w:pPr>
            <w:r/>
            <w:r>
              <w:rPr>
                <w:sz w:val="18"/>
              </w:rPr>
              <w:t>3.0%</w:t>
            </w:r>
          </w:p>
        </w:tc>
        <w:tc>
          <w:tcPr>
            <w:tcW w:type="dxa" w:w="1814"/>
            <w:shd w:val="clear" w:color="auto" w:fill="F3F5F8"/>
          </w:tcPr>
          <w:p>
            <w:pPr>
              <w:spacing w:after="0"/>
              <w:jc w:val="right"/>
            </w:pPr>
            <w:r/>
            <w:r>
              <w:rPr>
                <w:sz w:val="18"/>
              </w:rPr>
              <w:t>1.00</w:t>
            </w:r>
          </w:p>
        </w:tc>
      </w:tr>
      <w:tr>
        <w:tc>
          <w:tcPr>
            <w:tcW w:type="dxa" w:w="3061"/>
          </w:tcPr>
          <w:p>
            <w:pPr>
              <w:spacing w:after="0"/>
            </w:pPr>
            <w:r/>
            <w:r>
              <w:rPr>
                <w:sz w:val="18"/>
              </w:rPr>
              <w:t>Log-linear trend</w:t>
            </w:r>
          </w:p>
        </w:tc>
        <w:tc>
          <w:tcPr>
            <w:tcW w:type="dxa" w:w="1361"/>
          </w:tcPr>
          <w:p>
            <w:pPr>
              <w:spacing w:after="0"/>
              <w:jc w:val="right"/>
            </w:pPr>
            <w:r/>
            <w:r>
              <w:rPr>
                <w:sz w:val="18"/>
              </w:rPr>
              <w:t>3.2%</w:t>
            </w:r>
          </w:p>
        </w:tc>
        <w:tc>
          <w:tcPr>
            <w:tcW w:type="dxa" w:w="1474"/>
          </w:tcPr>
          <w:p>
            <w:pPr>
              <w:spacing w:after="0"/>
              <w:jc w:val="right"/>
            </w:pPr>
            <w:r/>
            <w:r>
              <w:rPr>
                <w:sz w:val="18"/>
              </w:rPr>
              <w:t>3.6%</w:t>
            </w:r>
          </w:p>
        </w:tc>
        <w:tc>
          <w:tcPr>
            <w:tcW w:type="dxa" w:w="1474"/>
          </w:tcPr>
          <w:p>
            <w:pPr>
              <w:spacing w:after="0"/>
              <w:jc w:val="right"/>
            </w:pPr>
            <w:r/>
            <w:r>
              <w:rPr>
                <w:sz w:val="18"/>
              </w:rPr>
              <w:t>3.9%</w:t>
            </w:r>
          </w:p>
        </w:tc>
        <w:tc>
          <w:tcPr>
            <w:tcW w:type="dxa" w:w="1814"/>
          </w:tcPr>
          <w:p>
            <w:pPr>
              <w:spacing w:after="0"/>
              <w:jc w:val="right"/>
            </w:pPr>
            <w:r/>
            <w:r>
              <w:rPr>
                <w:sz w:val="18"/>
              </w:rPr>
              <w:t>0.97</w:t>
            </w:r>
          </w:p>
        </w:tc>
      </w:tr>
      <w:tr>
        <w:tc>
          <w:tcPr>
            <w:tcW w:type="dxa" w:w="3061"/>
            <w:shd w:val="clear" w:color="auto" w:fill="F3F5F8"/>
          </w:tcPr>
          <w:p>
            <w:pPr>
              <w:spacing w:after="0"/>
            </w:pPr>
            <w:r/>
            <w:r>
              <w:rPr>
                <w:sz w:val="18"/>
              </w:rPr>
              <w:t>GDP-driver (conditional)</w:t>
            </w:r>
          </w:p>
        </w:tc>
        <w:tc>
          <w:tcPr>
            <w:tcW w:type="dxa" w:w="1361"/>
            <w:shd w:val="clear" w:color="auto" w:fill="F3F5F8"/>
          </w:tcPr>
          <w:p>
            <w:pPr>
              <w:spacing w:after="0"/>
              <w:jc w:val="right"/>
            </w:pPr>
            <w:r/>
            <w:r>
              <w:rPr>
                <w:sz w:val="18"/>
              </w:rPr>
              <w:t>3.4%</w:t>
            </w:r>
          </w:p>
        </w:tc>
        <w:tc>
          <w:tcPr>
            <w:tcW w:type="dxa" w:w="1474"/>
            <w:shd w:val="clear" w:color="auto" w:fill="F3F5F8"/>
          </w:tcPr>
          <w:p>
            <w:pPr>
              <w:spacing w:after="0"/>
              <w:jc w:val="right"/>
            </w:pPr>
            <w:r/>
            <w:r>
              <w:rPr>
                <w:sz w:val="18"/>
              </w:rPr>
              <w:t>4.6%</w:t>
            </w:r>
          </w:p>
        </w:tc>
        <w:tc>
          <w:tcPr>
            <w:tcW w:type="dxa" w:w="1474"/>
            <w:shd w:val="clear" w:color="auto" w:fill="F3F5F8"/>
          </w:tcPr>
          <w:p>
            <w:pPr>
              <w:spacing w:after="0"/>
              <w:jc w:val="right"/>
            </w:pPr>
            <w:r/>
            <w:r>
              <w:rPr>
                <w:sz w:val="18"/>
              </w:rPr>
              <w:t>4.1%</w:t>
            </w:r>
          </w:p>
        </w:tc>
        <w:tc>
          <w:tcPr>
            <w:tcW w:type="dxa" w:w="1814"/>
            <w:shd w:val="clear" w:color="auto" w:fill="F3F5F8"/>
          </w:tcPr>
          <w:p>
            <w:pPr>
              <w:spacing w:after="0"/>
              <w:jc w:val="right"/>
            </w:pPr>
            <w:r/>
            <w:r>
              <w:rPr>
                <w:sz w:val="18"/>
              </w:rPr>
              <w:t>0.96</w:t>
            </w:r>
          </w:p>
        </w:tc>
      </w:tr>
      <w:tr>
        <w:tc>
          <w:tcPr>
            <w:tcW w:type="dxa" w:w="3061"/>
          </w:tcPr>
          <w:p>
            <w:pPr>
              <w:spacing w:after="0"/>
            </w:pPr>
            <w:r/>
            <w:r>
              <w:rPr>
                <w:sz w:val="18"/>
              </w:rPr>
              <w:t>ARIMA(1,1,0)+drift</w:t>
            </w:r>
          </w:p>
        </w:tc>
        <w:tc>
          <w:tcPr>
            <w:tcW w:type="dxa" w:w="1361"/>
          </w:tcPr>
          <w:p>
            <w:pPr>
              <w:spacing w:after="0"/>
              <w:jc w:val="right"/>
            </w:pPr>
            <w:r/>
            <w:r>
              <w:rPr>
                <w:sz w:val="18"/>
              </w:rPr>
              <w:t>3.6%</w:t>
            </w:r>
          </w:p>
        </w:tc>
        <w:tc>
          <w:tcPr>
            <w:tcW w:type="dxa" w:w="1474"/>
          </w:tcPr>
          <w:p>
            <w:pPr>
              <w:spacing w:after="0"/>
              <w:jc w:val="right"/>
            </w:pPr>
            <w:r/>
            <w:r>
              <w:rPr>
                <w:sz w:val="18"/>
              </w:rPr>
              <w:t>4.8%</w:t>
            </w:r>
          </w:p>
        </w:tc>
        <w:tc>
          <w:tcPr>
            <w:tcW w:type="dxa" w:w="1474"/>
          </w:tcPr>
          <w:p>
            <w:pPr>
              <w:spacing w:after="0"/>
              <w:jc w:val="right"/>
            </w:pPr>
            <w:r/>
            <w:r>
              <w:rPr>
                <w:sz w:val="18"/>
              </w:rPr>
              <w:t>3.5%</w:t>
            </w:r>
          </w:p>
        </w:tc>
        <w:tc>
          <w:tcPr>
            <w:tcW w:type="dxa" w:w="1814"/>
          </w:tcPr>
          <w:p>
            <w:pPr>
              <w:spacing w:after="0"/>
              <w:jc w:val="right"/>
            </w:pPr>
            <w:r/>
            <w:r>
              <w:rPr>
                <w:sz w:val="18"/>
              </w:rPr>
              <w:t>1.06</w:t>
            </w:r>
          </w:p>
        </w:tc>
      </w:tr>
      <w:tr>
        <w:tc>
          <w:tcPr>
            <w:tcW w:type="dxa" w:w="3061"/>
            <w:shd w:val="clear" w:color="auto" w:fill="F3F5F8"/>
          </w:tcPr>
          <w:p>
            <w:pPr>
              <w:spacing w:after="0"/>
            </w:pPr>
            <w:r/>
            <w:r>
              <w:rPr>
                <w:sz w:val="18"/>
              </w:rPr>
              <w:t>Recent drift (8y)</w:t>
            </w:r>
          </w:p>
        </w:tc>
        <w:tc>
          <w:tcPr>
            <w:tcW w:type="dxa" w:w="1361"/>
            <w:shd w:val="clear" w:color="auto" w:fill="F3F5F8"/>
          </w:tcPr>
          <w:p>
            <w:pPr>
              <w:spacing w:after="0"/>
              <w:jc w:val="right"/>
            </w:pPr>
            <w:r/>
            <w:r>
              <w:rPr>
                <w:sz w:val="18"/>
              </w:rPr>
              <w:t>3.7%</w:t>
            </w:r>
          </w:p>
        </w:tc>
        <w:tc>
          <w:tcPr>
            <w:tcW w:type="dxa" w:w="1474"/>
            <w:shd w:val="clear" w:color="auto" w:fill="F3F5F8"/>
          </w:tcPr>
          <w:p>
            <w:pPr>
              <w:spacing w:after="0"/>
              <w:jc w:val="right"/>
            </w:pPr>
            <w:r/>
            <w:r>
              <w:rPr>
                <w:sz w:val="18"/>
              </w:rPr>
              <w:t>4.9%</w:t>
            </w:r>
          </w:p>
        </w:tc>
        <w:tc>
          <w:tcPr>
            <w:tcW w:type="dxa" w:w="1474"/>
            <w:shd w:val="clear" w:color="auto" w:fill="F3F5F8"/>
          </w:tcPr>
          <w:p>
            <w:pPr>
              <w:spacing w:after="0"/>
              <w:jc w:val="right"/>
            </w:pPr>
            <w:r/>
            <w:r>
              <w:rPr>
                <w:sz w:val="18"/>
              </w:rPr>
              <w:t>5.0%</w:t>
            </w:r>
          </w:p>
        </w:tc>
        <w:tc>
          <w:tcPr>
            <w:tcW w:type="dxa" w:w="1814"/>
            <w:shd w:val="clear" w:color="auto" w:fill="F3F5F8"/>
          </w:tcPr>
          <w:p>
            <w:pPr>
              <w:spacing w:after="0"/>
              <w:jc w:val="right"/>
            </w:pPr>
            <w:r/>
            <w:r>
              <w:rPr>
                <w:sz w:val="18"/>
              </w:rPr>
              <w:t>1.10</w:t>
            </w:r>
          </w:p>
        </w:tc>
      </w:tr>
      <w:tr>
        <w:tc>
          <w:tcPr>
            <w:tcW w:type="dxa" w:w="3061"/>
          </w:tcPr>
          <w:p>
            <w:pPr>
              <w:spacing w:after="0"/>
            </w:pPr>
            <w:r/>
            <w:r>
              <w:rPr>
                <w:sz w:val="18"/>
              </w:rPr>
              <w:t>ETS damped trend</w:t>
            </w:r>
          </w:p>
        </w:tc>
        <w:tc>
          <w:tcPr>
            <w:tcW w:type="dxa" w:w="1361"/>
          </w:tcPr>
          <w:p>
            <w:pPr>
              <w:spacing w:after="0"/>
              <w:jc w:val="right"/>
            </w:pPr>
            <w:r/>
            <w:r>
              <w:rPr>
                <w:sz w:val="18"/>
              </w:rPr>
              <w:t>4.4%</w:t>
            </w:r>
          </w:p>
        </w:tc>
        <w:tc>
          <w:tcPr>
            <w:tcW w:type="dxa" w:w="1474"/>
          </w:tcPr>
          <w:p>
            <w:pPr>
              <w:spacing w:after="0"/>
              <w:jc w:val="right"/>
            </w:pPr>
            <w:r/>
            <w:r>
              <w:rPr>
                <w:sz w:val="18"/>
              </w:rPr>
              <w:t>6.3%</w:t>
            </w:r>
          </w:p>
        </w:tc>
        <w:tc>
          <w:tcPr>
            <w:tcW w:type="dxa" w:w="1474"/>
          </w:tcPr>
          <w:p>
            <w:pPr>
              <w:spacing w:after="0"/>
              <w:jc w:val="right"/>
            </w:pPr>
            <w:r/>
            <w:r>
              <w:rPr>
                <w:sz w:val="18"/>
              </w:rPr>
              <w:t>9.0%</w:t>
            </w:r>
          </w:p>
        </w:tc>
        <w:tc>
          <w:tcPr>
            <w:tcW w:type="dxa" w:w="1814"/>
          </w:tcPr>
          <w:p>
            <w:pPr>
              <w:spacing w:after="0"/>
              <w:jc w:val="right"/>
            </w:pPr>
            <w:r/>
            <w:r>
              <w:rPr>
                <w:sz w:val="18"/>
              </w:rPr>
              <w:t>1.32</w:t>
            </w:r>
          </w:p>
        </w:tc>
      </w:tr>
    </w:tbl>
    <w:p>
      <w:pPr>
        <w:spacing w:after="40"/>
      </w:pPr>
    </w:p>
    <w:p>
      <w:pPr>
        <w:keepNext/>
        <w:spacing w:after="40"/>
        <w:jc w:val="center"/>
      </w:pPr>
      <w:r>
        <w:drawing>
          <wp:inline xmlns:a="http://schemas.openxmlformats.org/drawingml/2006/main" xmlns:pic="http://schemas.openxmlformats.org/drawingml/2006/picture">
            <wp:extent cx="5472000" cy="2888000"/>
            <wp:docPr id="4" name="Picture 4"/>
            <wp:cNvGraphicFramePr>
              <a:graphicFrameLocks noChangeAspect="1"/>
            </wp:cNvGraphicFramePr>
            <a:graphic>
              <a:graphicData uri="http://schemas.openxmlformats.org/drawingml/2006/picture">
                <pic:pic>
                  <pic:nvPicPr>
                    <pic:cNvPr id="0" name="fig03_backtest.png"/>
                    <pic:cNvPicPr/>
                  </pic:nvPicPr>
                  <pic:blipFill>
                    <a:blip r:embed="rId14"/>
                    <a:stretch>
                      <a:fillRect/>
                    </a:stretch>
                  </pic:blipFill>
                  <pic:spPr>
                    <a:xfrm>
                      <a:off x="0" y="0"/>
                      <a:ext cx="5472000" cy="2888000"/>
                    </a:xfrm>
                    <a:prstGeom prst="rect"/>
                  </pic:spPr>
                </pic:pic>
              </a:graphicData>
            </a:graphic>
          </wp:inline>
        </w:drawing>
      </w:r>
    </w:p>
    <w:p>
      <w:pPr>
        <w:jc w:val="center"/>
      </w:pPr>
      <w:r>
        <w:rPr>
          <w:i/>
          <w:color w:val="555555"/>
          <w:sz w:val="18"/>
        </w:rPr>
        <w:t>Figure 4. Mean absolute percentage error by model and forecast horizon.</w:t>
      </w:r>
    </w:p>
    <w:p>
      <w:pPr>
        <w:pStyle w:val="Heading2"/>
      </w:pPr>
      <w:r>
        <w:t>4.3  What the backtests say</w:t>
      </w:r>
    </w:p>
    <w:p>
      <w:pPr>
        <w:pStyle w:val="ListBullet"/>
        <w:spacing w:after="60"/>
      </w:pPr>
      <w:r>
        <w:t>The damped-trend ETS model was the least accurate (4.4% at one year and 9.0% at three). It slows growth too soon: Kenya's demand growth has not decelerated.</w:t>
      </w:r>
    </w:p>
    <w:p>
      <w:pPr>
        <w:pStyle w:val="ListBullet"/>
        <w:spacing w:after="60"/>
      </w:pPr>
      <w:r>
        <w:t>Simple trend models were hard to beat. Random walk with drift and the log-linear trend both beat more elaborate alternatives at most horizons, which is typical when a series is short and smooth.</w:t>
      </w:r>
    </w:p>
    <w:p>
      <w:pPr>
        <w:pStyle w:val="ListBullet"/>
        <w:spacing w:after="60"/>
      </w:pPr>
      <w:r>
        <w:t>The GDP-driver model was competitive at one year (3.4%) but it is given actual GDP growth in the test, so it is not a fair like-for-like forecast. It is shown for context only.</w:t>
      </w:r>
    </w:p>
    <w:p>
      <w:pPr>
        <w:pStyle w:val="ListBullet"/>
        <w:spacing w:after="60"/>
      </w:pPr>
      <w:r>
        <w:t>The equal-weight ensemble of drift, ARIMA and log-linear trend achieved 2.9%, 3.9% and 3.3% at one, two and three years. It is the headline forecast.</w:t>
      </w:r>
    </w:p>
    <w:tbl>
      <w:tblPr>
        <w:tblW w:type="auto" w:w="0"/>
        <w:jc w:val="center"/>
        <w:tblLook w:firstColumn="1" w:firstRow="1" w:lastColumn="0" w:lastRow="0" w:noHBand="0" w:noVBand="1" w:val="04A0"/>
      </w:tblPr>
      <w:tblGrid>
        <w:gridCol w:w="9184"/>
      </w:tblGrid>
      <w:tr>
        <w:tc>
          <w:tcPr>
            <w:tcW w:type="dxa" w:w="9184"/>
            <w:shd w:val="clear" w:color="auto" w:fill="EAF1FB"/>
          </w:tcPr>
          <w:p>
            <w:r>
              <w:rPr>
                <w:b/>
              </w:rPr>
              <w:t>An honesty note on the ensemble</w:t>
            </w:r>
          </w:p>
          <w:p>
            <w:pPr>
              <w:spacing w:after="40"/>
            </w:pPr>
            <w:r>
              <w:t>The ensemble members were chosen after a first backtest showed ETS and recent-drift were weakest. That is a selection step on a small sample, so the ensemble's backtest accuracy is probably somewhat optimistic. The forecast itself does not depend on this choice much: all retained models give 2035 demand between 24.0 and 25.6 TWh.</w:t>
            </w:r>
          </w:p>
        </w:tc>
      </w:tr>
    </w:tbl>
    <w:p>
      <w:pPr>
        <w:spacing w:after="40"/>
      </w:pPr>
    </w:p>
    <w:p>
      <w:pPr>
        <w:pStyle w:val="Heading2"/>
      </w:pPr>
      <w:r>
        <w:t>4.4  The forecast</w:t>
      </w:r>
    </w:p>
    <w:p>
      <w:pPr>
        <w:keepNext/>
        <w:spacing w:after="60"/>
      </w:pPr>
      <w:r>
        <w:rPr>
          <w:b/>
          <w:color w:val="555555"/>
          <w:sz w:val="19"/>
        </w:rPr>
        <w:t>Table 5. Kenya electricity demand forecast (TWh)</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1134"/>
            <w:shd w:val="clear" w:color="auto" w:fill="1F4E8C"/>
          </w:tcPr>
          <w:p>
            <w:r/>
            <w:r>
              <w:rPr>
                <w:b/>
                <w:color w:val="FFFFFF"/>
                <w:sz w:val="18"/>
              </w:rPr>
              <w:t>Year</w:t>
            </w:r>
          </w:p>
        </w:tc>
        <w:tc>
          <w:tcPr>
            <w:tcW w:type="dxa" w:w="1814"/>
            <w:shd w:val="clear" w:color="auto" w:fill="1F4E8C"/>
          </w:tcPr>
          <w:p>
            <w:r/>
            <w:r>
              <w:rPr>
                <w:b/>
                <w:color w:val="FFFFFF"/>
                <w:sz w:val="18"/>
              </w:rPr>
              <w:t>Ensemble (TWh)</w:t>
            </w:r>
          </w:p>
        </w:tc>
        <w:tc>
          <w:tcPr>
            <w:tcW w:type="dxa" w:w="2041"/>
            <w:shd w:val="clear" w:color="auto" w:fill="1F4E8C"/>
          </w:tcPr>
          <w:p>
            <w:r/>
            <w:r>
              <w:rPr>
                <w:b/>
                <w:color w:val="FFFFFF"/>
                <w:sz w:val="18"/>
              </w:rPr>
              <w:t>80% interval</w:t>
            </w:r>
          </w:p>
        </w:tc>
        <w:tc>
          <w:tcPr>
            <w:tcW w:type="dxa" w:w="2041"/>
            <w:shd w:val="clear" w:color="auto" w:fill="1F4E8C"/>
          </w:tcPr>
          <w:p>
            <w:r/>
            <w:r>
              <w:rPr>
                <w:b/>
                <w:color w:val="FFFFFF"/>
                <w:sz w:val="18"/>
              </w:rPr>
              <w:t>95% interval</w:t>
            </w:r>
          </w:p>
        </w:tc>
        <w:tc>
          <w:tcPr>
            <w:tcW w:type="dxa" w:w="2268"/>
            <w:shd w:val="clear" w:color="auto" w:fill="1F4E8C"/>
          </w:tcPr>
          <w:p>
            <w:r/>
            <w:r>
              <w:rPr>
                <w:b/>
                <w:color w:val="FFFFFF"/>
                <w:sz w:val="18"/>
              </w:rPr>
              <w:t>Implied growth vs 2025</w:t>
            </w:r>
          </w:p>
        </w:tc>
      </w:tr>
      <w:tr>
        <w:tc>
          <w:tcPr>
            <w:tcW w:type="dxa" w:w="1134"/>
          </w:tcPr>
          <w:p>
            <w:pPr>
              <w:spacing w:after="0"/>
            </w:pPr>
            <w:r/>
            <w:r>
              <w:rPr>
                <w:sz w:val="18"/>
              </w:rPr>
              <w:t>2026</w:t>
            </w:r>
          </w:p>
        </w:tc>
        <w:tc>
          <w:tcPr>
            <w:tcW w:type="dxa" w:w="1814"/>
          </w:tcPr>
          <w:p>
            <w:pPr>
              <w:spacing w:after="0"/>
              <w:jc w:val="right"/>
            </w:pPr>
            <w:r/>
            <w:r>
              <w:rPr>
                <w:sz w:val="18"/>
              </w:rPr>
              <w:t>16.2</w:t>
            </w:r>
          </w:p>
        </w:tc>
        <w:tc>
          <w:tcPr>
            <w:tcW w:type="dxa" w:w="2041"/>
          </w:tcPr>
          <w:p>
            <w:pPr>
              <w:spacing w:after="0"/>
              <w:jc w:val="right"/>
            </w:pPr>
            <w:r/>
            <w:r>
              <w:rPr>
                <w:sz w:val="18"/>
              </w:rPr>
              <w:t>15.4–17.1</w:t>
            </w:r>
          </w:p>
        </w:tc>
        <w:tc>
          <w:tcPr>
            <w:tcW w:type="dxa" w:w="2041"/>
          </w:tcPr>
          <w:p>
            <w:pPr>
              <w:spacing w:after="0"/>
              <w:jc w:val="right"/>
            </w:pPr>
            <w:r/>
            <w:r>
              <w:rPr>
                <w:sz w:val="18"/>
              </w:rPr>
              <w:t>14.9–17.6</w:t>
            </w:r>
          </w:p>
        </w:tc>
        <w:tc>
          <w:tcPr>
            <w:tcW w:type="dxa" w:w="2268"/>
          </w:tcPr>
          <w:p>
            <w:pPr>
              <w:spacing w:after="0"/>
              <w:jc w:val="right"/>
            </w:pPr>
            <w:r/>
            <w:r>
              <w:rPr>
                <w:sz w:val="18"/>
              </w:rPr>
              <w:t>4.0% p.a.</w:t>
            </w:r>
          </w:p>
        </w:tc>
      </w:tr>
      <w:tr>
        <w:tc>
          <w:tcPr>
            <w:tcW w:type="dxa" w:w="1134"/>
            <w:shd w:val="clear" w:color="auto" w:fill="F3F5F8"/>
          </w:tcPr>
          <w:p>
            <w:pPr>
              <w:spacing w:after="0"/>
            </w:pPr>
            <w:r/>
            <w:r>
              <w:rPr>
                <w:sz w:val="18"/>
              </w:rPr>
              <w:t>2028</w:t>
            </w:r>
          </w:p>
        </w:tc>
        <w:tc>
          <w:tcPr>
            <w:tcW w:type="dxa" w:w="1814"/>
            <w:shd w:val="clear" w:color="auto" w:fill="F3F5F8"/>
          </w:tcPr>
          <w:p>
            <w:pPr>
              <w:spacing w:after="0"/>
              <w:jc w:val="right"/>
            </w:pPr>
            <w:r/>
            <w:r>
              <w:rPr>
                <w:sz w:val="18"/>
              </w:rPr>
              <w:t>17.8</w:t>
            </w:r>
          </w:p>
        </w:tc>
        <w:tc>
          <w:tcPr>
            <w:tcW w:type="dxa" w:w="2041"/>
            <w:shd w:val="clear" w:color="auto" w:fill="F3F5F8"/>
          </w:tcPr>
          <w:p>
            <w:pPr>
              <w:spacing w:after="0"/>
              <w:jc w:val="right"/>
            </w:pPr>
            <w:r/>
            <w:r>
              <w:rPr>
                <w:sz w:val="18"/>
              </w:rPr>
              <w:t>16.3–19.5</w:t>
            </w:r>
          </w:p>
        </w:tc>
        <w:tc>
          <w:tcPr>
            <w:tcW w:type="dxa" w:w="2041"/>
            <w:shd w:val="clear" w:color="auto" w:fill="F3F5F8"/>
          </w:tcPr>
          <w:p>
            <w:pPr>
              <w:spacing w:after="0"/>
              <w:jc w:val="right"/>
            </w:pPr>
            <w:r/>
            <w:r>
              <w:rPr>
                <w:sz w:val="18"/>
              </w:rPr>
              <w:t>15.5–20.5</w:t>
            </w:r>
          </w:p>
        </w:tc>
        <w:tc>
          <w:tcPr>
            <w:tcW w:type="dxa" w:w="2268"/>
            <w:shd w:val="clear" w:color="auto" w:fill="F3F5F8"/>
          </w:tcPr>
          <w:p>
            <w:pPr>
              <w:spacing w:after="0"/>
              <w:jc w:val="right"/>
            </w:pPr>
            <w:r/>
            <w:r>
              <w:rPr>
                <w:sz w:val="18"/>
              </w:rPr>
              <w:t>4.6% p.a.</w:t>
            </w:r>
          </w:p>
        </w:tc>
      </w:tr>
      <w:tr>
        <w:tc>
          <w:tcPr>
            <w:tcW w:type="dxa" w:w="1134"/>
          </w:tcPr>
          <w:p>
            <w:pPr>
              <w:spacing w:after="0"/>
            </w:pPr>
            <w:r/>
            <w:r>
              <w:rPr>
                <w:sz w:val="18"/>
              </w:rPr>
              <w:t>2030</w:t>
            </w:r>
          </w:p>
        </w:tc>
        <w:tc>
          <w:tcPr>
            <w:tcW w:type="dxa" w:w="1814"/>
          </w:tcPr>
          <w:p>
            <w:pPr>
              <w:spacing w:after="0"/>
              <w:jc w:val="right"/>
            </w:pPr>
            <w:r/>
            <w:r>
              <w:rPr>
                <w:sz w:val="18"/>
              </w:rPr>
              <w:t>19.6</w:t>
            </w:r>
          </w:p>
        </w:tc>
        <w:tc>
          <w:tcPr>
            <w:tcW w:type="dxa" w:w="2041"/>
          </w:tcPr>
          <w:p>
            <w:pPr>
              <w:spacing w:after="0"/>
              <w:jc w:val="right"/>
            </w:pPr>
            <w:r/>
            <w:r>
              <w:rPr>
                <w:sz w:val="18"/>
              </w:rPr>
              <w:t>17.4–22.0</w:t>
            </w:r>
          </w:p>
        </w:tc>
        <w:tc>
          <w:tcPr>
            <w:tcW w:type="dxa" w:w="2041"/>
          </w:tcPr>
          <w:p>
            <w:pPr>
              <w:spacing w:after="0"/>
              <w:jc w:val="right"/>
            </w:pPr>
            <w:r/>
            <w:r>
              <w:rPr>
                <w:sz w:val="18"/>
              </w:rPr>
              <w:t>16.4–23.5</w:t>
            </w:r>
          </w:p>
        </w:tc>
        <w:tc>
          <w:tcPr>
            <w:tcW w:type="dxa" w:w="2268"/>
          </w:tcPr>
          <w:p>
            <w:pPr>
              <w:spacing w:after="0"/>
              <w:jc w:val="right"/>
            </w:pPr>
            <w:r/>
            <w:r>
              <w:rPr>
                <w:sz w:val="18"/>
              </w:rPr>
              <w:t>4.7% p.a.</w:t>
            </w:r>
          </w:p>
        </w:tc>
      </w:tr>
      <w:tr>
        <w:tc>
          <w:tcPr>
            <w:tcW w:type="dxa" w:w="1134"/>
            <w:shd w:val="clear" w:color="auto" w:fill="F3F5F8"/>
          </w:tcPr>
          <w:p>
            <w:pPr>
              <w:spacing w:after="0"/>
            </w:pPr>
            <w:r/>
            <w:r>
              <w:rPr>
                <w:sz w:val="18"/>
              </w:rPr>
              <w:t>2032</w:t>
            </w:r>
          </w:p>
        </w:tc>
        <w:tc>
          <w:tcPr>
            <w:tcW w:type="dxa" w:w="1814"/>
            <w:shd w:val="clear" w:color="auto" w:fill="F3F5F8"/>
          </w:tcPr>
          <w:p>
            <w:pPr>
              <w:spacing w:after="0"/>
              <w:jc w:val="right"/>
            </w:pPr>
            <w:r/>
            <w:r>
              <w:rPr>
                <w:sz w:val="18"/>
              </w:rPr>
              <w:t>21.6</w:t>
            </w:r>
          </w:p>
        </w:tc>
        <w:tc>
          <w:tcPr>
            <w:tcW w:type="dxa" w:w="2041"/>
            <w:shd w:val="clear" w:color="auto" w:fill="F3F5F8"/>
          </w:tcPr>
          <w:p>
            <w:pPr>
              <w:spacing w:after="0"/>
              <w:jc w:val="right"/>
            </w:pPr>
            <w:r/>
            <w:r>
              <w:rPr>
                <w:sz w:val="18"/>
              </w:rPr>
              <w:t>18.8–24.8</w:t>
            </w:r>
          </w:p>
        </w:tc>
        <w:tc>
          <w:tcPr>
            <w:tcW w:type="dxa" w:w="2041"/>
            <w:shd w:val="clear" w:color="auto" w:fill="F3F5F8"/>
          </w:tcPr>
          <w:p>
            <w:pPr>
              <w:spacing w:after="0"/>
              <w:jc w:val="right"/>
            </w:pPr>
            <w:r/>
            <w:r>
              <w:rPr>
                <w:sz w:val="18"/>
              </w:rPr>
              <w:t>17.4–26.7</w:t>
            </w:r>
          </w:p>
        </w:tc>
        <w:tc>
          <w:tcPr>
            <w:tcW w:type="dxa" w:w="2268"/>
            <w:shd w:val="clear" w:color="auto" w:fill="F3F5F8"/>
          </w:tcPr>
          <w:p>
            <w:pPr>
              <w:spacing w:after="0"/>
              <w:jc w:val="right"/>
            </w:pPr>
            <w:r/>
            <w:r>
              <w:rPr>
                <w:sz w:val="18"/>
              </w:rPr>
              <w:t>4.7% p.a.</w:t>
            </w:r>
          </w:p>
        </w:tc>
      </w:tr>
      <w:tr>
        <w:tc>
          <w:tcPr>
            <w:tcW w:type="dxa" w:w="1134"/>
          </w:tcPr>
          <w:p>
            <w:pPr>
              <w:spacing w:after="0"/>
            </w:pPr>
            <w:r/>
            <w:r>
              <w:rPr>
                <w:sz w:val="18"/>
              </w:rPr>
              <w:t>2035</w:t>
            </w:r>
          </w:p>
        </w:tc>
        <w:tc>
          <w:tcPr>
            <w:tcW w:type="dxa" w:w="1814"/>
          </w:tcPr>
          <w:p>
            <w:pPr>
              <w:spacing w:after="0"/>
              <w:jc w:val="right"/>
            </w:pPr>
            <w:r/>
            <w:r>
              <w:rPr>
                <w:sz w:val="18"/>
              </w:rPr>
              <w:t>24.9</w:t>
            </w:r>
          </w:p>
        </w:tc>
        <w:tc>
          <w:tcPr>
            <w:tcW w:type="dxa" w:w="2041"/>
          </w:tcPr>
          <w:p>
            <w:pPr>
              <w:spacing w:after="0"/>
              <w:jc w:val="right"/>
            </w:pPr>
            <w:r/>
            <w:r>
              <w:rPr>
                <w:sz w:val="18"/>
              </w:rPr>
              <w:t>21.0–29.4</w:t>
            </w:r>
          </w:p>
        </w:tc>
        <w:tc>
          <w:tcPr>
            <w:tcW w:type="dxa" w:w="2041"/>
          </w:tcPr>
          <w:p>
            <w:pPr>
              <w:spacing w:after="0"/>
              <w:jc w:val="right"/>
            </w:pPr>
            <w:r/>
            <w:r>
              <w:rPr>
                <w:sz w:val="18"/>
              </w:rPr>
              <w:t>19.3–32.1</w:t>
            </w:r>
          </w:p>
        </w:tc>
        <w:tc>
          <w:tcPr>
            <w:tcW w:type="dxa" w:w="2268"/>
          </w:tcPr>
          <w:p>
            <w:pPr>
              <w:spacing w:after="0"/>
              <w:jc w:val="right"/>
            </w:pPr>
            <w:r/>
            <w:r>
              <w:rPr>
                <w:sz w:val="18"/>
              </w:rPr>
              <w:t>4.8% p.a.</w:t>
            </w:r>
          </w:p>
        </w:tc>
      </w:tr>
    </w:tbl>
    <w:p>
      <w:pPr>
        <w:spacing w:after="40"/>
      </w:pPr>
    </w:p>
    <w:p>
      <w:pPr>
        <w:keepNext/>
        <w:spacing w:after="40"/>
        <w:jc w:val="center"/>
      </w:pPr>
      <w:r>
        <w:drawing>
          <wp:inline xmlns:a="http://schemas.openxmlformats.org/drawingml/2006/main" xmlns:pic="http://schemas.openxmlformats.org/drawingml/2006/picture">
            <wp:extent cx="5472000" cy="3040000"/>
            <wp:docPr id="5" name="Picture 5"/>
            <wp:cNvGraphicFramePr>
              <a:graphicFrameLocks noChangeAspect="1"/>
            </wp:cNvGraphicFramePr>
            <a:graphic>
              <a:graphicData uri="http://schemas.openxmlformats.org/drawingml/2006/picture">
                <pic:pic>
                  <pic:nvPicPr>
                    <pic:cNvPr id="0" name="fig02_forecast_fan.png"/>
                    <pic:cNvPicPr/>
                  </pic:nvPicPr>
                  <pic:blipFill>
                    <a:blip r:embed="rId15"/>
                    <a:stretch>
                      <a:fillRect/>
                    </a:stretch>
                  </pic:blipFill>
                  <pic:spPr>
                    <a:xfrm>
                      <a:off x="0" y="0"/>
                      <a:ext cx="5472000" cy="3040000"/>
                    </a:xfrm>
                    <a:prstGeom prst="rect"/>
                  </pic:spPr>
                </pic:pic>
              </a:graphicData>
            </a:graphic>
          </wp:inline>
        </w:drawing>
      </w:r>
    </w:p>
    <w:p>
      <w:pPr>
        <w:jc w:val="center"/>
      </w:pPr>
      <w:r>
        <w:rPr>
          <w:i/>
          <w:color w:val="555555"/>
          <w:sz w:val="18"/>
        </w:rPr>
        <w:t>Figure 5. Observed demand and ensemble forecast with 80% and 95% prediction intervals.</w:t>
      </w:r>
    </w:p>
    <w:p>
      <w:r>
        <w:rPr>
          <w:i w:val="0"/>
        </w:rPr>
        <w:t>The central forecast implies demand of 19.6 TWh in 2030 and 24.9 TWh in 2035, an increase of 60% on 2025. Growth of about 4.8% a year is slightly below the 5.7% of the last five years and in line with the long-run average.</w:t>
      </w:r>
    </w:p>
    <w:p>
      <w:pPr>
        <w:pStyle w:val="Heading2"/>
      </w:pPr>
      <w:r>
        <w:t>4.5  How reliable are the intervals?</w:t>
      </w:r>
    </w:p>
    <w:p>
      <w:r>
        <w:rPr>
          <w:i w:val="0"/>
        </w:rPr>
        <w:t>Prediction intervals are built from the ensemble's backtest errors, scaled by the square root of the horizon, the standard result for a random-walk-type process. Checking them against the backtests: the 80% interval contained 87% of one-year-ahead outcomes (n = 15), 93% of two-year and 100% of three-year outcomes. Coverage at one year is close to nominal and at longer horizons the intervals are conservative. With 13 to 15 test points per horizon, these coverage figures are themselves imprecise, so they are best read as 'no sign of overconfidence' and not as proof of calibration.</w:t>
      </w:r>
    </w:p>
    <w:p>
      <w:r>
        <w:rPr>
          <w:i w:val="0"/>
        </w:rPr>
        <w:t>Beyond three years there is no out-of-sample evidence at all, and the intervals for 2030–2035 rest on an assumption. They also cannot capture structural events such as a new large industrial customer, a step change in electrification policy or a prolonged economic shock. For that reason the capacity analysis in Chapter 7 uses the lower and upper 80% bounds as explicit low and high scenarios.</w:t>
      </w:r>
    </w:p>
    <w:p>
      <w:pPr>
        <w:pStyle w:val="Heading2"/>
      </w:pPr>
      <w:r>
        <w:t>4.6  Income elasticity of electricity demand</w:t>
      </w:r>
    </w:p>
    <w:p>
      <w:r>
        <w:rPr>
          <w:i w:val="0"/>
        </w:rPr>
        <w:t>A common planning question is how much demand grows for each per cent of GDP growth. In growth-rate form the answer is imprecise: pooling nine countries gives an elasticity of 0.35 (standard error 0.19, clustered by country), and Kenya alone gives 0.56 with a standard error of 0.60 (p = 0.36), which is not distinguishable from zero. Year-to-year demand growth in Kenya is driven by factors that annual GDP growth does not capture, such as connections and weather. The long-run levels relationship in Chapter 3 (0.84) is much more informative. The practical conclusion is that GDP growth rates should not be used as a short-term demand predictor for Kenya, but the long-run link between income and demand is strong.</w:t>
      </w:r>
    </w:p>
    <w:p>
      <w:r>
        <w:br w:type="page"/>
      </w:r>
    </w:p>
    <w:p>
      <w:pPr>
        <w:pStyle w:val="Heading1"/>
      </w:pPr>
      <w:r>
        <w:t>5  Supply-security index</w:t>
      </w:r>
    </w:p>
    <w:p>
      <w:pPr>
        <w:pStyle w:val="Heading2"/>
      </w:pPr>
      <w:r>
        <w:t>5.1  Why an index</w:t>
      </w:r>
    </w:p>
    <w:p>
      <w:r>
        <w:rPr>
          <w:i w:val="0"/>
        </w:rPr>
        <w:t>Supply security has many dimensions and no single number captures it. An index makes a transparent, comparable summary possible: it lets planners track Kenya over time and against its neighbours, and it shows which dimension is moving. The index here measures structural exposure using four pillars that can be computed consistently for all ten countries from the data in hand.</w:t>
      </w:r>
    </w:p>
    <w:p>
      <w:pPr>
        <w:keepNext/>
        <w:spacing w:after="60"/>
      </w:pPr>
      <w:r>
        <w:rPr>
          <w:b/>
          <w:color w:val="555555"/>
          <w:sz w:val="19"/>
        </w:rPr>
        <w:t>Table 6. The four pillars of the supply-security index</w:t>
      </w:r>
    </w:p>
    <w:tbl>
      <w:tblPr>
        <w:tblStyle w:val="TableGrid"/>
        <w:tblW w:type="auto" w:w="0"/>
        <w:jc w:val="center"/>
        <w:tblLook w:firstColumn="1" w:firstRow="1" w:lastColumn="0" w:lastRow="0" w:noHBand="0" w:noVBand="1" w:val="04A0"/>
      </w:tblPr>
      <w:tblGrid>
        <w:gridCol w:w="3061"/>
        <w:gridCol w:w="3061"/>
        <w:gridCol w:w="3061"/>
      </w:tblGrid>
      <w:tr>
        <w:tc>
          <w:tcPr>
            <w:tcW w:type="dxa" w:w="1928"/>
            <w:shd w:val="clear" w:color="auto" w:fill="1F4E8C"/>
          </w:tcPr>
          <w:p>
            <w:r/>
            <w:r>
              <w:rPr>
                <w:b/>
                <w:color w:val="FFFFFF"/>
                <w:sz w:val="18"/>
              </w:rPr>
              <w:t>Pillar</w:t>
            </w:r>
          </w:p>
        </w:tc>
        <w:tc>
          <w:tcPr>
            <w:tcW w:type="dxa" w:w="3742"/>
            <w:shd w:val="clear" w:color="auto" w:fill="1F4E8C"/>
          </w:tcPr>
          <w:p>
            <w:r/>
            <w:r>
              <w:rPr>
                <w:b/>
                <w:color w:val="FFFFFF"/>
                <w:sz w:val="18"/>
              </w:rPr>
              <w:t>Measure</w:t>
            </w:r>
          </w:p>
        </w:tc>
        <w:tc>
          <w:tcPr>
            <w:tcW w:type="dxa" w:w="3628"/>
            <w:shd w:val="clear" w:color="auto" w:fill="1F4E8C"/>
          </w:tcPr>
          <w:p>
            <w:r/>
            <w:r>
              <w:rPr>
                <w:b/>
                <w:color w:val="FFFFFF"/>
                <w:sz w:val="18"/>
              </w:rPr>
              <w:t>Why it matters</w:t>
            </w:r>
          </w:p>
        </w:tc>
      </w:tr>
      <w:tr>
        <w:tc>
          <w:tcPr>
            <w:tcW w:type="dxa" w:w="1928"/>
          </w:tcPr>
          <w:p>
            <w:pPr>
              <w:spacing w:after="0"/>
            </w:pPr>
            <w:r/>
            <w:r>
              <w:rPr>
                <w:sz w:val="18"/>
              </w:rPr>
              <w:t>Import dependence</w:t>
            </w:r>
          </w:p>
        </w:tc>
        <w:tc>
          <w:tcPr>
            <w:tcW w:type="dxa" w:w="3742"/>
          </w:tcPr>
          <w:p>
            <w:pPr>
              <w:spacing w:after="0"/>
            </w:pPr>
            <w:r/>
            <w:r>
              <w:rPr>
                <w:sz w:val="18"/>
              </w:rPr>
              <w:t>Net imports as % of demand (exporters scored as zero dependence)</w:t>
            </w:r>
          </w:p>
        </w:tc>
        <w:tc>
          <w:tcPr>
            <w:tcW w:type="dxa" w:w="3628"/>
          </w:tcPr>
          <w:p>
            <w:pPr>
              <w:spacing w:after="0"/>
            </w:pPr>
            <w:r/>
            <w:r>
              <w:rPr>
                <w:sz w:val="18"/>
              </w:rPr>
              <w:t>Reliance on neighbours' systems and interconnectors</w:t>
            </w:r>
          </w:p>
        </w:tc>
      </w:tr>
      <w:tr>
        <w:tc>
          <w:tcPr>
            <w:tcW w:type="dxa" w:w="1928"/>
            <w:shd w:val="clear" w:color="auto" w:fill="F3F5F8"/>
          </w:tcPr>
          <w:p>
            <w:pPr>
              <w:spacing w:after="0"/>
            </w:pPr>
            <w:r/>
            <w:r>
              <w:rPr>
                <w:sz w:val="18"/>
              </w:rPr>
              <w:t>Source concentration</w:t>
            </w:r>
          </w:p>
        </w:tc>
        <w:tc>
          <w:tcPr>
            <w:tcW w:type="dxa" w:w="3742"/>
            <w:shd w:val="clear" w:color="auto" w:fill="F3F5F8"/>
          </w:tcPr>
          <w:p>
            <w:pPr>
              <w:spacing w:after="0"/>
            </w:pPr>
            <w:r/>
            <w:r>
              <w:rPr>
                <w:sz w:val="18"/>
              </w:rPr>
              <w:t>Herfindahl–Hirschman index of generation shares across nine sources</w:t>
            </w:r>
          </w:p>
        </w:tc>
        <w:tc>
          <w:tcPr>
            <w:tcW w:type="dxa" w:w="3628"/>
            <w:shd w:val="clear" w:color="auto" w:fill="F3F5F8"/>
          </w:tcPr>
          <w:p>
            <w:pPr>
              <w:spacing w:after="0"/>
            </w:pPr>
            <w:r/>
            <w:r>
              <w:rPr>
                <w:sz w:val="18"/>
              </w:rPr>
              <w:t>A grid reliant on one source is fragile to that source failing</w:t>
            </w:r>
          </w:p>
        </w:tc>
      </w:tr>
      <w:tr>
        <w:tc>
          <w:tcPr>
            <w:tcW w:type="dxa" w:w="1928"/>
          </w:tcPr>
          <w:p>
            <w:pPr>
              <w:spacing w:after="0"/>
            </w:pPr>
            <w:r/>
            <w:r>
              <w:rPr>
                <w:sz w:val="18"/>
              </w:rPr>
              <w:t>Fuel-price exposure</w:t>
            </w:r>
          </w:p>
        </w:tc>
        <w:tc>
          <w:tcPr>
            <w:tcW w:type="dxa" w:w="3742"/>
          </w:tcPr>
          <w:p>
            <w:pPr>
              <w:spacing w:after="0"/>
            </w:pPr>
            <w:r/>
            <w:r>
              <w:rPr>
                <w:sz w:val="18"/>
              </w:rPr>
              <w:t>Fossil share of generation (%)</w:t>
            </w:r>
          </w:p>
        </w:tc>
        <w:tc>
          <w:tcPr>
            <w:tcW w:type="dxa" w:w="3628"/>
          </w:tcPr>
          <w:p>
            <w:pPr>
              <w:spacing w:after="0"/>
            </w:pPr>
            <w:r/>
            <w:r>
              <w:rPr>
                <w:sz w:val="18"/>
              </w:rPr>
              <w:t>Exposure to imported-fuel price and availability</w:t>
            </w:r>
          </w:p>
        </w:tc>
      </w:tr>
      <w:tr>
        <w:tc>
          <w:tcPr>
            <w:tcW w:type="dxa" w:w="1928"/>
            <w:shd w:val="clear" w:color="auto" w:fill="F3F5F8"/>
          </w:tcPr>
          <w:p>
            <w:pPr>
              <w:spacing w:after="0"/>
            </w:pPr>
            <w:r/>
            <w:r>
              <w:rPr>
                <w:sz w:val="18"/>
              </w:rPr>
              <w:t>Hydrology risk</w:t>
            </w:r>
          </w:p>
        </w:tc>
        <w:tc>
          <w:tcPr>
            <w:tcW w:type="dxa" w:w="3742"/>
            <w:shd w:val="clear" w:color="auto" w:fill="F3F5F8"/>
          </w:tcPr>
          <w:p>
            <w:pPr>
              <w:spacing w:after="0"/>
            </w:pPr>
            <w:r/>
            <w:r>
              <w:rPr>
                <w:sz w:val="18"/>
              </w:rPr>
              <w:t>Hydro share × rolling 8-year volatility of hydro output</w:t>
            </w:r>
          </w:p>
        </w:tc>
        <w:tc>
          <w:tcPr>
            <w:tcW w:type="dxa" w:w="3628"/>
            <w:shd w:val="clear" w:color="auto" w:fill="F3F5F8"/>
          </w:tcPr>
          <w:p>
            <w:pPr>
              <w:spacing w:after="0"/>
            </w:pPr>
            <w:r/>
            <w:r>
              <w:rPr>
                <w:sz w:val="18"/>
              </w:rPr>
              <w:t>Share of generation exposed to a one-standard-deviation hydrology swing</w:t>
            </w:r>
          </w:p>
        </w:tc>
      </w:tr>
    </w:tbl>
    <w:p>
      <w:pPr>
        <w:spacing w:after="40"/>
      </w:pPr>
    </w:p>
    <w:p>
      <w:r>
        <w:rPr>
          <w:i w:val="0"/>
        </w:rPr>
        <w:t>Each measure is winsorised at the 5th and 95th percentiles of the pooled 2006–2025 sample, rescaled to 0–100 with 100 meaning most secure, and the four scores are averaged with equal weights. The index starts in 2006 because the volatility pillar needs history. A geometric-mean variant, which penalises a country with one very weak pillar, is reported as a robustness check.</w:t>
      </w:r>
    </w:p>
    <w:p>
      <w:pPr>
        <w:pStyle w:val="Heading2"/>
      </w:pPr>
      <w:r>
        <w:t>5.2  Results</w:t>
      </w:r>
    </w:p>
    <w:p>
      <w:pPr>
        <w:keepNext/>
        <w:spacing w:after="40"/>
        <w:jc w:val="center"/>
      </w:pPr>
      <w:r>
        <w:drawing>
          <wp:inline xmlns:a="http://schemas.openxmlformats.org/drawingml/2006/main" xmlns:pic="http://schemas.openxmlformats.org/drawingml/2006/picture">
            <wp:extent cx="5760000" cy="2605714"/>
            <wp:docPr id="6" name="Picture 6"/>
            <wp:cNvGraphicFramePr>
              <a:graphicFrameLocks noChangeAspect="1"/>
            </wp:cNvGraphicFramePr>
            <a:graphic>
              <a:graphicData uri="http://schemas.openxmlformats.org/drawingml/2006/picture">
                <pic:pic>
                  <pic:nvPicPr>
                    <pic:cNvPr id="0" name="fig05_security_index.png"/>
                    <pic:cNvPicPr/>
                  </pic:nvPicPr>
                  <pic:blipFill>
                    <a:blip r:embed="rId16"/>
                    <a:stretch>
                      <a:fillRect/>
                    </a:stretch>
                  </pic:blipFill>
                  <pic:spPr>
                    <a:xfrm>
                      <a:off x="0" y="0"/>
                      <a:ext cx="5760000" cy="2605714"/>
                    </a:xfrm>
                    <a:prstGeom prst="rect"/>
                  </pic:spPr>
                </pic:pic>
              </a:graphicData>
            </a:graphic>
          </wp:inline>
        </w:drawing>
      </w:r>
    </w:p>
    <w:p>
      <w:pPr>
        <w:jc w:val="center"/>
      </w:pPr>
      <w:r>
        <w:rPr>
          <w:i/>
          <w:color w:val="555555"/>
          <w:sz w:val="18"/>
        </w:rPr>
        <w:t>Figure 6. Left: supply-security index in 2024. Right: index trajectories 2006–2025; Kenya in blue.</w:t>
      </w:r>
    </w:p>
    <w:p>
      <w:r>
        <w:rPr>
          <w:i w:val="0"/>
        </w:rPr>
        <w:t>Kenya scores 87 in 2024, ahead of Uganda (82), Mozambique (78) and DR Congo (78); Burundi (55) and Ethiopia (63) are the lowest. Kenya has ranked first in every year from 2010 to 2024. The reason is diversification: Kenya's HHI of 0.29 compares with 0.5 to 0.9 for every neighbour except Rwanda (0.31), most of which rely on one or two sources, typically hydro.</w:t>
      </w:r>
    </w:p>
    <w:p>
      <w:r>
        <w:rPr>
          <w:i w:val="0"/>
        </w:rPr>
        <w:t>Two cautions apply. The index measures structural exposure, not operational reliability, so a country can score well and still suffer outages from transmission or distribution failures. It also treats fossil share as a pure negative on security grounds, which penalises Kenya's thermal reserve, the very asset that makes the drought stress test in Chapter 6 survivable. Readers should treat the fossil pillar as a fuel-exposure measure only.</w:t>
      </w:r>
    </w:p>
    <w:p>
      <w:pPr>
        <w:pStyle w:val="Heading2"/>
      </w:pPr>
      <w:r>
        <w:t>5.3  What moved inside Kenya's score, 2015 to 2025</w:t>
      </w:r>
    </w:p>
    <w:p>
      <w:pPr>
        <w:keepNext/>
        <w:spacing w:after="60"/>
      </w:pPr>
      <w:r>
        <w:rPr>
          <w:b/>
          <w:color w:val="555555"/>
          <w:sz w:val="19"/>
        </w:rPr>
        <w:t>Table 7. Kenya's pillar values and scores</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3175"/>
            <w:shd w:val="clear" w:color="auto" w:fill="1F4E8C"/>
          </w:tcPr>
          <w:p>
            <w:r/>
            <w:r>
              <w:rPr>
                <w:b/>
                <w:color w:val="FFFFFF"/>
                <w:sz w:val="18"/>
              </w:rPr>
              <w:t>Pillar</w:t>
            </w:r>
          </w:p>
        </w:tc>
        <w:tc>
          <w:tcPr>
            <w:tcW w:type="dxa" w:w="1361"/>
            <w:shd w:val="clear" w:color="auto" w:fill="1F4E8C"/>
          </w:tcPr>
          <w:p>
            <w:r/>
            <w:r>
              <w:rPr>
                <w:b/>
                <w:color w:val="FFFFFF"/>
                <w:sz w:val="18"/>
              </w:rPr>
              <w:t>Raw 2015</w:t>
            </w:r>
          </w:p>
        </w:tc>
        <w:tc>
          <w:tcPr>
            <w:tcW w:type="dxa" w:w="1361"/>
            <w:shd w:val="clear" w:color="auto" w:fill="1F4E8C"/>
          </w:tcPr>
          <w:p>
            <w:r/>
            <w:r>
              <w:rPr>
                <w:b/>
                <w:color w:val="FFFFFF"/>
                <w:sz w:val="18"/>
              </w:rPr>
              <w:t>Raw 2025</w:t>
            </w:r>
          </w:p>
        </w:tc>
        <w:tc>
          <w:tcPr>
            <w:tcW w:type="dxa" w:w="1587"/>
            <w:shd w:val="clear" w:color="auto" w:fill="1F4E8C"/>
          </w:tcPr>
          <w:p>
            <w:r/>
            <w:r>
              <w:rPr>
                <w:b/>
                <w:color w:val="FFFFFF"/>
                <w:sz w:val="18"/>
              </w:rPr>
              <w:t>Score 2015</w:t>
            </w:r>
          </w:p>
        </w:tc>
        <w:tc>
          <w:tcPr>
            <w:tcW w:type="dxa" w:w="1587"/>
            <w:shd w:val="clear" w:color="auto" w:fill="1F4E8C"/>
          </w:tcPr>
          <w:p>
            <w:r/>
            <w:r>
              <w:rPr>
                <w:b/>
                <w:color w:val="FFFFFF"/>
                <w:sz w:val="18"/>
              </w:rPr>
              <w:t>Score 2025</w:t>
            </w:r>
          </w:p>
        </w:tc>
      </w:tr>
      <w:tr>
        <w:tc>
          <w:tcPr>
            <w:tcW w:type="dxa" w:w="3175"/>
          </w:tcPr>
          <w:p>
            <w:pPr>
              <w:spacing w:after="0"/>
            </w:pPr>
            <w:r/>
            <w:r>
              <w:rPr>
                <w:sz w:val="18"/>
              </w:rPr>
              <w:t>Import dependence</w:t>
            </w:r>
          </w:p>
        </w:tc>
        <w:tc>
          <w:tcPr>
            <w:tcW w:type="dxa" w:w="1361"/>
          </w:tcPr>
          <w:p>
            <w:pPr>
              <w:spacing w:after="0"/>
              <w:jc w:val="right"/>
            </w:pPr>
            <w:r/>
            <w:r>
              <w:rPr>
                <w:sz w:val="18"/>
              </w:rPr>
              <w:t>0.1%</w:t>
            </w:r>
          </w:p>
        </w:tc>
        <w:tc>
          <w:tcPr>
            <w:tcW w:type="dxa" w:w="1361"/>
          </w:tcPr>
          <w:p>
            <w:pPr>
              <w:spacing w:after="0"/>
              <w:jc w:val="right"/>
            </w:pPr>
            <w:r/>
            <w:r>
              <w:rPr>
                <w:sz w:val="18"/>
              </w:rPr>
              <w:t>9.8%</w:t>
            </w:r>
          </w:p>
        </w:tc>
        <w:tc>
          <w:tcPr>
            <w:tcW w:type="dxa" w:w="1587"/>
          </w:tcPr>
          <w:p>
            <w:pPr>
              <w:spacing w:after="0"/>
              <w:jc w:val="right"/>
            </w:pPr>
            <w:r/>
            <w:r>
              <w:rPr>
                <w:sz w:val="18"/>
              </w:rPr>
              <w:t>100</w:t>
            </w:r>
          </w:p>
        </w:tc>
        <w:tc>
          <w:tcPr>
            <w:tcW w:type="dxa" w:w="1587"/>
          </w:tcPr>
          <w:p>
            <w:pPr>
              <w:spacing w:after="0"/>
              <w:jc w:val="right"/>
            </w:pPr>
            <w:r/>
            <w:r>
              <w:rPr>
                <w:sz w:val="18"/>
              </w:rPr>
              <w:t>72</w:t>
            </w:r>
          </w:p>
        </w:tc>
      </w:tr>
      <w:tr>
        <w:tc>
          <w:tcPr>
            <w:tcW w:type="dxa" w:w="3175"/>
            <w:shd w:val="clear" w:color="auto" w:fill="F3F5F8"/>
          </w:tcPr>
          <w:p>
            <w:pPr>
              <w:spacing w:after="0"/>
            </w:pPr>
            <w:r/>
            <w:r>
              <w:rPr>
                <w:sz w:val="18"/>
              </w:rPr>
              <w:t>Source concentration (HHI)</w:t>
            </w:r>
          </w:p>
        </w:tc>
        <w:tc>
          <w:tcPr>
            <w:tcW w:type="dxa" w:w="1361"/>
            <w:shd w:val="clear" w:color="auto" w:fill="F3F5F8"/>
          </w:tcPr>
          <w:p>
            <w:pPr>
              <w:spacing w:after="0"/>
              <w:jc w:val="right"/>
            </w:pPr>
            <w:r/>
            <w:r>
              <w:rPr>
                <w:sz w:val="18"/>
              </w:rPr>
              <w:t>0.37</w:t>
            </w:r>
          </w:p>
        </w:tc>
        <w:tc>
          <w:tcPr>
            <w:tcW w:type="dxa" w:w="1361"/>
            <w:shd w:val="clear" w:color="auto" w:fill="F3F5F8"/>
          </w:tcPr>
          <w:p>
            <w:pPr>
              <w:spacing w:after="0"/>
              <w:jc w:val="right"/>
            </w:pPr>
            <w:r/>
            <w:r>
              <w:rPr>
                <w:sz w:val="18"/>
              </w:rPr>
              <w:t>0.29</w:t>
            </w:r>
          </w:p>
        </w:tc>
        <w:tc>
          <w:tcPr>
            <w:tcW w:type="dxa" w:w="1587"/>
            <w:shd w:val="clear" w:color="auto" w:fill="F3F5F8"/>
          </w:tcPr>
          <w:p>
            <w:pPr>
              <w:spacing w:after="0"/>
              <w:jc w:val="right"/>
            </w:pPr>
            <w:r/>
            <w:r>
              <w:rPr>
                <w:sz w:val="18"/>
              </w:rPr>
              <w:t>92</w:t>
            </w:r>
          </w:p>
        </w:tc>
        <w:tc>
          <w:tcPr>
            <w:tcW w:type="dxa" w:w="1587"/>
            <w:shd w:val="clear" w:color="auto" w:fill="F3F5F8"/>
          </w:tcPr>
          <w:p>
            <w:pPr>
              <w:spacing w:after="0"/>
              <w:jc w:val="right"/>
            </w:pPr>
            <w:r/>
            <w:r>
              <w:rPr>
                <w:sz w:val="18"/>
              </w:rPr>
              <w:t>100</w:t>
            </w:r>
          </w:p>
        </w:tc>
      </w:tr>
      <w:tr>
        <w:tc>
          <w:tcPr>
            <w:tcW w:type="dxa" w:w="3175"/>
          </w:tcPr>
          <w:p>
            <w:pPr>
              <w:spacing w:after="0"/>
            </w:pPr>
            <w:r/>
            <w:r>
              <w:rPr>
                <w:sz w:val="18"/>
              </w:rPr>
              <w:t>Fossil share</w:t>
            </w:r>
          </w:p>
        </w:tc>
        <w:tc>
          <w:tcPr>
            <w:tcW w:type="dxa" w:w="1361"/>
          </w:tcPr>
          <w:p>
            <w:pPr>
              <w:spacing w:after="0"/>
              <w:jc w:val="right"/>
            </w:pPr>
            <w:r/>
            <w:r>
              <w:rPr>
                <w:sz w:val="18"/>
              </w:rPr>
              <w:t>10.2%</w:t>
            </w:r>
          </w:p>
        </w:tc>
        <w:tc>
          <w:tcPr>
            <w:tcW w:type="dxa" w:w="1361"/>
          </w:tcPr>
          <w:p>
            <w:pPr>
              <w:spacing w:after="0"/>
              <w:jc w:val="right"/>
            </w:pPr>
            <w:r/>
            <w:r>
              <w:rPr>
                <w:sz w:val="18"/>
              </w:rPr>
              <w:t>10.0%</w:t>
            </w:r>
          </w:p>
        </w:tc>
        <w:tc>
          <w:tcPr>
            <w:tcW w:type="dxa" w:w="1587"/>
          </w:tcPr>
          <w:p>
            <w:pPr>
              <w:spacing w:after="0"/>
              <w:jc w:val="right"/>
            </w:pPr>
            <w:r/>
            <w:r>
              <w:rPr>
                <w:sz w:val="18"/>
              </w:rPr>
              <w:t>85</w:t>
            </w:r>
          </w:p>
        </w:tc>
        <w:tc>
          <w:tcPr>
            <w:tcW w:type="dxa" w:w="1587"/>
          </w:tcPr>
          <w:p>
            <w:pPr>
              <w:spacing w:after="0"/>
              <w:jc w:val="right"/>
            </w:pPr>
            <w:r/>
            <w:r>
              <w:rPr>
                <w:sz w:val="18"/>
              </w:rPr>
              <w:t>85</w:t>
            </w:r>
          </w:p>
        </w:tc>
      </w:tr>
      <w:tr>
        <w:tc>
          <w:tcPr>
            <w:tcW w:type="dxa" w:w="3175"/>
            <w:shd w:val="clear" w:color="auto" w:fill="F3F5F8"/>
          </w:tcPr>
          <w:p>
            <w:pPr>
              <w:spacing w:after="0"/>
            </w:pPr>
            <w:r/>
            <w:r>
              <w:rPr>
                <w:sz w:val="18"/>
              </w:rPr>
              <w:t>Hydrology risk exposure</w:t>
            </w:r>
          </w:p>
        </w:tc>
        <w:tc>
          <w:tcPr>
            <w:tcW w:type="dxa" w:w="1361"/>
            <w:shd w:val="clear" w:color="auto" w:fill="F3F5F8"/>
          </w:tcPr>
          <w:p>
            <w:pPr>
              <w:spacing w:after="0"/>
              <w:jc w:val="right"/>
            </w:pPr>
            <w:r/>
            <w:r>
              <w:rPr>
                <w:sz w:val="18"/>
              </w:rPr>
              <w:t>10.5</w:t>
            </w:r>
          </w:p>
        </w:tc>
        <w:tc>
          <w:tcPr>
            <w:tcW w:type="dxa" w:w="1361"/>
            <w:shd w:val="clear" w:color="auto" w:fill="F3F5F8"/>
          </w:tcPr>
          <w:p>
            <w:pPr>
              <w:spacing w:after="0"/>
              <w:jc w:val="right"/>
            </w:pPr>
            <w:r/>
            <w:r>
              <w:rPr>
                <w:sz w:val="18"/>
              </w:rPr>
              <w:t>4.3</w:t>
            </w:r>
          </w:p>
        </w:tc>
        <w:tc>
          <w:tcPr>
            <w:tcW w:type="dxa" w:w="1587"/>
            <w:shd w:val="clear" w:color="auto" w:fill="F3F5F8"/>
          </w:tcPr>
          <w:p>
            <w:pPr>
              <w:spacing w:after="0"/>
              <w:jc w:val="right"/>
            </w:pPr>
            <w:r/>
            <w:r>
              <w:rPr>
                <w:sz w:val="18"/>
              </w:rPr>
              <w:t>58</w:t>
            </w:r>
          </w:p>
        </w:tc>
        <w:tc>
          <w:tcPr>
            <w:tcW w:type="dxa" w:w="1587"/>
            <w:shd w:val="clear" w:color="auto" w:fill="F3F5F8"/>
          </w:tcPr>
          <w:p>
            <w:pPr>
              <w:spacing w:after="0"/>
              <w:jc w:val="right"/>
            </w:pPr>
            <w:r/>
            <w:r>
              <w:rPr>
                <w:sz w:val="18"/>
              </w:rPr>
              <w:t>94</w:t>
            </w:r>
          </w:p>
        </w:tc>
      </w:tr>
    </w:tbl>
    <w:p>
      <w:pPr>
        <w:spacing w:after="40"/>
      </w:pPr>
    </w:p>
    <w:p>
      <w:pPr>
        <w:keepNext/>
        <w:spacing w:after="40"/>
        <w:jc w:val="center"/>
      </w:pPr>
      <w:r>
        <w:drawing>
          <wp:inline xmlns:a="http://schemas.openxmlformats.org/drawingml/2006/main" xmlns:pic="http://schemas.openxmlformats.org/drawingml/2006/picture">
            <wp:extent cx="4860000" cy="2287059"/>
            <wp:docPr id="7" name="Picture 7"/>
            <wp:cNvGraphicFramePr>
              <a:graphicFrameLocks noChangeAspect="1"/>
            </wp:cNvGraphicFramePr>
            <a:graphic>
              <a:graphicData uri="http://schemas.openxmlformats.org/drawingml/2006/picture">
                <pic:pic>
                  <pic:nvPicPr>
                    <pic:cNvPr id="0" name="fig06_pillars.png"/>
                    <pic:cNvPicPr/>
                  </pic:nvPicPr>
                  <pic:blipFill>
                    <a:blip r:embed="rId17"/>
                    <a:stretch>
                      <a:fillRect/>
                    </a:stretch>
                  </pic:blipFill>
                  <pic:spPr>
                    <a:xfrm>
                      <a:off x="0" y="0"/>
                      <a:ext cx="4860000" cy="2287059"/>
                    </a:xfrm>
                    <a:prstGeom prst="rect"/>
                  </pic:spPr>
                </pic:pic>
              </a:graphicData>
            </a:graphic>
          </wp:inline>
        </w:drawing>
      </w:r>
    </w:p>
    <w:p>
      <w:pPr>
        <w:jc w:val="center"/>
      </w:pPr>
      <w:r>
        <w:rPr>
          <w:i/>
          <w:color w:val="555555"/>
          <w:sz w:val="18"/>
        </w:rPr>
        <w:t>Figure 7. Change in Kenya's four pillar scores between 2015 and 2025.</w:t>
      </w:r>
    </w:p>
    <w:p>
      <w:r>
        <w:rPr>
          <w:i w:val="0"/>
        </w:rPr>
        <w:t>Three pillars improved or held steady, and one deteriorated. Diversification improved as wind and solar grew; hydrology risk exposure fell sharply (score 58 to 94) because hydro's share of generation fell and its recent volatility is lower than in the drought-affected 2000s. The big loser is import dependence, from near-total security to 72. The overall index in 2025 (88) is above 2015 (84) only because the gains elsewhere outweigh the imports loss, which is a good reason to keep that pillar in view.</w:t>
      </w:r>
    </w:p>
    <w:p>
      <w:pPr>
        <w:pStyle w:val="Heading2"/>
      </w:pPr>
      <w:r>
        <w:t>5.4  Is the ranking robust?</w:t>
      </w:r>
    </w:p>
    <w:p>
      <w:r>
        <w:rPr>
          <w:i w:val="0"/>
        </w:rPr>
        <w:t>The equal-weight choice is a judgement. To test it, we drew 10,000 random weightings of the four pillars and recomputed Kenya's 2024 rank each time. Kenya's median rank is 1, it is first in 54% of draws and its 5th–95th percentile range is 1–7. The leading position is therefore robust on balance but not unconditional. Putting 70% of the weight on a single pillar (10% on each of the others) leaves Kenya first if that pillar is source concentration or hydrology risk, third if it is fuel exposure, and seventh if it is import dependence, where hydro-based neighbours that import little (Uganda, Mozambique, Zambia, Ethiopia) score higher.</w:t>
      </w:r>
    </w:p>
    <w:p>
      <w:pPr>
        <w:keepNext/>
        <w:spacing w:after="40"/>
        <w:jc w:val="center"/>
      </w:pPr>
      <w:r>
        <w:drawing>
          <wp:inline xmlns:a="http://schemas.openxmlformats.org/drawingml/2006/main" xmlns:pic="http://schemas.openxmlformats.org/drawingml/2006/picture">
            <wp:extent cx="3960000" cy="2262857"/>
            <wp:docPr id="8" name="Picture 8"/>
            <wp:cNvGraphicFramePr>
              <a:graphicFrameLocks noChangeAspect="1"/>
            </wp:cNvGraphicFramePr>
            <a:graphic>
              <a:graphicData uri="http://schemas.openxmlformats.org/drawingml/2006/picture">
                <pic:pic>
                  <pic:nvPicPr>
                    <pic:cNvPr id="0" name="fig11_rank_sensitivity.png"/>
                    <pic:cNvPicPr/>
                  </pic:nvPicPr>
                  <pic:blipFill>
                    <a:blip r:embed="rId18"/>
                    <a:stretch>
                      <a:fillRect/>
                    </a:stretch>
                  </pic:blipFill>
                  <pic:spPr>
                    <a:xfrm>
                      <a:off x="0" y="0"/>
                      <a:ext cx="3960000" cy="2262857"/>
                    </a:xfrm>
                    <a:prstGeom prst="rect"/>
                  </pic:spPr>
                </pic:pic>
              </a:graphicData>
            </a:graphic>
          </wp:inline>
        </w:drawing>
      </w:r>
    </w:p>
    <w:p>
      <w:pPr>
        <w:jc w:val="center"/>
      </w:pPr>
      <w:r>
        <w:rPr>
          <w:i/>
          <w:color w:val="555555"/>
          <w:sz w:val="18"/>
        </w:rPr>
        <w:t>Figure 8. Distribution of Kenya's 2024 rank across 10,000 random pillar weightings.</w:t>
      </w:r>
    </w:p>
    <w:p>
      <w:r>
        <w:br w:type="page"/>
      </w:r>
    </w:p>
    <w:p>
      <w:pPr>
        <w:pStyle w:val="Heading1"/>
      </w:pPr>
      <w:r>
        <w:t>6  Stress tests: drought and import interruption</w:t>
      </w:r>
    </w:p>
    <w:p>
      <w:pPr>
        <w:pStyle w:val="Heading2"/>
      </w:pPr>
      <w:r>
        <w:t>6.1  Design</w:t>
      </w:r>
    </w:p>
    <w:p>
      <w:r>
        <w:rPr>
          <w:i w:val="0"/>
        </w:rPr>
        <w:t>The index describes structure. The stress tests ask what would actually happen if supply were disrupted. We take Kenya's actual 2025 supply stack and remove energy from it, then ask whether the remaining sources can fill the hole. The fallback resources are (i) thermal generation up to a ceiling of 3.25 TWh a year (Ember's 0.57 GW of fossil capacity at an assumed 65% availability), of which 1.40 TWh was already used in 2025, leaving 1.85 TWh of headroom; and (ii) imports, which are the thing being tested in some scenarios.</w:t>
      </w:r>
    </w:p>
    <w:p>
      <w:r>
        <w:rPr>
          <w:i w:val="0"/>
        </w:rPr>
        <w:t>The drought scenarios are calibrated to history. Kenya's hydro output was 42% below its five-year centred average in 2000 and 29% below in 2009; the single largest year-on-year fall in the data is 24%. We therefore use a 25% hydro loss as a moderate drought and a 42% loss as a 2000-type event.</w:t>
      </w:r>
    </w:p>
    <w:p>
      <w:pPr>
        <w:pStyle w:val="Heading2"/>
      </w:pPr>
      <w:r>
        <w:t>6.2  Deterministic scenarios</w:t>
      </w:r>
    </w:p>
    <w:p>
      <w:pPr>
        <w:keepNext/>
        <w:spacing w:after="60"/>
      </w:pPr>
      <w:r>
        <w:rPr>
          <w:b/>
          <w:color w:val="555555"/>
          <w:sz w:val="19"/>
        </w:rPr>
        <w:t>Table 8. Stress-test results on the 2025 supply stack</w:t>
      </w:r>
    </w:p>
    <w:tbl>
      <w:tblPr>
        <w:tblStyle w:val="TableGrid"/>
        <w:tblW w:type="auto" w:w="0"/>
        <w:jc w:val="center"/>
        <w:tblLook w:firstColumn="1" w:firstRow="1" w:lastColumn="0" w:lastRow="0" w:noHBand="0" w:noVBand="1" w:val="04A0"/>
      </w:tblPr>
      <w:tblGrid>
        <w:gridCol w:w="1531"/>
        <w:gridCol w:w="1531"/>
        <w:gridCol w:w="1531"/>
        <w:gridCol w:w="1531"/>
        <w:gridCol w:w="1531"/>
        <w:gridCol w:w="1531"/>
      </w:tblGrid>
      <w:tr>
        <w:tc>
          <w:tcPr>
            <w:tcW w:type="dxa" w:w="3288"/>
            <w:shd w:val="clear" w:color="auto" w:fill="1F4E8C"/>
          </w:tcPr>
          <w:p>
            <w:r/>
            <w:r>
              <w:rPr>
                <w:b/>
                <w:color w:val="FFFFFF"/>
                <w:sz w:val="17"/>
              </w:rPr>
              <w:t>Scenario</w:t>
            </w:r>
          </w:p>
        </w:tc>
        <w:tc>
          <w:tcPr>
            <w:tcW w:type="dxa" w:w="1077"/>
            <w:shd w:val="clear" w:color="auto" w:fill="1F4E8C"/>
          </w:tcPr>
          <w:p>
            <w:r/>
            <w:r>
              <w:rPr>
                <w:b/>
                <w:color w:val="FFFFFF"/>
                <w:sz w:val="17"/>
              </w:rPr>
              <w:t>Supply lost (TWh)</w:t>
            </w:r>
          </w:p>
        </w:tc>
        <w:tc>
          <w:tcPr>
            <w:tcW w:type="dxa" w:w="1304"/>
            <w:shd w:val="clear" w:color="auto" w:fill="1F4E8C"/>
          </w:tcPr>
          <w:p>
            <w:r/>
            <w:r>
              <w:rPr>
                <w:b/>
                <w:color w:val="FFFFFF"/>
                <w:sz w:val="17"/>
              </w:rPr>
              <w:t>Replaced by thermal (TWh)</w:t>
            </w:r>
          </w:p>
        </w:tc>
        <w:tc>
          <w:tcPr>
            <w:tcW w:type="dxa" w:w="1134"/>
            <w:shd w:val="clear" w:color="auto" w:fill="1F4E8C"/>
          </w:tcPr>
          <w:p>
            <w:r/>
            <w:r>
              <w:rPr>
                <w:b/>
                <w:color w:val="FFFFFF"/>
                <w:sz w:val="17"/>
              </w:rPr>
              <w:t>Unserved (TWh)</w:t>
            </w:r>
          </w:p>
        </w:tc>
        <w:tc>
          <w:tcPr>
            <w:tcW w:type="dxa" w:w="1247"/>
            <w:shd w:val="clear" w:color="auto" w:fill="1F4E8C"/>
          </w:tcPr>
          <w:p>
            <w:r/>
            <w:r>
              <w:rPr>
                <w:b/>
                <w:color w:val="FFFFFF"/>
                <w:sz w:val="17"/>
              </w:rPr>
              <w:t>Unserved (% demand)</w:t>
            </w:r>
          </w:p>
        </w:tc>
        <w:tc>
          <w:tcPr>
            <w:tcW w:type="dxa" w:w="1020"/>
            <w:shd w:val="clear" w:color="auto" w:fill="1F4E8C"/>
          </w:tcPr>
          <w:p>
            <w:r/>
            <w:r>
              <w:rPr>
                <w:b/>
                <w:color w:val="FFFFFF"/>
                <w:sz w:val="17"/>
              </w:rPr>
              <w:t>Extra CO2 (Mt)</w:t>
            </w:r>
          </w:p>
        </w:tc>
      </w:tr>
      <w:tr>
        <w:tc>
          <w:tcPr>
            <w:tcW w:type="dxa" w:w="3288"/>
          </w:tcPr>
          <w:p>
            <w:pPr>
              <w:spacing w:after="0"/>
            </w:pPr>
            <w:r/>
            <w:r>
              <w:rPr>
                <w:sz w:val="17"/>
              </w:rPr>
              <w:t>S1 Moderate drought (hydro -25%)</w:t>
            </w:r>
          </w:p>
        </w:tc>
        <w:tc>
          <w:tcPr>
            <w:tcW w:type="dxa" w:w="1077"/>
          </w:tcPr>
          <w:p>
            <w:pPr>
              <w:spacing w:after="0"/>
              <w:jc w:val="right"/>
            </w:pPr>
            <w:r/>
            <w:r>
              <w:rPr>
                <w:sz w:val="17"/>
              </w:rPr>
              <w:t>0.73</w:t>
            </w:r>
          </w:p>
        </w:tc>
        <w:tc>
          <w:tcPr>
            <w:tcW w:type="dxa" w:w="1304"/>
          </w:tcPr>
          <w:p>
            <w:pPr>
              <w:spacing w:after="0"/>
              <w:jc w:val="right"/>
            </w:pPr>
            <w:r/>
            <w:r>
              <w:rPr>
                <w:sz w:val="17"/>
              </w:rPr>
              <w:t>0.73</w:t>
            </w:r>
          </w:p>
        </w:tc>
        <w:tc>
          <w:tcPr>
            <w:tcW w:type="dxa" w:w="1134"/>
          </w:tcPr>
          <w:p>
            <w:pPr>
              <w:spacing w:after="0"/>
              <w:jc w:val="right"/>
            </w:pPr>
            <w:r/>
            <w:r>
              <w:rPr>
                <w:sz w:val="17"/>
              </w:rPr>
              <w:t>0.0</w:t>
            </w:r>
          </w:p>
        </w:tc>
        <w:tc>
          <w:tcPr>
            <w:tcW w:type="dxa" w:w="1247"/>
          </w:tcPr>
          <w:p>
            <w:pPr>
              <w:spacing w:after="0"/>
              <w:jc w:val="right"/>
            </w:pPr>
            <w:r/>
            <w:r>
              <w:rPr>
                <w:sz w:val="17"/>
              </w:rPr>
              <w:t>0.0</w:t>
            </w:r>
          </w:p>
        </w:tc>
        <w:tc>
          <w:tcPr>
            <w:tcW w:type="dxa" w:w="1020"/>
          </w:tcPr>
          <w:p>
            <w:pPr>
              <w:spacing w:after="0"/>
              <w:jc w:val="right"/>
            </w:pPr>
            <w:r/>
            <w:r>
              <w:rPr>
                <w:sz w:val="17"/>
              </w:rPr>
              <w:t>0.48</w:t>
            </w:r>
          </w:p>
        </w:tc>
      </w:tr>
      <w:tr>
        <w:tc>
          <w:tcPr>
            <w:tcW w:type="dxa" w:w="3288"/>
            <w:shd w:val="clear" w:color="auto" w:fill="F3F5F8"/>
          </w:tcPr>
          <w:p>
            <w:pPr>
              <w:spacing w:after="0"/>
            </w:pPr>
            <w:r/>
            <w:r>
              <w:rPr>
                <w:sz w:val="17"/>
              </w:rPr>
              <w:t>S2 2000-type drought (hydro -42%)</w:t>
            </w:r>
          </w:p>
        </w:tc>
        <w:tc>
          <w:tcPr>
            <w:tcW w:type="dxa" w:w="1077"/>
            <w:shd w:val="clear" w:color="auto" w:fill="F3F5F8"/>
          </w:tcPr>
          <w:p>
            <w:pPr>
              <w:spacing w:after="0"/>
              <w:jc w:val="right"/>
            </w:pPr>
            <w:r/>
            <w:r>
              <w:rPr>
                <w:sz w:val="17"/>
              </w:rPr>
              <w:t>1.23</w:t>
            </w:r>
          </w:p>
        </w:tc>
        <w:tc>
          <w:tcPr>
            <w:tcW w:type="dxa" w:w="1304"/>
            <w:shd w:val="clear" w:color="auto" w:fill="F3F5F8"/>
          </w:tcPr>
          <w:p>
            <w:pPr>
              <w:spacing w:after="0"/>
              <w:jc w:val="right"/>
            </w:pPr>
            <w:r/>
            <w:r>
              <w:rPr>
                <w:sz w:val="17"/>
              </w:rPr>
              <w:t>1.23</w:t>
            </w:r>
          </w:p>
        </w:tc>
        <w:tc>
          <w:tcPr>
            <w:tcW w:type="dxa" w:w="1134"/>
            <w:shd w:val="clear" w:color="auto" w:fill="F3F5F8"/>
          </w:tcPr>
          <w:p>
            <w:pPr>
              <w:spacing w:after="0"/>
              <w:jc w:val="right"/>
            </w:pPr>
            <w:r/>
            <w:r>
              <w:rPr>
                <w:sz w:val="17"/>
              </w:rPr>
              <w:t>0.0</w:t>
            </w:r>
          </w:p>
        </w:tc>
        <w:tc>
          <w:tcPr>
            <w:tcW w:type="dxa" w:w="1247"/>
            <w:shd w:val="clear" w:color="auto" w:fill="F3F5F8"/>
          </w:tcPr>
          <w:p>
            <w:pPr>
              <w:spacing w:after="0"/>
              <w:jc w:val="right"/>
            </w:pPr>
            <w:r/>
            <w:r>
              <w:rPr>
                <w:sz w:val="17"/>
              </w:rPr>
              <w:t>0.0</w:t>
            </w:r>
          </w:p>
        </w:tc>
        <w:tc>
          <w:tcPr>
            <w:tcW w:type="dxa" w:w="1020"/>
            <w:shd w:val="clear" w:color="auto" w:fill="F3F5F8"/>
          </w:tcPr>
          <w:p>
            <w:pPr>
              <w:spacing w:after="0"/>
              <w:jc w:val="right"/>
            </w:pPr>
            <w:r/>
            <w:r>
              <w:rPr>
                <w:sz w:val="17"/>
              </w:rPr>
              <w:t>0.81</w:t>
            </w:r>
          </w:p>
        </w:tc>
      </w:tr>
      <w:tr>
        <w:tc>
          <w:tcPr>
            <w:tcW w:type="dxa" w:w="3288"/>
          </w:tcPr>
          <w:p>
            <w:pPr>
              <w:spacing w:after="0"/>
            </w:pPr>
            <w:r/>
            <w:r>
              <w:rPr>
                <w:sz w:val="17"/>
              </w:rPr>
              <w:t>S3 Import interruption (Ethiopia link out)</w:t>
            </w:r>
          </w:p>
        </w:tc>
        <w:tc>
          <w:tcPr>
            <w:tcW w:type="dxa" w:w="1077"/>
          </w:tcPr>
          <w:p>
            <w:pPr>
              <w:spacing w:after="0"/>
              <w:jc w:val="right"/>
            </w:pPr>
            <w:r/>
            <w:r>
              <w:rPr>
                <w:sz w:val="17"/>
              </w:rPr>
              <w:t>1.52</w:t>
            </w:r>
          </w:p>
        </w:tc>
        <w:tc>
          <w:tcPr>
            <w:tcW w:type="dxa" w:w="1304"/>
          </w:tcPr>
          <w:p>
            <w:pPr>
              <w:spacing w:after="0"/>
              <w:jc w:val="right"/>
            </w:pPr>
            <w:r/>
            <w:r>
              <w:rPr>
                <w:sz w:val="17"/>
              </w:rPr>
              <w:t>1.52</w:t>
            </w:r>
          </w:p>
        </w:tc>
        <w:tc>
          <w:tcPr>
            <w:tcW w:type="dxa" w:w="1134"/>
          </w:tcPr>
          <w:p>
            <w:pPr>
              <w:spacing w:after="0"/>
              <w:jc w:val="right"/>
            </w:pPr>
            <w:r/>
            <w:r>
              <w:rPr>
                <w:sz w:val="17"/>
              </w:rPr>
              <w:t>0.0</w:t>
            </w:r>
          </w:p>
        </w:tc>
        <w:tc>
          <w:tcPr>
            <w:tcW w:type="dxa" w:w="1247"/>
          </w:tcPr>
          <w:p>
            <w:pPr>
              <w:spacing w:after="0"/>
              <w:jc w:val="right"/>
            </w:pPr>
            <w:r/>
            <w:r>
              <w:rPr>
                <w:sz w:val="17"/>
              </w:rPr>
              <w:t>0.0</w:t>
            </w:r>
          </w:p>
        </w:tc>
        <w:tc>
          <w:tcPr>
            <w:tcW w:type="dxa" w:w="1020"/>
          </w:tcPr>
          <w:p>
            <w:pPr>
              <w:spacing w:after="0"/>
              <w:jc w:val="right"/>
            </w:pPr>
            <w:r/>
            <w:r>
              <w:rPr>
                <w:sz w:val="17"/>
              </w:rPr>
              <w:t>1.0</w:t>
            </w:r>
          </w:p>
        </w:tc>
      </w:tr>
      <w:tr>
        <w:tc>
          <w:tcPr>
            <w:tcW w:type="dxa" w:w="3288"/>
            <w:shd w:val="clear" w:color="auto" w:fill="F3F5F8"/>
          </w:tcPr>
          <w:p>
            <w:pPr>
              <w:spacing w:after="0"/>
            </w:pPr>
            <w:r/>
            <w:r>
              <w:rPr>
                <w:sz w:val="17"/>
              </w:rPr>
              <w:t>S4 Drought -25% + imports -50%</w:t>
            </w:r>
          </w:p>
        </w:tc>
        <w:tc>
          <w:tcPr>
            <w:tcW w:type="dxa" w:w="1077"/>
            <w:shd w:val="clear" w:color="auto" w:fill="F3F5F8"/>
          </w:tcPr>
          <w:p>
            <w:pPr>
              <w:spacing w:after="0"/>
              <w:jc w:val="right"/>
            </w:pPr>
            <w:r/>
            <w:r>
              <w:rPr>
                <w:sz w:val="17"/>
              </w:rPr>
              <w:t>1.5</w:t>
            </w:r>
          </w:p>
        </w:tc>
        <w:tc>
          <w:tcPr>
            <w:tcW w:type="dxa" w:w="1304"/>
            <w:shd w:val="clear" w:color="auto" w:fill="F3F5F8"/>
          </w:tcPr>
          <w:p>
            <w:pPr>
              <w:spacing w:after="0"/>
              <w:jc w:val="right"/>
            </w:pPr>
            <w:r/>
            <w:r>
              <w:rPr>
                <w:sz w:val="17"/>
              </w:rPr>
              <w:t>1.5</w:t>
            </w:r>
          </w:p>
        </w:tc>
        <w:tc>
          <w:tcPr>
            <w:tcW w:type="dxa" w:w="1134"/>
            <w:shd w:val="clear" w:color="auto" w:fill="F3F5F8"/>
          </w:tcPr>
          <w:p>
            <w:pPr>
              <w:spacing w:after="0"/>
              <w:jc w:val="right"/>
            </w:pPr>
            <w:r/>
            <w:r>
              <w:rPr>
                <w:sz w:val="17"/>
              </w:rPr>
              <w:t>0.0</w:t>
            </w:r>
          </w:p>
        </w:tc>
        <w:tc>
          <w:tcPr>
            <w:tcW w:type="dxa" w:w="1247"/>
            <w:shd w:val="clear" w:color="auto" w:fill="F3F5F8"/>
          </w:tcPr>
          <w:p>
            <w:pPr>
              <w:spacing w:after="0"/>
              <w:jc w:val="right"/>
            </w:pPr>
            <w:r/>
            <w:r>
              <w:rPr>
                <w:sz w:val="17"/>
              </w:rPr>
              <w:t>0.0</w:t>
            </w:r>
          </w:p>
        </w:tc>
        <w:tc>
          <w:tcPr>
            <w:tcW w:type="dxa" w:w="1020"/>
            <w:shd w:val="clear" w:color="auto" w:fill="F3F5F8"/>
          </w:tcPr>
          <w:p>
            <w:pPr>
              <w:spacing w:after="0"/>
              <w:jc w:val="right"/>
            </w:pPr>
            <w:r/>
            <w:r>
              <w:rPr>
                <w:sz w:val="17"/>
              </w:rPr>
              <w:t>0.98</w:t>
            </w:r>
          </w:p>
        </w:tc>
      </w:tr>
      <w:tr>
        <w:tc>
          <w:tcPr>
            <w:tcW w:type="dxa" w:w="3288"/>
          </w:tcPr>
          <w:p>
            <w:pPr>
              <w:spacing w:after="0"/>
            </w:pPr>
            <w:r/>
            <w:r>
              <w:rPr>
                <w:sz w:val="17"/>
              </w:rPr>
              <w:t>S5 2000-type drought + imports out</w:t>
            </w:r>
          </w:p>
        </w:tc>
        <w:tc>
          <w:tcPr>
            <w:tcW w:type="dxa" w:w="1077"/>
          </w:tcPr>
          <w:p>
            <w:pPr>
              <w:spacing w:after="0"/>
              <w:jc w:val="right"/>
            </w:pPr>
            <w:r/>
            <w:r>
              <w:rPr>
                <w:sz w:val="17"/>
              </w:rPr>
              <w:t>2.76</w:t>
            </w:r>
          </w:p>
        </w:tc>
        <w:tc>
          <w:tcPr>
            <w:tcW w:type="dxa" w:w="1304"/>
          </w:tcPr>
          <w:p>
            <w:pPr>
              <w:spacing w:after="0"/>
              <w:jc w:val="right"/>
            </w:pPr>
            <w:r/>
            <w:r>
              <w:rPr>
                <w:sz w:val="17"/>
              </w:rPr>
              <w:t>1.85</w:t>
            </w:r>
          </w:p>
        </w:tc>
        <w:tc>
          <w:tcPr>
            <w:tcW w:type="dxa" w:w="1134"/>
          </w:tcPr>
          <w:p>
            <w:pPr>
              <w:spacing w:after="0"/>
              <w:jc w:val="right"/>
            </w:pPr>
            <w:r/>
            <w:r>
              <w:rPr>
                <w:sz w:val="17"/>
              </w:rPr>
              <w:t>0.91</w:t>
            </w:r>
          </w:p>
        </w:tc>
        <w:tc>
          <w:tcPr>
            <w:tcW w:type="dxa" w:w="1247"/>
          </w:tcPr>
          <w:p>
            <w:pPr>
              <w:spacing w:after="0"/>
              <w:jc w:val="right"/>
            </w:pPr>
            <w:r/>
            <w:r>
              <w:rPr>
                <w:sz w:val="17"/>
              </w:rPr>
              <w:t>5.8</w:t>
            </w:r>
          </w:p>
        </w:tc>
        <w:tc>
          <w:tcPr>
            <w:tcW w:type="dxa" w:w="1020"/>
          </w:tcPr>
          <w:p>
            <w:pPr>
              <w:spacing w:after="0"/>
              <w:jc w:val="right"/>
            </w:pPr>
            <w:r/>
            <w:r>
              <w:rPr>
                <w:sz w:val="17"/>
              </w:rPr>
              <w:t>1.22</w:t>
            </w:r>
          </w:p>
        </w:tc>
      </w:tr>
      <w:tr>
        <w:tc>
          <w:tcPr>
            <w:tcW w:type="dxa" w:w="3288"/>
            <w:shd w:val="clear" w:color="auto" w:fill="F3F5F8"/>
          </w:tcPr>
          <w:p>
            <w:pPr>
              <w:spacing w:after="0"/>
            </w:pPr>
            <w:r/>
            <w:r>
              <w:rPr>
                <w:sz w:val="17"/>
              </w:rPr>
              <w:t>S6 Compound: S5 + wind -20% + geothermal -10%</w:t>
            </w:r>
          </w:p>
        </w:tc>
        <w:tc>
          <w:tcPr>
            <w:tcW w:type="dxa" w:w="1077"/>
            <w:shd w:val="clear" w:color="auto" w:fill="F3F5F8"/>
          </w:tcPr>
          <w:p>
            <w:pPr>
              <w:spacing w:after="0"/>
              <w:jc w:val="right"/>
            </w:pPr>
            <w:r/>
            <w:r>
              <w:rPr>
                <w:sz w:val="17"/>
              </w:rPr>
              <w:t>3.86</w:t>
            </w:r>
          </w:p>
        </w:tc>
        <w:tc>
          <w:tcPr>
            <w:tcW w:type="dxa" w:w="1304"/>
            <w:shd w:val="clear" w:color="auto" w:fill="F3F5F8"/>
          </w:tcPr>
          <w:p>
            <w:pPr>
              <w:spacing w:after="0"/>
              <w:jc w:val="right"/>
            </w:pPr>
            <w:r/>
            <w:r>
              <w:rPr>
                <w:sz w:val="17"/>
              </w:rPr>
              <w:t>1.85</w:t>
            </w:r>
          </w:p>
        </w:tc>
        <w:tc>
          <w:tcPr>
            <w:tcW w:type="dxa" w:w="1134"/>
            <w:shd w:val="clear" w:color="auto" w:fill="F3F5F8"/>
          </w:tcPr>
          <w:p>
            <w:pPr>
              <w:spacing w:after="0"/>
              <w:jc w:val="right"/>
            </w:pPr>
            <w:r/>
            <w:r>
              <w:rPr>
                <w:sz w:val="17"/>
              </w:rPr>
              <w:t>2.02</w:t>
            </w:r>
          </w:p>
        </w:tc>
        <w:tc>
          <w:tcPr>
            <w:tcW w:type="dxa" w:w="1247"/>
            <w:shd w:val="clear" w:color="auto" w:fill="F3F5F8"/>
          </w:tcPr>
          <w:p>
            <w:pPr>
              <w:spacing w:after="0"/>
              <w:jc w:val="right"/>
            </w:pPr>
            <w:r/>
            <w:r>
              <w:rPr>
                <w:sz w:val="17"/>
              </w:rPr>
              <w:t>12.9</w:t>
            </w:r>
          </w:p>
        </w:tc>
        <w:tc>
          <w:tcPr>
            <w:tcW w:type="dxa" w:w="1020"/>
            <w:shd w:val="clear" w:color="auto" w:fill="F3F5F8"/>
          </w:tcPr>
          <w:p>
            <w:pPr>
              <w:spacing w:after="0"/>
              <w:jc w:val="right"/>
            </w:pPr>
            <w:r/>
            <w:r>
              <w:rPr>
                <w:sz w:val="17"/>
              </w:rPr>
              <w:t>1.22</w:t>
            </w:r>
          </w:p>
        </w:tc>
      </w:tr>
    </w:tbl>
    <w:p>
      <w:pPr>
        <w:spacing w:after="40"/>
      </w:pPr>
    </w:p>
    <w:p>
      <w:pPr>
        <w:keepNext/>
        <w:spacing w:after="40"/>
        <w:jc w:val="center"/>
      </w:pPr>
      <w:r>
        <w:drawing>
          <wp:inline xmlns:a="http://schemas.openxmlformats.org/drawingml/2006/main" xmlns:pic="http://schemas.openxmlformats.org/drawingml/2006/picture">
            <wp:extent cx="5256000" cy="2770054"/>
            <wp:docPr id="9" name="Picture 9"/>
            <wp:cNvGraphicFramePr>
              <a:graphicFrameLocks noChangeAspect="1"/>
            </wp:cNvGraphicFramePr>
            <a:graphic>
              <a:graphicData uri="http://schemas.openxmlformats.org/drawingml/2006/picture">
                <pic:pic>
                  <pic:nvPicPr>
                    <pic:cNvPr id="0" name="fig08_stress.png"/>
                    <pic:cNvPicPr/>
                  </pic:nvPicPr>
                  <pic:blipFill>
                    <a:blip r:embed="rId19"/>
                    <a:stretch>
                      <a:fillRect/>
                    </a:stretch>
                  </pic:blipFill>
                  <pic:spPr>
                    <a:xfrm>
                      <a:off x="0" y="0"/>
                      <a:ext cx="5256000" cy="2770054"/>
                    </a:xfrm>
                    <a:prstGeom prst="rect"/>
                  </pic:spPr>
                </pic:pic>
              </a:graphicData>
            </a:graphic>
          </wp:inline>
        </w:drawing>
      </w:r>
    </w:p>
    <w:p>
      <w:pPr>
        <w:jc w:val="center"/>
      </w:pPr>
      <w:r>
        <w:rPr>
          <w:i/>
          <w:color w:val="555555"/>
          <w:sz w:val="18"/>
        </w:rPr>
        <w:t>Figure 9. Lost supply in each scenario, split into what thermal plant can replace and what goes unserved.</w:t>
      </w:r>
    </w:p>
    <w:p>
      <w:pPr>
        <w:pStyle w:val="ListBullet"/>
        <w:spacing w:after="60"/>
      </w:pPr>
      <w:r>
        <w:rPr>
          <w:b/>
        </w:rPr>
        <w:t xml:space="preserve">Each shock alone is manageable. </w:t>
      </w:r>
      <w:r>
        <w:t>A 2000-type drought (1.2 TWh) or losing all imports (1.5 TWh) falls within thermal headroom (1.85 TWh). The cost is running thermal plant at up to about 65% availability, about 2.3 times its 2025 output, and adding roughly 0.8 to 1.0 Mt of CO2.</w:t>
      </w:r>
    </w:p>
    <w:p>
      <w:pPr>
        <w:pStyle w:val="ListBullet"/>
        <w:spacing w:after="60"/>
      </w:pPr>
      <w:r>
        <w:rPr>
          <w:b/>
        </w:rPr>
        <w:t xml:space="preserve">The combination is not. </w:t>
      </w:r>
      <w:r>
        <w:t>A 2000-type drought with imports lost leaves 0.91 TWh (5.8% of demand) unserved. Adding modest wind and geothermal shortfalls raises that to 12.9%.</w:t>
      </w:r>
    </w:p>
    <w:p>
      <w:pPr>
        <w:pStyle w:val="ListBullet"/>
        <w:spacing w:after="60"/>
      </w:pPr>
      <w:r>
        <w:rPr>
          <w:b/>
        </w:rPr>
        <w:t xml:space="preserve">The result is sensitive to thermal availability. </w:t>
      </w:r>
      <w:r>
        <w:t>For the combined drought-plus-import-loss scenario, unserved energy is 1.0% of demand if thermal plant can run at 80% availability, 5.8% at 65% and 10.6% at 50%. Maintenance and fuel logistics for thermal plant are therefore a strategic-reserve issue, not a detail.</w:t>
      </w:r>
    </w:p>
    <w:p>
      <w:pPr>
        <w:pStyle w:val="Heading2"/>
      </w:pPr>
      <w:r>
        <w:t>6.3  Monte Carlo on observed hydrology</w:t>
      </w:r>
    </w:p>
    <w:p>
      <w:r>
        <w:rPr>
          <w:i w:val="0"/>
        </w:rPr>
        <w:t>The deterministic scenarios are chosen by us. To let the history speak, we resampled the 25 observed years of hydro and geothermal deviations from their five-year averages 20,000 times and applied them to the 2025 stack, in two states: imports available, and imports interrupted. The probabilities below are conditional on the import state; the analysis does not attempt to estimate how likely an interconnector outage is.</w:t>
      </w:r>
    </w:p>
    <w:p>
      <w:pPr>
        <w:keepNext/>
        <w:spacing w:after="60"/>
      </w:pPr>
      <w:r>
        <w:rPr>
          <w:b/>
          <w:color w:val="555555"/>
          <w:sz w:val="19"/>
        </w:rPr>
        <w:t>Table 9. Monte Carlo results (20,000 draws of historical hydrology and geothermal deviations)</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2041"/>
            <w:shd w:val="clear" w:color="auto" w:fill="1F4E8C"/>
          </w:tcPr>
          <w:p>
            <w:r/>
            <w:r>
              <w:rPr>
                <w:b/>
                <w:color w:val="FFFFFF"/>
                <w:sz w:val="18"/>
              </w:rPr>
              <w:t>State</w:t>
            </w:r>
          </w:p>
        </w:tc>
        <w:tc>
          <w:tcPr>
            <w:tcW w:type="dxa" w:w="1474"/>
            <w:shd w:val="clear" w:color="auto" w:fill="1F4E8C"/>
          </w:tcPr>
          <w:p>
            <w:r/>
            <w:r>
              <w:rPr>
                <w:b/>
                <w:color w:val="FFFFFF"/>
                <w:sz w:val="18"/>
              </w:rPr>
              <w:t>P(supply loss)</w:t>
            </w:r>
          </w:p>
        </w:tc>
        <w:tc>
          <w:tcPr>
            <w:tcW w:type="dxa" w:w="1701"/>
            <w:shd w:val="clear" w:color="auto" w:fill="1F4E8C"/>
          </w:tcPr>
          <w:p>
            <w:r/>
            <w:r>
              <w:rPr>
                <w:b/>
                <w:color w:val="FFFFFF"/>
                <w:sz w:val="18"/>
              </w:rPr>
              <w:t>P(energy shortfall)</w:t>
            </w:r>
          </w:p>
        </w:tc>
        <w:tc>
          <w:tcPr>
            <w:tcW w:type="dxa" w:w="2154"/>
            <w:shd w:val="clear" w:color="auto" w:fill="1F4E8C"/>
          </w:tcPr>
          <w:p>
            <w:r/>
            <w:r>
              <w:rPr>
                <w:b/>
                <w:color w:val="FFFFFF"/>
                <w:sz w:val="18"/>
              </w:rPr>
              <w:t>95th pct shortfall (% demand)</w:t>
            </w:r>
          </w:p>
        </w:tc>
        <w:tc>
          <w:tcPr>
            <w:tcW w:type="dxa" w:w="2041"/>
            <w:shd w:val="clear" w:color="auto" w:fill="1F4E8C"/>
          </w:tcPr>
          <w:p>
            <w:r/>
            <w:r>
              <w:rPr>
                <w:b/>
                <w:color w:val="FFFFFF"/>
                <w:sz w:val="18"/>
              </w:rPr>
              <w:t>95th pct thermal call (TWh)</w:t>
            </w:r>
          </w:p>
        </w:tc>
      </w:tr>
      <w:tr>
        <w:tc>
          <w:tcPr>
            <w:tcW w:type="dxa" w:w="2041"/>
          </w:tcPr>
          <w:p>
            <w:pPr>
              <w:spacing w:after="0"/>
            </w:pPr>
            <w:r/>
            <w:r>
              <w:rPr>
                <w:sz w:val="18"/>
              </w:rPr>
              <w:t>Imports available</w:t>
            </w:r>
          </w:p>
        </w:tc>
        <w:tc>
          <w:tcPr>
            <w:tcW w:type="dxa" w:w="1474"/>
          </w:tcPr>
          <w:p>
            <w:pPr>
              <w:spacing w:after="0"/>
              <w:jc w:val="right"/>
            </w:pPr>
            <w:r/>
            <w:r>
              <w:rPr>
                <w:sz w:val="18"/>
              </w:rPr>
              <w:t>62%</w:t>
            </w:r>
          </w:p>
        </w:tc>
        <w:tc>
          <w:tcPr>
            <w:tcW w:type="dxa" w:w="1701"/>
          </w:tcPr>
          <w:p>
            <w:pPr>
              <w:spacing w:after="0"/>
              <w:jc w:val="right"/>
            </w:pPr>
            <w:r/>
            <w:r>
              <w:rPr>
                <w:sz w:val="18"/>
              </w:rPr>
              <w:t>0%</w:t>
            </w:r>
          </w:p>
        </w:tc>
        <w:tc>
          <w:tcPr>
            <w:tcW w:type="dxa" w:w="2154"/>
          </w:tcPr>
          <w:p>
            <w:pPr>
              <w:spacing w:after="0"/>
              <w:jc w:val="right"/>
            </w:pPr>
            <w:r/>
            <w:r>
              <w:rPr>
                <w:sz w:val="18"/>
              </w:rPr>
              <w:t>0.0%</w:t>
            </w:r>
          </w:p>
        </w:tc>
        <w:tc>
          <w:tcPr>
            <w:tcW w:type="dxa" w:w="2041"/>
          </w:tcPr>
          <w:p>
            <w:pPr>
              <w:spacing w:after="0"/>
              <w:jc w:val="right"/>
            </w:pPr>
            <w:r/>
            <w:r>
              <w:rPr>
                <w:sz w:val="18"/>
              </w:rPr>
              <w:t>1.44</w:t>
            </w:r>
          </w:p>
        </w:tc>
      </w:tr>
      <w:tr>
        <w:tc>
          <w:tcPr>
            <w:tcW w:type="dxa" w:w="2041"/>
            <w:shd w:val="clear" w:color="auto" w:fill="F3F5F8"/>
          </w:tcPr>
          <w:p>
            <w:pPr>
              <w:spacing w:after="0"/>
            </w:pPr>
            <w:r/>
            <w:r>
              <w:rPr>
                <w:sz w:val="18"/>
              </w:rPr>
              <w:t>Imports interrupted</w:t>
            </w:r>
          </w:p>
        </w:tc>
        <w:tc>
          <w:tcPr>
            <w:tcW w:type="dxa" w:w="1474"/>
            <w:shd w:val="clear" w:color="auto" w:fill="F3F5F8"/>
          </w:tcPr>
          <w:p>
            <w:pPr>
              <w:spacing w:after="0"/>
              <w:jc w:val="right"/>
            </w:pPr>
            <w:r/>
            <w:r>
              <w:rPr>
                <w:sz w:val="18"/>
              </w:rPr>
              <w:t>100%</w:t>
            </w:r>
          </w:p>
        </w:tc>
        <w:tc>
          <w:tcPr>
            <w:tcW w:type="dxa" w:w="1701"/>
            <w:shd w:val="clear" w:color="auto" w:fill="F3F5F8"/>
          </w:tcPr>
          <w:p>
            <w:pPr>
              <w:spacing w:after="0"/>
              <w:jc w:val="right"/>
            </w:pPr>
            <w:r/>
            <w:r>
              <w:rPr>
                <w:sz w:val="18"/>
              </w:rPr>
              <w:t>27%</w:t>
            </w:r>
          </w:p>
        </w:tc>
        <w:tc>
          <w:tcPr>
            <w:tcW w:type="dxa" w:w="2154"/>
            <w:shd w:val="clear" w:color="auto" w:fill="F3F5F8"/>
          </w:tcPr>
          <w:p>
            <w:pPr>
              <w:spacing w:after="0"/>
              <w:jc w:val="right"/>
            </w:pPr>
            <w:r/>
            <w:r>
              <w:rPr>
                <w:sz w:val="18"/>
              </w:rPr>
              <w:t>7.2%</w:t>
            </w:r>
          </w:p>
        </w:tc>
        <w:tc>
          <w:tcPr>
            <w:tcW w:type="dxa" w:w="2041"/>
            <w:shd w:val="clear" w:color="auto" w:fill="F3F5F8"/>
          </w:tcPr>
          <w:p>
            <w:pPr>
              <w:spacing w:after="0"/>
              <w:jc w:val="right"/>
            </w:pPr>
            <w:r/>
            <w:r>
              <w:rPr>
                <w:sz w:val="18"/>
              </w:rPr>
              <w:t>1.85</w:t>
            </w:r>
          </w:p>
        </w:tc>
      </w:tr>
    </w:tbl>
    <w:p>
      <w:pPr>
        <w:spacing w:after="40"/>
      </w:pPr>
    </w:p>
    <w:p>
      <w:pPr>
        <w:keepNext/>
        <w:spacing w:after="40"/>
        <w:jc w:val="center"/>
      </w:pPr>
      <w:r>
        <w:drawing>
          <wp:inline xmlns:a="http://schemas.openxmlformats.org/drawingml/2006/main" xmlns:pic="http://schemas.openxmlformats.org/drawingml/2006/picture">
            <wp:extent cx="5040000" cy="2188421"/>
            <wp:docPr id="10" name="Picture 10"/>
            <wp:cNvGraphicFramePr>
              <a:graphicFrameLocks noChangeAspect="1"/>
            </wp:cNvGraphicFramePr>
            <a:graphic>
              <a:graphicData uri="http://schemas.openxmlformats.org/drawingml/2006/picture">
                <pic:pic>
                  <pic:nvPicPr>
                    <pic:cNvPr id="0" name="fig09_monte_carlo.png"/>
                    <pic:cNvPicPr/>
                  </pic:nvPicPr>
                  <pic:blipFill>
                    <a:blip r:embed="rId20"/>
                    <a:stretch>
                      <a:fillRect/>
                    </a:stretch>
                  </pic:blipFill>
                  <pic:spPr>
                    <a:xfrm>
                      <a:off x="0" y="0"/>
                      <a:ext cx="5040000" cy="2188421"/>
                    </a:xfrm>
                    <a:prstGeom prst="rect"/>
                  </pic:spPr>
                </pic:pic>
              </a:graphicData>
            </a:graphic>
          </wp:inline>
        </w:drawing>
      </w:r>
    </w:p>
    <w:p>
      <w:pPr>
        <w:jc w:val="center"/>
      </w:pPr>
      <w:r>
        <w:rPr>
          <w:i/>
          <w:color w:val="555555"/>
          <w:sz w:val="18"/>
        </w:rPr>
        <w:t>Figure 10. Probability of an annual energy shortfall and the 95th-percentile shortfall, by import state.</w:t>
      </w:r>
    </w:p>
    <w:p>
      <w:r>
        <w:rPr>
          <w:i w:val="0"/>
        </w:rPr>
        <w:t>With imports available, thermal plant covers every simulated hydrology year: the 95th-percentile thermal call is 1.44 TWh against 1.85 TWh of headroom. With imports out, the same hydrology produces a shortfall in 27% of draws, and in the worst 5% it reaches 7.2% of demand. Imports are therefore currently a shock absorber for the system and a vulnerability at the same time: they cover the deficit when hydrology is bad, but their loss in the same year is the scenario that matters.</w:t>
      </w:r>
    </w:p>
    <w:tbl>
      <w:tblPr>
        <w:tblW w:type="auto" w:w="0"/>
        <w:jc w:val="center"/>
        <w:tblLook w:firstColumn="1" w:firstRow="1" w:lastColumn="0" w:lastRow="0" w:noHBand="0" w:noVBand="1" w:val="04A0"/>
      </w:tblPr>
      <w:tblGrid>
        <w:gridCol w:w="9184"/>
      </w:tblGrid>
      <w:tr>
        <w:tc>
          <w:tcPr>
            <w:tcW w:type="dxa" w:w="9184"/>
            <w:shd w:val="clear" w:color="auto" w:fill="FDF3E1"/>
          </w:tcPr>
          <w:p>
            <w:r>
              <w:rPr>
                <w:b/>
              </w:rPr>
              <w:t>How to read these results</w:t>
            </w:r>
          </w:p>
          <w:p>
            <w:pPr>
              <w:spacing w:after="40"/>
            </w:pPr>
            <w:r>
              <w:t>The tests are on an annual-energy basis. They show whether the year's energy can in principle be found, not whether it can be delivered at the hour of peak demand, through the transmission network or at an acceptable cost. In practice shortfalls would appear earlier and be concentrated in dry-season peaks. Treat the figures as a lower bound on risk.</w:t>
            </w:r>
          </w:p>
        </w:tc>
      </w:tr>
    </w:tbl>
    <w:p>
      <w:pPr>
        <w:spacing w:after="40"/>
      </w:pPr>
    </w:p>
    <w:p>
      <w:r>
        <w:br w:type="page"/>
      </w:r>
    </w:p>
    <w:p>
      <w:pPr>
        <w:pStyle w:val="Heading1"/>
      </w:pPr>
      <w:r>
        <w:t>7  Capacity-gap analysis to 2035</w:t>
      </w:r>
    </w:p>
    <w:p>
      <w:pPr>
        <w:pStyle w:val="Heading2"/>
      </w:pPr>
      <w:r>
        <w:t>7.1  Method</w:t>
      </w:r>
    </w:p>
    <w:p>
      <w:r>
        <w:rPr>
          <w:i w:val="0"/>
        </w:rPr>
        <w:t>The question is how much new generation Kenya must add so that supply keeps pace with demand without relying on more imports or more thermal output than in 2025. The 2025 supply stack (generation plus imports, 15.6 TWh) is held constant; the gap is demand in the target year minus 15.6 TWh. The three demand paths are the forecast's lower 80% bound, central path and upper 80% bound. The gap is converted to gigawatts using assumed capacity factors for new plant: geothermal 85%, wind 45%, solar 25%, under three technology mixes expressed as shares of new energy.</w:t>
      </w:r>
    </w:p>
    <w:p>
      <w:r>
        <w:rPr>
          <w:i w:val="0"/>
        </w:rPr>
        <w:t>A second variant also phases imports and thermal output down to 5% of demand each, which raises the requirement.</w:t>
      </w:r>
    </w:p>
    <w:p>
      <w:pPr>
        <w:pStyle w:val="Heading2"/>
      </w:pPr>
      <w:r>
        <w:t>7.2  Results</w:t>
      </w:r>
    </w:p>
    <w:p>
      <w:pPr>
        <w:keepNext/>
        <w:spacing w:after="60"/>
      </w:pPr>
      <w:r>
        <w:rPr>
          <w:b/>
          <w:color w:val="555555"/>
          <w:sz w:val="19"/>
        </w:rPr>
        <w:t>Table 10. New generation required to meet demand while holding imports and thermal at 2025 levels</w:t>
      </w:r>
    </w:p>
    <w:tbl>
      <w:tblPr>
        <w:tblStyle w:val="TableGrid"/>
        <w:tblW w:type="auto" w:w="0"/>
        <w:jc w:val="center"/>
        <w:tblLook w:firstColumn="1" w:firstRow="1" w:lastColumn="0" w:lastRow="0" w:noHBand="0" w:noVBand="1" w:val="04A0"/>
      </w:tblPr>
      <w:tblGrid>
        <w:gridCol w:w="1312"/>
        <w:gridCol w:w="1312"/>
        <w:gridCol w:w="1312"/>
        <w:gridCol w:w="1312"/>
        <w:gridCol w:w="1312"/>
        <w:gridCol w:w="1312"/>
        <w:gridCol w:w="1312"/>
      </w:tblGrid>
      <w:tr>
        <w:tc>
          <w:tcPr>
            <w:tcW w:type="dxa" w:w="1644"/>
            <w:shd w:val="clear" w:color="auto" w:fill="1F4E8C"/>
          </w:tcPr>
          <w:p>
            <w:r/>
            <w:r>
              <w:rPr>
                <w:b/>
                <w:color w:val="FFFFFF"/>
                <w:sz w:val="17"/>
              </w:rPr>
              <w:t>Demand path</w:t>
            </w:r>
          </w:p>
        </w:tc>
        <w:tc>
          <w:tcPr>
            <w:tcW w:type="dxa" w:w="737"/>
            <w:shd w:val="clear" w:color="auto" w:fill="1F4E8C"/>
          </w:tcPr>
          <w:p>
            <w:r/>
            <w:r>
              <w:rPr>
                <w:b/>
                <w:color w:val="FFFFFF"/>
                <w:sz w:val="17"/>
              </w:rPr>
              <w:t>Year</w:t>
            </w:r>
          </w:p>
        </w:tc>
        <w:tc>
          <w:tcPr>
            <w:tcW w:type="dxa" w:w="1247"/>
            <w:shd w:val="clear" w:color="auto" w:fill="1F4E8C"/>
          </w:tcPr>
          <w:p>
            <w:r/>
            <w:r>
              <w:rPr>
                <w:b/>
                <w:color w:val="FFFFFF"/>
                <w:sz w:val="17"/>
              </w:rPr>
              <w:t>Demand (TWh)</w:t>
            </w:r>
          </w:p>
        </w:tc>
        <w:tc>
          <w:tcPr>
            <w:tcW w:type="dxa" w:w="1417"/>
            <w:shd w:val="clear" w:color="auto" w:fill="1F4E8C"/>
          </w:tcPr>
          <w:p>
            <w:r/>
            <w:r>
              <w:rPr>
                <w:b/>
                <w:color w:val="FFFFFF"/>
                <w:sz w:val="17"/>
              </w:rPr>
              <w:t>Gap vs 2025 (TWh)</w:t>
            </w:r>
          </w:p>
        </w:tc>
        <w:tc>
          <w:tcPr>
            <w:tcW w:type="dxa" w:w="1531"/>
            <w:shd w:val="clear" w:color="auto" w:fill="1F4E8C"/>
          </w:tcPr>
          <w:p>
            <w:r/>
            <w:r>
              <w:rPr>
                <w:b/>
                <w:color w:val="FFFFFF"/>
                <w:sz w:val="17"/>
              </w:rPr>
              <w:t>New GW: geothermal-led</w:t>
            </w:r>
          </w:p>
        </w:tc>
        <w:tc>
          <w:tcPr>
            <w:tcW w:type="dxa" w:w="1361"/>
            <w:shd w:val="clear" w:color="auto" w:fill="1F4E8C"/>
          </w:tcPr>
          <w:p>
            <w:r/>
            <w:r>
              <w:rPr>
                <w:b/>
                <w:color w:val="FFFFFF"/>
                <w:sz w:val="17"/>
              </w:rPr>
              <w:t>New GW: balanced</w:t>
            </w:r>
          </w:p>
        </w:tc>
        <w:tc>
          <w:tcPr>
            <w:tcW w:type="dxa" w:w="1361"/>
            <w:shd w:val="clear" w:color="auto" w:fill="1F4E8C"/>
          </w:tcPr>
          <w:p>
            <w:r/>
            <w:r>
              <w:rPr>
                <w:b/>
                <w:color w:val="FFFFFF"/>
                <w:sz w:val="17"/>
              </w:rPr>
              <w:t>New GW: solar-heavy</w:t>
            </w:r>
          </w:p>
        </w:tc>
      </w:tr>
      <w:tr>
        <w:tc>
          <w:tcPr>
            <w:tcW w:type="dxa" w:w="1644"/>
          </w:tcPr>
          <w:p>
            <w:pPr>
              <w:spacing w:after="0"/>
            </w:pPr>
            <w:r/>
            <w:r>
              <w:rPr>
                <w:sz w:val="17"/>
              </w:rPr>
              <w:t>Low demand</w:t>
            </w:r>
          </w:p>
        </w:tc>
        <w:tc>
          <w:tcPr>
            <w:tcW w:type="dxa" w:w="737"/>
          </w:tcPr>
          <w:p>
            <w:pPr>
              <w:spacing w:after="0"/>
              <w:jc w:val="right"/>
            </w:pPr>
            <w:r/>
            <w:r>
              <w:rPr>
                <w:sz w:val="17"/>
              </w:rPr>
              <w:t>2030</w:t>
            </w:r>
          </w:p>
        </w:tc>
        <w:tc>
          <w:tcPr>
            <w:tcW w:type="dxa" w:w="1247"/>
          </w:tcPr>
          <w:p>
            <w:pPr>
              <w:spacing w:after="0"/>
              <w:jc w:val="right"/>
            </w:pPr>
            <w:r/>
            <w:r>
              <w:rPr>
                <w:sz w:val="17"/>
              </w:rPr>
              <w:t>17.4</w:t>
            </w:r>
          </w:p>
        </w:tc>
        <w:tc>
          <w:tcPr>
            <w:tcW w:type="dxa" w:w="1417"/>
          </w:tcPr>
          <w:p>
            <w:pPr>
              <w:spacing w:after="0"/>
              <w:jc w:val="right"/>
            </w:pPr>
            <w:r/>
            <w:r>
              <w:rPr>
                <w:sz w:val="17"/>
              </w:rPr>
              <w:t>1.8</w:t>
            </w:r>
          </w:p>
        </w:tc>
        <w:tc>
          <w:tcPr>
            <w:tcW w:type="dxa" w:w="1531"/>
          </w:tcPr>
          <w:p>
            <w:pPr>
              <w:spacing w:after="0"/>
              <w:jc w:val="right"/>
            </w:pPr>
            <w:r/>
            <w:r>
              <w:rPr>
                <w:sz w:val="17"/>
              </w:rPr>
              <w:t>0.4</w:t>
            </w:r>
          </w:p>
        </w:tc>
        <w:tc>
          <w:tcPr>
            <w:tcW w:type="dxa" w:w="1361"/>
          </w:tcPr>
          <w:p>
            <w:pPr>
              <w:spacing w:after="0"/>
              <w:jc w:val="right"/>
            </w:pPr>
            <w:r/>
            <w:r>
              <w:rPr>
                <w:sz w:val="17"/>
              </w:rPr>
              <w:t>0.5</w:t>
            </w:r>
          </w:p>
        </w:tc>
        <w:tc>
          <w:tcPr>
            <w:tcW w:type="dxa" w:w="1361"/>
          </w:tcPr>
          <w:p>
            <w:pPr>
              <w:spacing w:after="0"/>
              <w:jc w:val="right"/>
            </w:pPr>
            <w:r/>
            <w:r>
              <w:rPr>
                <w:sz w:val="17"/>
              </w:rPr>
              <w:t>0.6</w:t>
            </w:r>
          </w:p>
        </w:tc>
      </w:tr>
      <w:tr>
        <w:tc>
          <w:tcPr>
            <w:tcW w:type="dxa" w:w="1644"/>
            <w:shd w:val="clear" w:color="auto" w:fill="F3F5F8"/>
          </w:tcPr>
          <w:p>
            <w:pPr>
              <w:spacing w:after="0"/>
            </w:pPr>
            <w:r/>
            <w:r>
              <w:rPr>
                <w:sz w:val="17"/>
              </w:rPr>
              <w:t>Low demand</w:t>
            </w:r>
          </w:p>
        </w:tc>
        <w:tc>
          <w:tcPr>
            <w:tcW w:type="dxa" w:w="737"/>
            <w:shd w:val="clear" w:color="auto" w:fill="F3F5F8"/>
          </w:tcPr>
          <w:p>
            <w:pPr>
              <w:spacing w:after="0"/>
              <w:jc w:val="right"/>
            </w:pPr>
            <w:r/>
            <w:r>
              <w:rPr>
                <w:sz w:val="17"/>
              </w:rPr>
              <w:t>2035</w:t>
            </w:r>
          </w:p>
        </w:tc>
        <w:tc>
          <w:tcPr>
            <w:tcW w:type="dxa" w:w="1247"/>
            <w:shd w:val="clear" w:color="auto" w:fill="F3F5F8"/>
          </w:tcPr>
          <w:p>
            <w:pPr>
              <w:spacing w:after="0"/>
              <w:jc w:val="right"/>
            </w:pPr>
            <w:r/>
            <w:r>
              <w:rPr>
                <w:sz w:val="17"/>
              </w:rPr>
              <w:t>21.0</w:t>
            </w:r>
          </w:p>
        </w:tc>
        <w:tc>
          <w:tcPr>
            <w:tcW w:type="dxa" w:w="1417"/>
            <w:shd w:val="clear" w:color="auto" w:fill="F3F5F8"/>
          </w:tcPr>
          <w:p>
            <w:pPr>
              <w:spacing w:after="0"/>
              <w:jc w:val="right"/>
            </w:pPr>
            <w:r/>
            <w:r>
              <w:rPr>
                <w:sz w:val="17"/>
              </w:rPr>
              <w:t>5.5</w:t>
            </w:r>
          </w:p>
        </w:tc>
        <w:tc>
          <w:tcPr>
            <w:tcW w:type="dxa" w:w="1531"/>
            <w:shd w:val="clear" w:color="auto" w:fill="F3F5F8"/>
          </w:tcPr>
          <w:p>
            <w:pPr>
              <w:spacing w:after="0"/>
              <w:jc w:val="right"/>
            </w:pPr>
            <w:r/>
            <w:r>
              <w:rPr>
                <w:sz w:val="17"/>
              </w:rPr>
              <w:t>1.3</w:t>
            </w:r>
          </w:p>
        </w:tc>
        <w:tc>
          <w:tcPr>
            <w:tcW w:type="dxa" w:w="1361"/>
            <w:shd w:val="clear" w:color="auto" w:fill="F3F5F8"/>
          </w:tcPr>
          <w:p>
            <w:pPr>
              <w:spacing w:after="0"/>
              <w:jc w:val="right"/>
            </w:pPr>
            <w:r/>
            <w:r>
              <w:rPr>
                <w:sz w:val="17"/>
              </w:rPr>
              <w:t>1.5</w:t>
            </w:r>
          </w:p>
        </w:tc>
        <w:tc>
          <w:tcPr>
            <w:tcW w:type="dxa" w:w="1361"/>
            <w:shd w:val="clear" w:color="auto" w:fill="F3F5F8"/>
          </w:tcPr>
          <w:p>
            <w:pPr>
              <w:spacing w:after="0"/>
              <w:jc w:val="right"/>
            </w:pPr>
            <w:r/>
            <w:r>
              <w:rPr>
                <w:sz w:val="17"/>
              </w:rPr>
              <w:t>1.8</w:t>
            </w:r>
          </w:p>
        </w:tc>
      </w:tr>
      <w:tr>
        <w:tc>
          <w:tcPr>
            <w:tcW w:type="dxa" w:w="1644"/>
          </w:tcPr>
          <w:p>
            <w:pPr>
              <w:spacing w:after="0"/>
            </w:pPr>
            <w:r/>
            <w:r>
              <w:rPr>
                <w:sz w:val="17"/>
              </w:rPr>
              <w:t>Base demand</w:t>
            </w:r>
          </w:p>
        </w:tc>
        <w:tc>
          <w:tcPr>
            <w:tcW w:type="dxa" w:w="737"/>
          </w:tcPr>
          <w:p>
            <w:pPr>
              <w:spacing w:after="0"/>
              <w:jc w:val="right"/>
            </w:pPr>
            <w:r/>
            <w:r>
              <w:rPr>
                <w:sz w:val="17"/>
              </w:rPr>
              <w:t>2030</w:t>
            </w:r>
          </w:p>
        </w:tc>
        <w:tc>
          <w:tcPr>
            <w:tcW w:type="dxa" w:w="1247"/>
          </w:tcPr>
          <w:p>
            <w:pPr>
              <w:spacing w:after="0"/>
              <w:jc w:val="right"/>
            </w:pPr>
            <w:r/>
            <w:r>
              <w:rPr>
                <w:sz w:val="17"/>
              </w:rPr>
              <w:t>19.6</w:t>
            </w:r>
          </w:p>
        </w:tc>
        <w:tc>
          <w:tcPr>
            <w:tcW w:type="dxa" w:w="1417"/>
          </w:tcPr>
          <w:p>
            <w:pPr>
              <w:spacing w:after="0"/>
              <w:jc w:val="right"/>
            </w:pPr>
            <w:r/>
            <w:r>
              <w:rPr>
                <w:sz w:val="17"/>
              </w:rPr>
              <w:t>4.0</w:t>
            </w:r>
          </w:p>
        </w:tc>
        <w:tc>
          <w:tcPr>
            <w:tcW w:type="dxa" w:w="1531"/>
          </w:tcPr>
          <w:p>
            <w:pPr>
              <w:spacing w:after="0"/>
              <w:jc w:val="right"/>
            </w:pPr>
            <w:r/>
            <w:r>
              <w:rPr>
                <w:sz w:val="17"/>
              </w:rPr>
              <w:t>0.9</w:t>
            </w:r>
          </w:p>
        </w:tc>
        <w:tc>
          <w:tcPr>
            <w:tcW w:type="dxa" w:w="1361"/>
          </w:tcPr>
          <w:p>
            <w:pPr>
              <w:spacing w:after="0"/>
              <w:jc w:val="right"/>
            </w:pPr>
            <w:r/>
            <w:r>
              <w:rPr>
                <w:sz w:val="17"/>
              </w:rPr>
              <w:t>1.1</w:t>
            </w:r>
          </w:p>
        </w:tc>
        <w:tc>
          <w:tcPr>
            <w:tcW w:type="dxa" w:w="1361"/>
          </w:tcPr>
          <w:p>
            <w:pPr>
              <w:spacing w:after="0"/>
              <w:jc w:val="right"/>
            </w:pPr>
            <w:r/>
            <w:r>
              <w:rPr>
                <w:sz w:val="17"/>
              </w:rPr>
              <w:t>1.3</w:t>
            </w:r>
          </w:p>
        </w:tc>
      </w:tr>
      <w:tr>
        <w:tc>
          <w:tcPr>
            <w:tcW w:type="dxa" w:w="1644"/>
            <w:shd w:val="clear" w:color="auto" w:fill="F3F5F8"/>
          </w:tcPr>
          <w:p>
            <w:pPr>
              <w:spacing w:after="0"/>
            </w:pPr>
            <w:r/>
            <w:r>
              <w:rPr>
                <w:sz w:val="17"/>
              </w:rPr>
              <w:t>Base demand</w:t>
            </w:r>
          </w:p>
        </w:tc>
        <w:tc>
          <w:tcPr>
            <w:tcW w:type="dxa" w:w="737"/>
            <w:shd w:val="clear" w:color="auto" w:fill="F3F5F8"/>
          </w:tcPr>
          <w:p>
            <w:pPr>
              <w:spacing w:after="0"/>
              <w:jc w:val="right"/>
            </w:pPr>
            <w:r/>
            <w:r>
              <w:rPr>
                <w:sz w:val="17"/>
              </w:rPr>
              <w:t>2035</w:t>
            </w:r>
          </w:p>
        </w:tc>
        <w:tc>
          <w:tcPr>
            <w:tcW w:type="dxa" w:w="1247"/>
            <w:shd w:val="clear" w:color="auto" w:fill="F3F5F8"/>
          </w:tcPr>
          <w:p>
            <w:pPr>
              <w:spacing w:after="0"/>
              <w:jc w:val="right"/>
            </w:pPr>
            <w:r/>
            <w:r>
              <w:rPr>
                <w:sz w:val="17"/>
              </w:rPr>
              <w:t>24.9</w:t>
            </w:r>
          </w:p>
        </w:tc>
        <w:tc>
          <w:tcPr>
            <w:tcW w:type="dxa" w:w="1417"/>
            <w:shd w:val="clear" w:color="auto" w:fill="F3F5F8"/>
          </w:tcPr>
          <w:p>
            <w:pPr>
              <w:spacing w:after="0"/>
              <w:jc w:val="right"/>
            </w:pPr>
            <w:r/>
            <w:r>
              <w:rPr>
                <w:sz w:val="17"/>
              </w:rPr>
              <w:t>9.3</w:t>
            </w:r>
          </w:p>
        </w:tc>
        <w:tc>
          <w:tcPr>
            <w:tcW w:type="dxa" w:w="1531"/>
            <w:shd w:val="clear" w:color="auto" w:fill="F3F5F8"/>
          </w:tcPr>
          <w:p>
            <w:pPr>
              <w:spacing w:after="0"/>
              <w:jc w:val="right"/>
            </w:pPr>
            <w:r/>
            <w:r>
              <w:rPr>
                <w:sz w:val="17"/>
              </w:rPr>
              <w:t>2.2</w:t>
            </w:r>
          </w:p>
        </w:tc>
        <w:tc>
          <w:tcPr>
            <w:tcW w:type="dxa" w:w="1361"/>
            <w:shd w:val="clear" w:color="auto" w:fill="F3F5F8"/>
          </w:tcPr>
          <w:p>
            <w:pPr>
              <w:spacing w:after="0"/>
              <w:jc w:val="right"/>
            </w:pPr>
            <w:r/>
            <w:r>
              <w:rPr>
                <w:sz w:val="17"/>
              </w:rPr>
              <w:t>2.6</w:t>
            </w:r>
          </w:p>
        </w:tc>
        <w:tc>
          <w:tcPr>
            <w:tcW w:type="dxa" w:w="1361"/>
            <w:shd w:val="clear" w:color="auto" w:fill="F3F5F8"/>
          </w:tcPr>
          <w:p>
            <w:pPr>
              <w:spacing w:after="0"/>
              <w:jc w:val="right"/>
            </w:pPr>
            <w:r/>
            <w:r>
              <w:rPr>
                <w:sz w:val="17"/>
              </w:rPr>
              <w:t>3.1</w:t>
            </w:r>
          </w:p>
        </w:tc>
      </w:tr>
      <w:tr>
        <w:tc>
          <w:tcPr>
            <w:tcW w:type="dxa" w:w="1644"/>
          </w:tcPr>
          <w:p>
            <w:pPr>
              <w:spacing w:after="0"/>
            </w:pPr>
            <w:r/>
            <w:r>
              <w:rPr>
                <w:sz w:val="17"/>
              </w:rPr>
              <w:t>High demand</w:t>
            </w:r>
          </w:p>
        </w:tc>
        <w:tc>
          <w:tcPr>
            <w:tcW w:type="dxa" w:w="737"/>
          </w:tcPr>
          <w:p>
            <w:pPr>
              <w:spacing w:after="0"/>
              <w:jc w:val="right"/>
            </w:pPr>
            <w:r/>
            <w:r>
              <w:rPr>
                <w:sz w:val="17"/>
              </w:rPr>
              <w:t>2030</w:t>
            </w:r>
          </w:p>
        </w:tc>
        <w:tc>
          <w:tcPr>
            <w:tcW w:type="dxa" w:w="1247"/>
          </w:tcPr>
          <w:p>
            <w:pPr>
              <w:spacing w:after="0"/>
              <w:jc w:val="right"/>
            </w:pPr>
            <w:r/>
            <w:r>
              <w:rPr>
                <w:sz w:val="17"/>
              </w:rPr>
              <w:t>22.0</w:t>
            </w:r>
          </w:p>
        </w:tc>
        <w:tc>
          <w:tcPr>
            <w:tcW w:type="dxa" w:w="1417"/>
          </w:tcPr>
          <w:p>
            <w:pPr>
              <w:spacing w:after="0"/>
              <w:jc w:val="right"/>
            </w:pPr>
            <w:r/>
            <w:r>
              <w:rPr>
                <w:sz w:val="17"/>
              </w:rPr>
              <w:t>6.5</w:t>
            </w:r>
          </w:p>
        </w:tc>
        <w:tc>
          <w:tcPr>
            <w:tcW w:type="dxa" w:w="1531"/>
          </w:tcPr>
          <w:p>
            <w:pPr>
              <w:spacing w:after="0"/>
              <w:jc w:val="right"/>
            </w:pPr>
            <w:r/>
            <w:r>
              <w:rPr>
                <w:sz w:val="17"/>
              </w:rPr>
              <w:t>1.5</w:t>
            </w:r>
          </w:p>
        </w:tc>
        <w:tc>
          <w:tcPr>
            <w:tcW w:type="dxa" w:w="1361"/>
          </w:tcPr>
          <w:p>
            <w:pPr>
              <w:spacing w:after="0"/>
              <w:jc w:val="right"/>
            </w:pPr>
            <w:r/>
            <w:r>
              <w:rPr>
                <w:sz w:val="17"/>
              </w:rPr>
              <w:t>1.8</w:t>
            </w:r>
          </w:p>
        </w:tc>
        <w:tc>
          <w:tcPr>
            <w:tcW w:type="dxa" w:w="1361"/>
          </w:tcPr>
          <w:p>
            <w:pPr>
              <w:spacing w:after="0"/>
              <w:jc w:val="right"/>
            </w:pPr>
            <w:r/>
            <w:r>
              <w:rPr>
                <w:sz w:val="17"/>
              </w:rPr>
              <w:t>2.1</w:t>
            </w:r>
          </w:p>
        </w:tc>
      </w:tr>
      <w:tr>
        <w:tc>
          <w:tcPr>
            <w:tcW w:type="dxa" w:w="1644"/>
            <w:shd w:val="clear" w:color="auto" w:fill="F3F5F8"/>
          </w:tcPr>
          <w:p>
            <w:pPr>
              <w:spacing w:after="0"/>
            </w:pPr>
            <w:r/>
            <w:r>
              <w:rPr>
                <w:sz w:val="17"/>
              </w:rPr>
              <w:t>High demand</w:t>
            </w:r>
          </w:p>
        </w:tc>
        <w:tc>
          <w:tcPr>
            <w:tcW w:type="dxa" w:w="737"/>
            <w:shd w:val="clear" w:color="auto" w:fill="F3F5F8"/>
          </w:tcPr>
          <w:p>
            <w:pPr>
              <w:spacing w:after="0"/>
              <w:jc w:val="right"/>
            </w:pPr>
            <w:r/>
            <w:r>
              <w:rPr>
                <w:sz w:val="17"/>
              </w:rPr>
              <w:t>2035</w:t>
            </w:r>
          </w:p>
        </w:tc>
        <w:tc>
          <w:tcPr>
            <w:tcW w:type="dxa" w:w="1247"/>
            <w:shd w:val="clear" w:color="auto" w:fill="F3F5F8"/>
          </w:tcPr>
          <w:p>
            <w:pPr>
              <w:spacing w:after="0"/>
              <w:jc w:val="right"/>
            </w:pPr>
            <w:r/>
            <w:r>
              <w:rPr>
                <w:sz w:val="17"/>
              </w:rPr>
              <w:t>29.4</w:t>
            </w:r>
          </w:p>
        </w:tc>
        <w:tc>
          <w:tcPr>
            <w:tcW w:type="dxa" w:w="1417"/>
            <w:shd w:val="clear" w:color="auto" w:fill="F3F5F8"/>
          </w:tcPr>
          <w:p>
            <w:pPr>
              <w:spacing w:after="0"/>
              <w:jc w:val="right"/>
            </w:pPr>
            <w:r/>
            <w:r>
              <w:rPr>
                <w:sz w:val="17"/>
              </w:rPr>
              <w:t>13.8</w:t>
            </w:r>
          </w:p>
        </w:tc>
        <w:tc>
          <w:tcPr>
            <w:tcW w:type="dxa" w:w="1531"/>
            <w:shd w:val="clear" w:color="auto" w:fill="F3F5F8"/>
          </w:tcPr>
          <w:p>
            <w:pPr>
              <w:spacing w:after="0"/>
              <w:jc w:val="right"/>
            </w:pPr>
            <w:r/>
            <w:r>
              <w:rPr>
                <w:sz w:val="17"/>
              </w:rPr>
              <w:t>3.2</w:t>
            </w:r>
          </w:p>
        </w:tc>
        <w:tc>
          <w:tcPr>
            <w:tcW w:type="dxa" w:w="1361"/>
            <w:shd w:val="clear" w:color="auto" w:fill="F3F5F8"/>
          </w:tcPr>
          <w:p>
            <w:pPr>
              <w:spacing w:after="0"/>
              <w:jc w:val="right"/>
            </w:pPr>
            <w:r/>
            <w:r>
              <w:rPr>
                <w:sz w:val="17"/>
              </w:rPr>
              <w:t>3.9</w:t>
            </w:r>
          </w:p>
        </w:tc>
        <w:tc>
          <w:tcPr>
            <w:tcW w:type="dxa" w:w="1361"/>
            <w:shd w:val="clear" w:color="auto" w:fill="F3F5F8"/>
          </w:tcPr>
          <w:p>
            <w:pPr>
              <w:spacing w:after="0"/>
              <w:jc w:val="right"/>
            </w:pPr>
            <w:r/>
            <w:r>
              <w:rPr>
                <w:sz w:val="17"/>
              </w:rPr>
              <w:t>4.6</w:t>
            </w:r>
          </w:p>
        </w:tc>
      </w:tr>
    </w:tbl>
    <w:p>
      <w:pPr>
        <w:spacing w:after="40"/>
      </w:pPr>
    </w:p>
    <w:p>
      <w:pPr>
        <w:keepNext/>
        <w:spacing w:after="40"/>
        <w:jc w:val="center"/>
      </w:pPr>
      <w:r>
        <w:drawing>
          <wp:inline xmlns:a="http://schemas.openxmlformats.org/drawingml/2006/main" xmlns:pic="http://schemas.openxmlformats.org/drawingml/2006/picture">
            <wp:extent cx="5472000" cy="2888000"/>
            <wp:docPr id="11" name="Picture 11"/>
            <wp:cNvGraphicFramePr>
              <a:graphicFrameLocks noChangeAspect="1"/>
            </wp:cNvGraphicFramePr>
            <a:graphic>
              <a:graphicData uri="http://schemas.openxmlformats.org/drawingml/2006/picture">
                <pic:pic>
                  <pic:nvPicPr>
                    <pic:cNvPr id="0" name="fig10_capacity_gap.png"/>
                    <pic:cNvPicPr/>
                  </pic:nvPicPr>
                  <pic:blipFill>
                    <a:blip r:embed="rId21"/>
                    <a:stretch>
                      <a:fillRect/>
                    </a:stretch>
                  </pic:blipFill>
                  <pic:spPr>
                    <a:xfrm>
                      <a:off x="0" y="0"/>
                      <a:ext cx="5472000" cy="2888000"/>
                    </a:xfrm>
                    <a:prstGeom prst="rect"/>
                  </pic:spPr>
                </pic:pic>
              </a:graphicData>
            </a:graphic>
          </wp:inline>
        </w:drawing>
      </w:r>
    </w:p>
    <w:p>
      <w:pPr>
        <w:jc w:val="center"/>
      </w:pPr>
      <w:r>
        <w:rPr>
          <w:i/>
          <w:color w:val="555555"/>
          <w:sz w:val="18"/>
        </w:rPr>
        <w:t>Figure 11. New capacity needed by 2035 under three technology mixes and three demand paths (imports and thermal held at 2025 levels).</w:t>
      </w:r>
    </w:p>
    <w:p>
      <w:pPr>
        <w:pStyle w:val="Heading2"/>
      </w:pPr>
      <w:r>
        <w:t>7.3  Interpretation</w:t>
      </w:r>
    </w:p>
    <w:p>
      <w:pPr>
        <w:pStyle w:val="ListBullet"/>
        <w:spacing w:after="60"/>
      </w:pPr>
      <w:r>
        <w:t>In the base case, Kenya needs an additional 4.0 TWh of supply by 2030 and 9.3 TWh by 2035. That is 0.93 TWh a year, 2.2 times the 0.42 TWh a year added in 2015–2025 and 2.0 times the 0.47 TWh a year of the last five years.</w:t>
      </w:r>
    </w:p>
    <w:p>
      <w:pPr>
        <w:pStyle w:val="ListBullet"/>
        <w:spacing w:after="60"/>
      </w:pPr>
      <w:r>
        <w:t>The technology mix matters for the gigawatts needed. Because geothermal runs at a far higher capacity factor, a geothermal-led programme needs 2.2 GW against 3.1 GW for a solar-heavy one to deliver the same energy. Lower-capacity-factor technologies need more physical plant, more land and more transmission for the same TWh, and they bring more variability.</w:t>
      </w:r>
    </w:p>
    <w:p>
      <w:pPr>
        <w:pStyle w:val="ListBullet"/>
        <w:spacing w:after="60"/>
      </w:pPr>
      <w:r>
        <w:t>The 80% demand band alone spans 1.5 to 3.9 GW (balanced mix): planning uncertainty in demand is as large as the choice of technology. A programme that is robust across the band needs staged commitments that can be accelerated if demand tracks the upper path.</w:t>
      </w:r>
    </w:p>
    <w:p>
      <w:pPr>
        <w:pStyle w:val="ListBullet"/>
        <w:spacing w:after="60"/>
      </w:pPr>
      <w:r>
        <w:t>Phasing imports and thermal down to 5% each adds comparatively little in the base case by 2035, because the system is already growing so fast that fixed 2025 import and thermal volumes become a small share of demand.</w:t>
      </w:r>
    </w:p>
    <w:tbl>
      <w:tblPr>
        <w:tblW w:type="auto" w:w="0"/>
        <w:jc w:val="center"/>
        <w:tblLook w:firstColumn="1" w:firstRow="1" w:lastColumn="0" w:lastRow="0" w:noHBand="0" w:noVBand="1" w:val="04A0"/>
      </w:tblPr>
      <w:tblGrid>
        <w:gridCol w:w="9184"/>
      </w:tblGrid>
      <w:tr>
        <w:tc>
          <w:tcPr>
            <w:tcW w:type="dxa" w:w="9184"/>
            <w:shd w:val="clear" w:color="auto" w:fill="EAF1FB"/>
          </w:tcPr>
          <w:p>
            <w:r>
              <w:rPr>
                <w:b/>
              </w:rPr>
              <w:t>A caution on the gigawatt figures</w:t>
            </w:r>
          </w:p>
          <w:p>
            <w:pPr>
              <w:spacing w:after="40"/>
            </w:pPr>
            <w:r>
              <w:t>These are indicative. They convert annual energy to capacity with assumed capacity factors, and ignore reserve margins, transmission losses, curtailment, retirements, storage and the need for firm capacity at peak. The energy gap in TWh is the more reliable number; the GW figures show relative scale and the effect of the technology mix.</w:t>
            </w:r>
          </w:p>
        </w:tc>
      </w:tr>
    </w:tbl>
    <w:p>
      <w:pPr>
        <w:spacing w:after="40"/>
      </w:pPr>
    </w:p>
    <w:p>
      <w:r>
        <w:br w:type="page"/>
      </w:r>
    </w:p>
    <w:p>
      <w:pPr>
        <w:pStyle w:val="Heading1"/>
      </w:pPr>
      <w:r>
        <w:t>8  Recommendations for energy planners</w:t>
      </w:r>
    </w:p>
    <w:p>
      <w:pPr>
        <w:pStyle w:val="Heading2"/>
      </w:pPr>
      <w:r>
        <w:t>8.1  Monitoring: what to track and how often</w:t>
      </w:r>
    </w:p>
    <w:p>
      <w:pPr>
        <w:keepNext/>
        <w:spacing w:after="60"/>
      </w:pPr>
      <w:r>
        <w:rPr>
          <w:b/>
          <w:color w:val="555555"/>
          <w:sz w:val="19"/>
        </w:rPr>
        <w:t>Table 11. Proposed monitoring dashboard</w:t>
      </w:r>
    </w:p>
    <w:tbl>
      <w:tblPr>
        <w:tblStyle w:val="TableGrid"/>
        <w:tblW w:type="auto" w:w="0"/>
        <w:jc w:val="center"/>
        <w:tblLook w:firstColumn="1" w:firstRow="1" w:lastColumn="0" w:lastRow="0" w:noHBand="0" w:noVBand="1" w:val="04A0"/>
      </w:tblPr>
      <w:tblGrid>
        <w:gridCol w:w="3061"/>
        <w:gridCol w:w="3061"/>
        <w:gridCol w:w="3061"/>
      </w:tblGrid>
      <w:tr>
        <w:tc>
          <w:tcPr>
            <w:tcW w:type="dxa" w:w="2608"/>
            <w:shd w:val="clear" w:color="auto" w:fill="1F4E8C"/>
          </w:tcPr>
          <w:p>
            <w:r/>
            <w:r>
              <w:rPr>
                <w:b/>
                <w:color w:val="FFFFFF"/>
                <w:sz w:val="18"/>
              </w:rPr>
              <w:t>Indicator</w:t>
            </w:r>
          </w:p>
        </w:tc>
        <w:tc>
          <w:tcPr>
            <w:tcW w:type="dxa" w:w="1587"/>
            <w:shd w:val="clear" w:color="auto" w:fill="1F4E8C"/>
          </w:tcPr>
          <w:p>
            <w:r/>
            <w:r>
              <w:rPr>
                <w:b/>
                <w:color w:val="FFFFFF"/>
                <w:sz w:val="18"/>
              </w:rPr>
              <w:t>Frequency</w:t>
            </w:r>
          </w:p>
        </w:tc>
        <w:tc>
          <w:tcPr>
            <w:tcW w:type="dxa" w:w="5102"/>
            <w:shd w:val="clear" w:color="auto" w:fill="1F4E8C"/>
          </w:tcPr>
          <w:p>
            <w:r/>
            <w:r>
              <w:rPr>
                <w:b/>
                <w:color w:val="FFFFFF"/>
                <w:sz w:val="18"/>
              </w:rPr>
              <w:t>Why</w:t>
            </w:r>
          </w:p>
        </w:tc>
      </w:tr>
      <w:tr>
        <w:tc>
          <w:tcPr>
            <w:tcW w:type="dxa" w:w="2608"/>
          </w:tcPr>
          <w:p>
            <w:pPr>
              <w:spacing w:after="0"/>
            </w:pPr>
            <w:r/>
            <w:r>
              <w:rPr>
                <w:sz w:val="18"/>
              </w:rPr>
              <w:t>Net imports as % of demand</w:t>
            </w:r>
          </w:p>
        </w:tc>
        <w:tc>
          <w:tcPr>
            <w:tcW w:type="dxa" w:w="1587"/>
          </w:tcPr>
          <w:p>
            <w:pPr>
              <w:spacing w:after="0"/>
            </w:pPr>
            <w:r/>
            <w:r>
              <w:rPr>
                <w:sz w:val="18"/>
              </w:rPr>
              <w:t>Monthly</w:t>
            </w:r>
          </w:p>
        </w:tc>
        <w:tc>
          <w:tcPr>
            <w:tcW w:type="dxa" w:w="5102"/>
          </w:tcPr>
          <w:p>
            <w:pPr>
              <w:spacing w:after="0"/>
            </w:pPr>
            <w:r/>
            <w:r>
              <w:rPr>
                <w:sz w:val="18"/>
              </w:rPr>
              <w:t>Early signal of dependence on interconnectors; our 2025 value is 9.8%. Set an alert threshold and review the stress test when it is crossed.</w:t>
            </w:r>
          </w:p>
        </w:tc>
      </w:tr>
      <w:tr>
        <w:tc>
          <w:tcPr>
            <w:tcW w:type="dxa" w:w="2608"/>
            <w:shd w:val="clear" w:color="auto" w:fill="F3F5F8"/>
          </w:tcPr>
          <w:p>
            <w:pPr>
              <w:spacing w:after="0"/>
            </w:pPr>
            <w:r/>
            <w:r>
              <w:rPr>
                <w:sz w:val="18"/>
              </w:rPr>
              <w:t>Thermal availability and fuel stocks</w:t>
            </w:r>
          </w:p>
        </w:tc>
        <w:tc>
          <w:tcPr>
            <w:tcW w:type="dxa" w:w="1587"/>
            <w:shd w:val="clear" w:color="auto" w:fill="F3F5F8"/>
          </w:tcPr>
          <w:p>
            <w:pPr>
              <w:spacing w:after="0"/>
            </w:pPr>
            <w:r/>
            <w:r>
              <w:rPr>
                <w:sz w:val="18"/>
              </w:rPr>
              <w:t>Monthly</w:t>
            </w:r>
          </w:p>
        </w:tc>
        <w:tc>
          <w:tcPr>
            <w:tcW w:type="dxa" w:w="5102"/>
            <w:shd w:val="clear" w:color="auto" w:fill="F3F5F8"/>
          </w:tcPr>
          <w:p>
            <w:pPr>
              <w:spacing w:after="0"/>
            </w:pPr>
            <w:r/>
            <w:r>
              <w:rPr>
                <w:sz w:val="18"/>
              </w:rPr>
              <w:t>Thermal plant is the system's main buffer. Its available energy, not its nameplate, determines whether a drought plus import loss is survivable.</w:t>
            </w:r>
          </w:p>
        </w:tc>
      </w:tr>
      <w:tr>
        <w:tc>
          <w:tcPr>
            <w:tcW w:type="dxa" w:w="2608"/>
          </w:tcPr>
          <w:p>
            <w:pPr>
              <w:spacing w:after="0"/>
            </w:pPr>
            <w:r/>
            <w:r>
              <w:rPr>
                <w:sz w:val="18"/>
              </w:rPr>
              <w:t>Hydro output vs five-year average</w:t>
            </w:r>
          </w:p>
        </w:tc>
        <w:tc>
          <w:tcPr>
            <w:tcW w:type="dxa" w:w="1587"/>
          </w:tcPr>
          <w:p>
            <w:pPr>
              <w:spacing w:after="0"/>
            </w:pPr>
            <w:r/>
            <w:r>
              <w:rPr>
                <w:sz w:val="18"/>
              </w:rPr>
              <w:t>Monthly during rains</w:t>
            </w:r>
          </w:p>
        </w:tc>
        <w:tc>
          <w:tcPr>
            <w:tcW w:type="dxa" w:w="5102"/>
          </w:tcPr>
          <w:p>
            <w:pPr>
              <w:spacing w:after="0"/>
            </w:pPr>
            <w:r/>
            <w:r>
              <w:rPr>
                <w:sz w:val="18"/>
              </w:rPr>
              <w:t>A hydro deviation worse than -15% triggers a review; 2000 and 2009 were -42% and -29%.</w:t>
            </w:r>
          </w:p>
        </w:tc>
      </w:tr>
      <w:tr>
        <w:tc>
          <w:tcPr>
            <w:tcW w:type="dxa" w:w="2608"/>
            <w:shd w:val="clear" w:color="auto" w:fill="F3F5F8"/>
          </w:tcPr>
          <w:p>
            <w:pPr>
              <w:spacing w:after="0"/>
            </w:pPr>
            <w:r/>
            <w:r>
              <w:rPr>
                <w:sz w:val="18"/>
              </w:rPr>
              <w:t>Demand vs forecast band</w:t>
            </w:r>
          </w:p>
        </w:tc>
        <w:tc>
          <w:tcPr>
            <w:tcW w:type="dxa" w:w="1587"/>
            <w:shd w:val="clear" w:color="auto" w:fill="F3F5F8"/>
          </w:tcPr>
          <w:p>
            <w:pPr>
              <w:spacing w:after="0"/>
            </w:pPr>
            <w:r/>
            <w:r>
              <w:rPr>
                <w:sz w:val="18"/>
              </w:rPr>
              <w:t>Quarterly</w:t>
            </w:r>
          </w:p>
        </w:tc>
        <w:tc>
          <w:tcPr>
            <w:tcW w:type="dxa" w:w="5102"/>
            <w:shd w:val="clear" w:color="auto" w:fill="F3F5F8"/>
          </w:tcPr>
          <w:p>
            <w:pPr>
              <w:spacing w:after="0"/>
            </w:pPr>
            <w:r/>
            <w:r>
              <w:rPr>
                <w:sz w:val="18"/>
              </w:rPr>
              <w:t>Re-run the model each release; flag if demand leaves the 80% band two quarters running.</w:t>
            </w:r>
          </w:p>
        </w:tc>
      </w:tr>
      <w:tr>
        <w:tc>
          <w:tcPr>
            <w:tcW w:type="dxa" w:w="2608"/>
          </w:tcPr>
          <w:p>
            <w:pPr>
              <w:spacing w:after="0"/>
            </w:pPr>
            <w:r/>
            <w:r>
              <w:rPr>
                <w:sz w:val="18"/>
              </w:rPr>
              <w:t>Share of the largest source</w:t>
            </w:r>
          </w:p>
        </w:tc>
        <w:tc>
          <w:tcPr>
            <w:tcW w:type="dxa" w:w="1587"/>
          </w:tcPr>
          <w:p>
            <w:pPr>
              <w:spacing w:after="0"/>
            </w:pPr>
            <w:r/>
            <w:r>
              <w:rPr>
                <w:sz w:val="18"/>
              </w:rPr>
              <w:t>Annual</w:t>
            </w:r>
          </w:p>
        </w:tc>
        <w:tc>
          <w:tcPr>
            <w:tcW w:type="dxa" w:w="5102"/>
          </w:tcPr>
          <w:p>
            <w:pPr>
              <w:spacing w:after="0"/>
            </w:pPr>
            <w:r/>
            <w:r>
              <w:rPr>
                <w:sz w:val="18"/>
              </w:rPr>
              <w:t>Keeps the diversification advantage visible.</w:t>
            </w:r>
          </w:p>
        </w:tc>
      </w:tr>
    </w:tbl>
    <w:p>
      <w:pPr>
        <w:spacing w:after="40"/>
      </w:pPr>
    </w:p>
    <w:p>
      <w:pPr>
        <w:pStyle w:val="Heading2"/>
      </w:pPr>
      <w:r>
        <w:t>8.2  Supply planning</w:t>
      </w:r>
    </w:p>
    <w:p>
      <w:pPr>
        <w:pStyle w:val="ListBullet"/>
        <w:spacing w:after="60"/>
      </w:pPr>
      <w:r>
        <w:t>Plan on the central demand path but pre-position options for the upper band; the cost of being late is higher than the cost of options.</w:t>
      </w:r>
    </w:p>
    <w:p>
      <w:pPr>
        <w:pStyle w:val="ListBullet"/>
        <w:spacing w:after="60"/>
      </w:pPr>
      <w:r>
        <w:t>Prefer firm, high-capacity-factor additions (geothermal, where resource and finance allow) for the energy backbone, and use wind and solar for volume and speed, rather than treating the choice as either-or.</w:t>
      </w:r>
    </w:p>
    <w:p>
      <w:pPr>
        <w:pStyle w:val="ListBullet"/>
        <w:spacing w:after="60"/>
      </w:pPr>
      <w:r>
        <w:t>Treat imports as a complement to domestic supply and not a substitute for it. Pair any growth in contracted imports with matching thermal or storage reserve.</w:t>
      </w:r>
    </w:p>
    <w:p>
      <w:pPr>
        <w:pStyle w:val="ListBullet"/>
        <w:spacing w:after="60"/>
      </w:pPr>
      <w:r>
        <w:t>Test thermal fuel supply and maintenance schedules as part of strategic-stock planning, since the combined-shock result depends heavily on thermal availability.</w:t>
      </w:r>
    </w:p>
    <w:p>
      <w:pPr>
        <w:pStyle w:val="Heading2"/>
      </w:pPr>
      <w:r>
        <w:t>8.3  Data improvements</w:t>
      </w:r>
    </w:p>
    <w:p>
      <w:pPr>
        <w:pStyle w:val="ListBullet"/>
        <w:spacing w:after="60"/>
      </w:pPr>
      <w:r>
        <w:t>Publish monthly generation, peak demand and reservoir levels in open formats. These would allow seasonal models and peak-adequacy analysis that annual data cannot support.</w:t>
      </w:r>
    </w:p>
    <w:p>
      <w:pPr>
        <w:pStyle w:val="ListBullet"/>
        <w:spacing w:after="60"/>
      </w:pPr>
      <w:r>
        <w:t>Report installed capacity for geothermal and other renewables; the zero values in international datasets undermine reserve-margin analysis.</w:t>
      </w:r>
    </w:p>
    <w:p>
      <w:pPr>
        <w:pStyle w:val="ListBullet"/>
        <w:spacing w:after="60"/>
      </w:pPr>
      <w:r>
        <w:t>Record the origin of imports, so that dependence on a single interconnector can be measured directly.</w:t>
      </w:r>
    </w:p>
    <w:p>
      <w:r>
        <w:br w:type="page"/>
      </w:r>
    </w:p>
    <w:p>
      <w:pPr>
        <w:pStyle w:val="Heading1"/>
      </w:pPr>
      <w:r>
        <w:t>9  Limitations and threats to validity</w:t>
      </w:r>
    </w:p>
    <w:p>
      <w:pPr>
        <w:pStyle w:val="ListBullet"/>
        <w:spacing w:after="60"/>
      </w:pPr>
      <w:r>
        <w:rPr>
          <w:b/>
        </w:rPr>
        <w:t xml:space="preserve">Small sample. </w:t>
      </w:r>
      <w:r>
        <w:t>Twenty-six annual observations limit model complexity, and prediction intervals beyond three years rest on an assumption that cannot be verified.</w:t>
      </w:r>
    </w:p>
    <w:p>
      <w:pPr>
        <w:pStyle w:val="ListBullet"/>
        <w:spacing w:after="60"/>
      </w:pPr>
      <w:r>
        <w:rPr>
          <w:b/>
        </w:rPr>
        <w:t xml:space="preserve">Selection step in the ensemble. </w:t>
      </w:r>
      <w:r>
        <w:t>Members were chosen after a first backtest; backtest accuracy is mildly optimistic.</w:t>
      </w:r>
    </w:p>
    <w:p>
      <w:pPr>
        <w:pStyle w:val="ListBullet"/>
        <w:spacing w:after="60"/>
      </w:pPr>
      <w:r>
        <w:rPr>
          <w:b/>
        </w:rPr>
        <w:t xml:space="preserve">Annual energy, not power. </w:t>
      </w:r>
      <w:r>
        <w:t>No peak, seasonal or hourly analysis; the stress tests are a lower bound on risk.</w:t>
      </w:r>
    </w:p>
    <w:p>
      <w:pPr>
        <w:pStyle w:val="ListBullet"/>
        <w:spacing w:after="60"/>
      </w:pPr>
      <w:r>
        <w:rPr>
          <w:b/>
        </w:rPr>
        <w:t xml:space="preserve">Index design is a judgement. </w:t>
      </w:r>
      <w:r>
        <w:t>Four pillars, equal weights and winsorisation choices shape the ranking. Robustness checks show Kenya's lead is typical but not guaranteed.</w:t>
      </w:r>
    </w:p>
    <w:p>
      <w:pPr>
        <w:pStyle w:val="ListBullet"/>
        <w:spacing w:after="60"/>
      </w:pPr>
      <w:r>
        <w:rPr>
          <w:b/>
        </w:rPr>
        <w:t xml:space="preserve">Thermal capacity assumption. </w:t>
      </w:r>
      <w:r>
        <w:t>Thermal ceiling uses an assumed 65% availability and Ember's reported fossil capacity of 0.57 GW; Section 6.2 shows how sensitive the combined-shock result is to it.</w:t>
      </w:r>
    </w:p>
    <w:p>
      <w:pPr>
        <w:pStyle w:val="ListBullet"/>
        <w:spacing w:after="60"/>
      </w:pPr>
      <w:r>
        <w:rPr>
          <w:b/>
        </w:rPr>
        <w:t xml:space="preserve">Capacity factors for new plant </w:t>
      </w:r>
      <w:r>
        <w:t>are assumptions, not forecasts of project performance.</w:t>
      </w:r>
    </w:p>
    <w:p>
      <w:pPr>
        <w:pStyle w:val="ListBullet"/>
        <w:spacing w:after="60"/>
      </w:pPr>
      <w:r>
        <w:rPr>
          <w:b/>
        </w:rPr>
        <w:t xml:space="preserve">No economics. </w:t>
      </w:r>
      <w:r>
        <w:t>The open datasets contain no tariffs, fuel prices or investment costs. The analysis says what is needed and how risky the system is, not what it costs.</w:t>
      </w:r>
    </w:p>
    <w:p>
      <w:pPr>
        <w:pStyle w:val="ListBullet"/>
        <w:spacing w:after="60"/>
      </w:pPr>
      <w:r>
        <w:rPr>
          <w:b/>
        </w:rPr>
        <w:t xml:space="preserve">Peer comparability. </w:t>
      </w:r>
      <w:r>
        <w:t>Differences in metering, definitions and data quality across countries (especially for small systems such as Burundi) affect the benchmarking.</w:t>
      </w:r>
    </w:p>
    <w:p>
      <w:pPr>
        <w:pStyle w:val="ListBullet"/>
        <w:spacing w:after="60"/>
      </w:pPr>
      <w:r>
        <w:rPr>
          <w:b/>
        </w:rPr>
        <w:t xml:space="preserve">Data revisions. </w:t>
      </w:r>
      <w:r>
        <w:t>The latest year can change; results should be refreshed with each release.</w:t>
      </w:r>
    </w:p>
    <w:p>
      <w:r>
        <w:br w:type="page"/>
      </w:r>
    </w:p>
    <w:p>
      <w:pPr>
        <w:pStyle w:val="Heading1"/>
      </w:pPr>
      <w:r>
        <w:t>10  Conclusion</w:t>
      </w:r>
    </w:p>
    <w:p>
      <w:r>
        <w:rPr>
          <w:i w:val="0"/>
        </w:rPr>
        <w:t>Kenya's electricity system is large, fast-growing and unusually diversified. Demand is likely to reach about 20 TWh by 2030 and 25 TWh by 2035, with a plausible range of 21.0–29.4 TWh in 2035. The system's structural security is the best among ten regional peers, and its low-carbon mix is a genuine asset. Its main emerging vulnerability is dependence on imported electricity, and its main buffer is a small fleet of thermal plant whose availability matters more than its size.</w:t>
      </w:r>
    </w:p>
    <w:p>
      <w:r>
        <w:rPr>
          <w:i w:val="0"/>
        </w:rPr>
        <w:t>Meeting base-case demand means building at roughly twice the pace of the last decade. The analysis suggests where to focus: firm domestic supply, a monitored thermal reserve, a watched import share, and better data. Every figure in this report can be regenerated from the open datasets and the accompanying code, and the method is general: the same pipeline can be pointed at any country in the Ember data.</w:t>
      </w:r>
    </w:p>
    <w:p>
      <w:r>
        <w:br w:type="page"/>
      </w:r>
    </w:p>
    <w:p>
      <w:pPr>
        <w:pStyle w:val="Heading1"/>
      </w:pPr>
      <w:r>
        <w:t>Appendix A  Glossary</w:t>
      </w:r>
    </w:p>
    <w:p>
      <w:pPr>
        <w:spacing w:after="60"/>
      </w:pPr>
      <w:r>
        <w:rPr>
          <w:b/>
        </w:rPr>
        <w:t xml:space="preserve">TWh / GW </w:t>
      </w:r>
      <w:r>
        <w:rPr>
          <w:i w:val="0"/>
        </w:rPr>
        <w:t>Terawatt-hour (a billion kWh) of energy; gigawatt of power capacity.</w:t>
      </w:r>
    </w:p>
    <w:p>
      <w:pPr>
        <w:spacing w:after="60"/>
      </w:pPr>
      <w:r>
        <w:rPr>
          <w:b/>
        </w:rPr>
        <w:t xml:space="preserve">Capacity factor </w:t>
      </w:r>
      <w:r>
        <w:rPr>
          <w:i w:val="0"/>
        </w:rPr>
        <w:t>Actual annual output as a fraction of what the plant would produce running at full power all year.</w:t>
      </w:r>
    </w:p>
    <w:p>
      <w:pPr>
        <w:spacing w:after="60"/>
      </w:pPr>
      <w:r>
        <w:rPr>
          <w:b/>
        </w:rPr>
        <w:t xml:space="preserve">MAPE </w:t>
      </w:r>
      <w:r>
        <w:rPr>
          <w:i w:val="0"/>
        </w:rPr>
        <w:t>Mean absolute percentage error: the average size of forecast misses as a percent of the actual value.</w:t>
      </w:r>
    </w:p>
    <w:p>
      <w:pPr>
        <w:spacing w:after="60"/>
      </w:pPr>
      <w:r>
        <w:rPr>
          <w:b/>
        </w:rPr>
        <w:t xml:space="preserve">Rolling-origin backtest </w:t>
      </w:r>
      <w:r>
        <w:rPr>
          <w:i w:val="0"/>
        </w:rPr>
        <w:t>Repeatedly fitting a model on data up to a year, forecasting ahead, and scoring against what happened.</w:t>
      </w:r>
    </w:p>
    <w:p>
      <w:pPr>
        <w:spacing w:after="60"/>
      </w:pPr>
      <w:r>
        <w:rPr>
          <w:b/>
        </w:rPr>
        <w:t xml:space="preserve">ARIMA / ETS </w:t>
      </w:r>
      <w:r>
        <w:rPr>
          <w:i w:val="0"/>
        </w:rPr>
        <w:t>Standard time-series model families: autoregressive integrated moving average and exponential smoothing.</w:t>
      </w:r>
    </w:p>
    <w:p>
      <w:pPr>
        <w:spacing w:after="60"/>
      </w:pPr>
      <w:r>
        <w:rPr>
          <w:b/>
        </w:rPr>
        <w:t xml:space="preserve">HHI </w:t>
      </w:r>
      <w:r>
        <w:rPr>
          <w:i w:val="0"/>
        </w:rPr>
        <w:t>Herfindahl–Hirschman index: sum of squared shares; higher means more concentrated.</w:t>
      </w:r>
    </w:p>
    <w:p>
      <w:pPr>
        <w:spacing w:after="60"/>
      </w:pPr>
      <w:r>
        <w:rPr>
          <w:b/>
        </w:rPr>
        <w:t xml:space="preserve">Winsorise </w:t>
      </w:r>
      <w:r>
        <w:rPr>
          <w:i w:val="0"/>
        </w:rPr>
        <w:t>Cap extreme values at chosen percentiles so outliers do not dominate scaling.</w:t>
      </w:r>
    </w:p>
    <w:p>
      <w:pPr>
        <w:spacing w:after="60"/>
      </w:pPr>
      <w:r>
        <w:rPr>
          <w:b/>
        </w:rPr>
        <w:t xml:space="preserve">Net imports </w:t>
      </w:r>
      <w:r>
        <w:rPr>
          <w:i w:val="0"/>
        </w:rPr>
        <w:t>Imports minus exports of electricity.</w:t>
      </w:r>
    </w:p>
    <w:p>
      <w:pPr>
        <w:spacing w:after="60"/>
      </w:pPr>
      <w:r>
        <w:rPr>
          <w:b/>
        </w:rPr>
        <w:t xml:space="preserve">Interval (80% / 95%) </w:t>
      </w:r>
      <w:r>
        <w:rPr>
          <w:i w:val="0"/>
        </w:rPr>
        <w:t>Range expected to contain the outcome with that probability, given the model's historical errors.</w:t>
      </w:r>
    </w:p>
    <w:p>
      <w:r>
        <w:br w:type="page"/>
      </w:r>
    </w:p>
    <w:p>
      <w:pPr>
        <w:pStyle w:val="Heading1"/>
      </w:pPr>
      <w:r>
        <w:t>Appendix B  Data dictionary (analysis tables)</w:t>
      </w:r>
    </w:p>
    <w:tbl>
      <w:tblPr>
        <w:tblStyle w:val="TableGrid"/>
        <w:tblW w:type="auto" w:w="0"/>
        <w:jc w:val="center"/>
        <w:tblLook w:firstColumn="1" w:firstRow="1" w:lastColumn="0" w:lastRow="0" w:noHBand="0" w:noVBand="1" w:val="04A0"/>
      </w:tblPr>
      <w:tblGrid>
        <w:gridCol w:w="4592"/>
        <w:gridCol w:w="4592"/>
      </w:tblGrid>
      <w:tr>
        <w:tc>
          <w:tcPr>
            <w:tcW w:type="dxa" w:w="4195"/>
            <w:shd w:val="clear" w:color="auto" w:fill="1F4E8C"/>
          </w:tcPr>
          <w:p>
            <w:r/>
            <w:r>
              <w:rPr>
                <w:b/>
                <w:color w:val="FFFFFF"/>
                <w:sz w:val="18"/>
              </w:rPr>
              <w:t>Field</w:t>
            </w:r>
          </w:p>
        </w:tc>
        <w:tc>
          <w:tcPr>
            <w:tcW w:type="dxa" w:w="5102"/>
            <w:shd w:val="clear" w:color="auto" w:fill="1F4E8C"/>
          </w:tcPr>
          <w:p>
            <w:r/>
            <w:r>
              <w:rPr>
                <w:b/>
                <w:color w:val="FFFFFF"/>
                <w:sz w:val="18"/>
              </w:rPr>
              <w:t>Description</w:t>
            </w:r>
          </w:p>
        </w:tc>
      </w:tr>
      <w:tr>
        <w:tc>
          <w:tcPr>
            <w:tcW w:type="dxa" w:w="4195"/>
          </w:tcPr>
          <w:p>
            <w:pPr>
              <w:spacing w:after="0"/>
            </w:pPr>
            <w:r/>
            <w:r>
              <w:rPr>
                <w:sz w:val="18"/>
              </w:rPr>
              <w:t>country, year</w:t>
            </w:r>
          </w:p>
        </w:tc>
        <w:tc>
          <w:tcPr>
            <w:tcW w:type="dxa" w:w="5102"/>
          </w:tcPr>
          <w:p>
            <w:pPr>
              <w:spacing w:after="0"/>
            </w:pPr>
            <w:r/>
            <w:r>
              <w:rPr>
                <w:sz w:val="18"/>
              </w:rPr>
              <w:t>Panel keys</w:t>
            </w:r>
          </w:p>
        </w:tc>
      </w:tr>
      <w:tr>
        <w:tc>
          <w:tcPr>
            <w:tcW w:type="dxa" w:w="4195"/>
            <w:shd w:val="clear" w:color="auto" w:fill="F3F5F8"/>
          </w:tcPr>
          <w:p>
            <w:pPr>
              <w:spacing w:after="0"/>
            </w:pPr>
            <w:r/>
            <w:r>
              <w:rPr>
                <w:sz w:val="18"/>
              </w:rPr>
              <w:t>hydro, geothermal_other_ren, wind, solar, bioenergy, coal, gas, other_fossil, nuclear</w:t>
            </w:r>
          </w:p>
        </w:tc>
        <w:tc>
          <w:tcPr>
            <w:tcW w:type="dxa" w:w="5102"/>
            <w:shd w:val="clear" w:color="auto" w:fill="F3F5F8"/>
          </w:tcPr>
          <w:p>
            <w:pPr>
              <w:spacing w:after="0"/>
            </w:pPr>
            <w:r/>
            <w:r>
              <w:rPr>
                <w:sz w:val="18"/>
              </w:rPr>
              <w:t>Generation by source (TWh), Ember</w:t>
            </w:r>
          </w:p>
        </w:tc>
      </w:tr>
      <w:tr>
        <w:tc>
          <w:tcPr>
            <w:tcW w:type="dxa" w:w="4195"/>
          </w:tcPr>
          <w:p>
            <w:pPr>
              <w:spacing w:after="0"/>
            </w:pPr>
            <w:r/>
            <w:r>
              <w:rPr>
                <w:sz w:val="18"/>
              </w:rPr>
              <w:t>generation</w:t>
            </w:r>
          </w:p>
        </w:tc>
        <w:tc>
          <w:tcPr>
            <w:tcW w:type="dxa" w:w="5102"/>
          </w:tcPr>
          <w:p>
            <w:pPr>
              <w:spacing w:after="0"/>
            </w:pPr>
            <w:r/>
            <w:r>
              <w:rPr>
                <w:sz w:val="18"/>
              </w:rPr>
              <w:t>Total generation (TWh)</w:t>
            </w:r>
          </w:p>
        </w:tc>
      </w:tr>
      <w:tr>
        <w:tc>
          <w:tcPr>
            <w:tcW w:type="dxa" w:w="4195"/>
            <w:shd w:val="clear" w:color="auto" w:fill="F3F5F8"/>
          </w:tcPr>
          <w:p>
            <w:pPr>
              <w:spacing w:after="0"/>
            </w:pPr>
            <w:r/>
            <w:r>
              <w:rPr>
                <w:sz w:val="18"/>
              </w:rPr>
              <w:t>net_imports</w:t>
            </w:r>
          </w:p>
        </w:tc>
        <w:tc>
          <w:tcPr>
            <w:tcW w:type="dxa" w:w="5102"/>
            <w:shd w:val="clear" w:color="auto" w:fill="F3F5F8"/>
          </w:tcPr>
          <w:p>
            <w:pPr>
              <w:spacing w:after="0"/>
            </w:pPr>
            <w:r/>
            <w:r>
              <w:rPr>
                <w:sz w:val="18"/>
              </w:rPr>
              <w:t>Imports minus exports (TWh)</w:t>
            </w:r>
          </w:p>
        </w:tc>
      </w:tr>
      <w:tr>
        <w:tc>
          <w:tcPr>
            <w:tcW w:type="dxa" w:w="4195"/>
          </w:tcPr>
          <w:p>
            <w:pPr>
              <w:spacing w:after="0"/>
            </w:pPr>
            <w:r/>
            <w:r>
              <w:rPr>
                <w:sz w:val="18"/>
              </w:rPr>
              <w:t>demand</w:t>
            </w:r>
          </w:p>
        </w:tc>
        <w:tc>
          <w:tcPr>
            <w:tcW w:type="dxa" w:w="5102"/>
          </w:tcPr>
          <w:p>
            <w:pPr>
              <w:spacing w:after="0"/>
            </w:pPr>
            <w:r/>
            <w:r>
              <w:rPr>
                <w:sz w:val="18"/>
              </w:rPr>
              <w:t>Electricity demand = generation + net imports (TWh)</w:t>
            </w:r>
          </w:p>
        </w:tc>
      </w:tr>
      <w:tr>
        <w:tc>
          <w:tcPr>
            <w:tcW w:type="dxa" w:w="4195"/>
            <w:shd w:val="clear" w:color="auto" w:fill="F3F5F8"/>
          </w:tcPr>
          <w:p>
            <w:pPr>
              <w:spacing w:after="0"/>
            </w:pPr>
            <w:r/>
            <w:r>
              <w:rPr>
                <w:sz w:val="18"/>
              </w:rPr>
              <w:t>fossil, clean, renewables</w:t>
            </w:r>
          </w:p>
        </w:tc>
        <w:tc>
          <w:tcPr>
            <w:tcW w:type="dxa" w:w="5102"/>
            <w:shd w:val="clear" w:color="auto" w:fill="F3F5F8"/>
          </w:tcPr>
          <w:p>
            <w:pPr>
              <w:spacing w:after="0"/>
            </w:pPr>
            <w:r/>
            <w:r>
              <w:rPr>
                <w:sz w:val="18"/>
              </w:rPr>
              <w:t>Ember aggregates (TWh)</w:t>
            </w:r>
          </w:p>
        </w:tc>
      </w:tr>
      <w:tr>
        <w:tc>
          <w:tcPr>
            <w:tcW w:type="dxa" w:w="4195"/>
          </w:tcPr>
          <w:p>
            <w:pPr>
              <w:spacing w:after="0"/>
            </w:pPr>
            <w:r/>
            <w:r>
              <w:rPr>
                <w:sz w:val="18"/>
              </w:rPr>
              <w:t>emissions_mtco2e, emissions_intensity_g_kwh</w:t>
            </w:r>
          </w:p>
        </w:tc>
        <w:tc>
          <w:tcPr>
            <w:tcW w:type="dxa" w:w="5102"/>
          </w:tcPr>
          <w:p>
            <w:pPr>
              <w:spacing w:after="0"/>
            </w:pPr>
            <w:r/>
            <w:r>
              <w:rPr>
                <w:sz w:val="18"/>
              </w:rPr>
              <w:t>Power-sector emissions (Mt CO2e) and intensity (g/kWh)</w:t>
            </w:r>
          </w:p>
        </w:tc>
      </w:tr>
      <w:tr>
        <w:tc>
          <w:tcPr>
            <w:tcW w:type="dxa" w:w="4195"/>
            <w:shd w:val="clear" w:color="auto" w:fill="F3F5F8"/>
          </w:tcPr>
          <w:p>
            <w:pPr>
              <w:spacing w:after="0"/>
            </w:pPr>
            <w:r/>
            <w:r>
              <w:rPr>
                <w:sz w:val="18"/>
              </w:rPr>
              <w:t>population, gdp</w:t>
            </w:r>
          </w:p>
        </w:tc>
        <w:tc>
          <w:tcPr>
            <w:tcW w:type="dxa" w:w="5102"/>
            <w:shd w:val="clear" w:color="auto" w:fill="F3F5F8"/>
          </w:tcPr>
          <w:p>
            <w:pPr>
              <w:spacing w:after="0"/>
            </w:pPr>
            <w:r/>
            <w:r>
              <w:rPr>
                <w:sz w:val="18"/>
              </w:rPr>
              <w:t>OWID; GDP in 2011 international dollars</w:t>
            </w:r>
          </w:p>
        </w:tc>
      </w:tr>
      <w:tr>
        <w:tc>
          <w:tcPr>
            <w:tcW w:type="dxa" w:w="4195"/>
          </w:tcPr>
          <w:p>
            <w:pPr>
              <w:spacing w:after="0"/>
            </w:pPr>
            <w:r/>
            <w:r>
              <w:rPr>
                <w:sz w:val="18"/>
              </w:rPr>
              <w:t>demand_per_capita_kwh, gdp_per_capita</w:t>
            </w:r>
          </w:p>
        </w:tc>
        <w:tc>
          <w:tcPr>
            <w:tcW w:type="dxa" w:w="5102"/>
          </w:tcPr>
          <w:p>
            <w:pPr>
              <w:spacing w:after="0"/>
            </w:pPr>
            <w:r/>
            <w:r>
              <w:rPr>
                <w:sz w:val="18"/>
              </w:rPr>
              <w:t>Derived</w:t>
            </w:r>
          </w:p>
        </w:tc>
      </w:tr>
      <w:tr>
        <w:tc>
          <w:tcPr>
            <w:tcW w:type="dxa" w:w="4195"/>
            <w:shd w:val="clear" w:color="auto" w:fill="F3F5F8"/>
          </w:tcPr>
          <w:p>
            <w:pPr>
              <w:spacing w:after="0"/>
            </w:pPr>
            <w:r/>
            <w:r>
              <w:rPr>
                <w:sz w:val="18"/>
              </w:rPr>
              <w:t>hhi, imp_dep, fossil_share, hydro_share, hydro_vol, hydro_risk</w:t>
            </w:r>
          </w:p>
        </w:tc>
        <w:tc>
          <w:tcPr>
            <w:tcW w:type="dxa" w:w="5102"/>
            <w:shd w:val="clear" w:color="auto" w:fill="F3F5F8"/>
          </w:tcPr>
          <w:p>
            <w:pPr>
              <w:spacing w:after="0"/>
            </w:pPr>
            <w:r/>
            <w:r>
              <w:rPr>
                <w:sz w:val="18"/>
              </w:rPr>
              <w:t>Security-index inputs</w:t>
            </w:r>
          </w:p>
        </w:tc>
      </w:tr>
      <w:tr>
        <w:tc>
          <w:tcPr>
            <w:tcW w:type="dxa" w:w="4195"/>
          </w:tcPr>
          <w:p>
            <w:pPr>
              <w:spacing w:after="0"/>
            </w:pPr>
            <w:r/>
            <w:r>
              <w:rPr>
                <w:sz w:val="18"/>
              </w:rPr>
              <w:t>s_*, SSI, SSI_geo</w:t>
            </w:r>
          </w:p>
        </w:tc>
        <w:tc>
          <w:tcPr>
            <w:tcW w:type="dxa" w:w="5102"/>
          </w:tcPr>
          <w:p>
            <w:pPr>
              <w:spacing w:after="0"/>
            </w:pPr>
            <w:r/>
            <w:r>
              <w:rPr>
                <w:sz w:val="18"/>
              </w:rPr>
              <w:t>Pillar scores (0–100), equal-weight and geometric indices</w:t>
            </w:r>
          </w:p>
        </w:tc>
      </w:tr>
    </w:tbl>
    <w:p>
      <w:pPr>
        <w:spacing w:after="40"/>
      </w:pPr>
    </w:p>
    <w:p>
      <w:r>
        <w:br w:type="page"/>
      </w:r>
    </w:p>
    <w:p>
      <w:pPr>
        <w:pStyle w:val="Heading1"/>
      </w:pPr>
      <w:r>
        <w:t>Appendix C  Supporting tables</w:t>
      </w:r>
    </w:p>
    <w:p>
      <w:pPr>
        <w:keepNext/>
        <w:spacing w:after="60"/>
      </w:pPr>
      <w:r>
        <w:rPr>
          <w:b/>
          <w:color w:val="555555"/>
          <w:sz w:val="19"/>
        </w:rPr>
        <w:t>Table C1. Forecast paths and prediction intervals, 2026–2035 (TWh)</w:t>
      </w:r>
    </w:p>
    <w:tbl>
      <w:tblPr>
        <w:tblStyle w:val="TableGrid"/>
        <w:tblW w:type="auto" w:w="0"/>
        <w:jc w:val="center"/>
        <w:tblLook w:firstColumn="1" w:firstRow="1" w:lastColumn="0" w:lastRow="0" w:noHBand="0" w:noVBand="1" w:val="04A0"/>
      </w:tblPr>
      <w:tblGrid>
        <w:gridCol w:w="1020"/>
        <w:gridCol w:w="1020"/>
        <w:gridCol w:w="1020"/>
        <w:gridCol w:w="1020"/>
        <w:gridCol w:w="1020"/>
        <w:gridCol w:w="1020"/>
        <w:gridCol w:w="1020"/>
        <w:gridCol w:w="1020"/>
        <w:gridCol w:w="1020"/>
      </w:tblGrid>
      <w:tr>
        <w:tc>
          <w:tcPr>
            <w:tcW w:type="dxa" w:w="1020"/>
            <w:shd w:val="clear" w:color="auto" w:fill="1F4E8C"/>
          </w:tcPr>
          <w:p>
            <w:r/>
            <w:r>
              <w:rPr>
                <w:b/>
                <w:color w:val="FFFFFF"/>
                <w:sz w:val="17"/>
              </w:rPr>
              <w:t>Year</w:t>
            </w:r>
          </w:p>
        </w:tc>
        <w:tc>
          <w:tcPr>
            <w:tcW w:type="dxa" w:w="1020"/>
            <w:shd w:val="clear" w:color="auto" w:fill="1F4E8C"/>
          </w:tcPr>
          <w:p>
            <w:r/>
            <w:r>
              <w:rPr>
                <w:b/>
                <w:color w:val="FFFFFF"/>
                <w:sz w:val="17"/>
              </w:rPr>
              <w:t>Drift</w:t>
            </w:r>
          </w:p>
        </w:tc>
        <w:tc>
          <w:tcPr>
            <w:tcW w:type="dxa" w:w="1020"/>
            <w:shd w:val="clear" w:color="auto" w:fill="1F4E8C"/>
          </w:tcPr>
          <w:p>
            <w:r/>
            <w:r>
              <w:rPr>
                <w:b/>
                <w:color w:val="FFFFFF"/>
                <w:sz w:val="17"/>
              </w:rPr>
              <w:t>Log-trend</w:t>
            </w:r>
          </w:p>
        </w:tc>
        <w:tc>
          <w:tcPr>
            <w:tcW w:type="dxa" w:w="1020"/>
            <w:shd w:val="clear" w:color="auto" w:fill="1F4E8C"/>
          </w:tcPr>
          <w:p>
            <w:r/>
            <w:r>
              <w:rPr>
                <w:b/>
                <w:color w:val="FFFFFF"/>
                <w:sz w:val="17"/>
              </w:rPr>
              <w:t>ARIMA</w:t>
            </w:r>
          </w:p>
        </w:tc>
        <w:tc>
          <w:tcPr>
            <w:tcW w:type="dxa" w:w="1020"/>
            <w:shd w:val="clear" w:color="auto" w:fill="1F4E8C"/>
          </w:tcPr>
          <w:p>
            <w:r/>
            <w:r>
              <w:rPr>
                <w:b/>
                <w:color w:val="FFFFFF"/>
                <w:sz w:val="17"/>
              </w:rPr>
              <w:t>Ensemble</w:t>
            </w:r>
          </w:p>
        </w:tc>
        <w:tc>
          <w:tcPr>
            <w:tcW w:type="dxa" w:w="1020"/>
            <w:shd w:val="clear" w:color="auto" w:fill="1F4E8C"/>
          </w:tcPr>
          <w:p>
            <w:r/>
            <w:r>
              <w:rPr>
                <w:b/>
                <w:color w:val="FFFFFF"/>
                <w:sz w:val="17"/>
              </w:rPr>
              <w:t>Lo 80%</w:t>
            </w:r>
          </w:p>
        </w:tc>
        <w:tc>
          <w:tcPr>
            <w:tcW w:type="dxa" w:w="1020"/>
            <w:shd w:val="clear" w:color="auto" w:fill="1F4E8C"/>
          </w:tcPr>
          <w:p>
            <w:r/>
            <w:r>
              <w:rPr>
                <w:b/>
                <w:color w:val="FFFFFF"/>
                <w:sz w:val="17"/>
              </w:rPr>
              <w:t>Hi 80%</w:t>
            </w:r>
          </w:p>
        </w:tc>
        <w:tc>
          <w:tcPr>
            <w:tcW w:type="dxa" w:w="1020"/>
            <w:shd w:val="clear" w:color="auto" w:fill="1F4E8C"/>
          </w:tcPr>
          <w:p>
            <w:r/>
            <w:r>
              <w:rPr>
                <w:b/>
                <w:color w:val="FFFFFF"/>
                <w:sz w:val="17"/>
              </w:rPr>
              <w:t>Lo 95%</w:t>
            </w:r>
          </w:p>
        </w:tc>
        <w:tc>
          <w:tcPr>
            <w:tcW w:type="dxa" w:w="1020"/>
            <w:shd w:val="clear" w:color="auto" w:fill="1F4E8C"/>
          </w:tcPr>
          <w:p>
            <w:r/>
            <w:r>
              <w:rPr>
                <w:b/>
                <w:color w:val="FFFFFF"/>
                <w:sz w:val="17"/>
              </w:rPr>
              <w:t>Hi 95%</w:t>
            </w:r>
          </w:p>
        </w:tc>
      </w:tr>
      <w:tr>
        <w:tc>
          <w:tcPr>
            <w:tcW w:type="dxa" w:w="1020"/>
          </w:tcPr>
          <w:p>
            <w:pPr>
              <w:spacing w:after="0"/>
            </w:pPr>
            <w:r/>
            <w:r>
              <w:rPr>
                <w:sz w:val="17"/>
              </w:rPr>
              <w:t>2026</w:t>
            </w:r>
          </w:p>
        </w:tc>
        <w:tc>
          <w:tcPr>
            <w:tcW w:type="dxa" w:w="1020"/>
          </w:tcPr>
          <w:p>
            <w:pPr>
              <w:spacing w:after="0"/>
              <w:jc w:val="right"/>
            </w:pPr>
            <w:r/>
            <w:r>
              <w:rPr>
                <w:sz w:val="17"/>
              </w:rPr>
              <w:t>16.4</w:t>
            </w:r>
          </w:p>
        </w:tc>
        <w:tc>
          <w:tcPr>
            <w:tcW w:type="dxa" w:w="1020"/>
          </w:tcPr>
          <w:p>
            <w:pPr>
              <w:spacing w:after="0"/>
              <w:jc w:val="right"/>
            </w:pPr>
            <w:r/>
            <w:r>
              <w:rPr>
                <w:sz w:val="17"/>
              </w:rPr>
              <w:t>15.9</w:t>
            </w:r>
          </w:p>
        </w:tc>
        <w:tc>
          <w:tcPr>
            <w:tcW w:type="dxa" w:w="1020"/>
          </w:tcPr>
          <w:p>
            <w:pPr>
              <w:spacing w:after="0"/>
              <w:jc w:val="right"/>
            </w:pPr>
            <w:r/>
            <w:r>
              <w:rPr>
                <w:sz w:val="17"/>
              </w:rPr>
              <w:t>16.3</w:t>
            </w:r>
          </w:p>
        </w:tc>
        <w:tc>
          <w:tcPr>
            <w:tcW w:type="dxa" w:w="1020"/>
          </w:tcPr>
          <w:p>
            <w:pPr>
              <w:spacing w:after="0"/>
              <w:jc w:val="right"/>
            </w:pPr>
            <w:r/>
            <w:r>
              <w:rPr>
                <w:sz w:val="17"/>
              </w:rPr>
              <w:t>16.2</w:t>
            </w:r>
          </w:p>
        </w:tc>
        <w:tc>
          <w:tcPr>
            <w:tcW w:type="dxa" w:w="1020"/>
          </w:tcPr>
          <w:p>
            <w:pPr>
              <w:spacing w:after="0"/>
              <w:jc w:val="right"/>
            </w:pPr>
            <w:r/>
            <w:r>
              <w:rPr>
                <w:sz w:val="17"/>
              </w:rPr>
              <w:t>15.4</w:t>
            </w:r>
          </w:p>
        </w:tc>
        <w:tc>
          <w:tcPr>
            <w:tcW w:type="dxa" w:w="1020"/>
          </w:tcPr>
          <w:p>
            <w:pPr>
              <w:spacing w:after="0"/>
              <w:jc w:val="right"/>
            </w:pPr>
            <w:r/>
            <w:r>
              <w:rPr>
                <w:sz w:val="17"/>
              </w:rPr>
              <w:t>17.1</w:t>
            </w:r>
          </w:p>
        </w:tc>
        <w:tc>
          <w:tcPr>
            <w:tcW w:type="dxa" w:w="1020"/>
          </w:tcPr>
          <w:p>
            <w:pPr>
              <w:spacing w:after="0"/>
              <w:jc w:val="right"/>
            </w:pPr>
            <w:r/>
            <w:r>
              <w:rPr>
                <w:sz w:val="17"/>
              </w:rPr>
              <w:t>14.9</w:t>
            </w:r>
          </w:p>
        </w:tc>
        <w:tc>
          <w:tcPr>
            <w:tcW w:type="dxa" w:w="1020"/>
          </w:tcPr>
          <w:p>
            <w:pPr>
              <w:spacing w:after="0"/>
              <w:jc w:val="right"/>
            </w:pPr>
            <w:r/>
            <w:r>
              <w:rPr>
                <w:sz w:val="17"/>
              </w:rPr>
              <w:t>17.6</w:t>
            </w:r>
          </w:p>
        </w:tc>
      </w:tr>
      <w:tr>
        <w:tc>
          <w:tcPr>
            <w:tcW w:type="dxa" w:w="1020"/>
            <w:shd w:val="clear" w:color="auto" w:fill="F3F5F8"/>
          </w:tcPr>
          <w:p>
            <w:pPr>
              <w:spacing w:after="0"/>
            </w:pPr>
            <w:r/>
            <w:r>
              <w:rPr>
                <w:sz w:val="17"/>
              </w:rPr>
              <w:t>2027</w:t>
            </w:r>
          </w:p>
        </w:tc>
        <w:tc>
          <w:tcPr>
            <w:tcW w:type="dxa" w:w="1020"/>
            <w:shd w:val="clear" w:color="auto" w:fill="F3F5F8"/>
          </w:tcPr>
          <w:p>
            <w:pPr>
              <w:spacing w:after="0"/>
              <w:jc w:val="right"/>
            </w:pPr>
            <w:r/>
            <w:r>
              <w:rPr>
                <w:sz w:val="17"/>
              </w:rPr>
              <w:t>17.2</w:t>
            </w:r>
          </w:p>
        </w:tc>
        <w:tc>
          <w:tcPr>
            <w:tcW w:type="dxa" w:w="1020"/>
            <w:shd w:val="clear" w:color="auto" w:fill="F3F5F8"/>
          </w:tcPr>
          <w:p>
            <w:pPr>
              <w:spacing w:after="0"/>
              <w:jc w:val="right"/>
            </w:pPr>
            <w:r/>
            <w:r>
              <w:rPr>
                <w:sz w:val="17"/>
              </w:rPr>
              <w:t>16.6</w:t>
            </w:r>
          </w:p>
        </w:tc>
        <w:tc>
          <w:tcPr>
            <w:tcW w:type="dxa" w:w="1020"/>
            <w:shd w:val="clear" w:color="auto" w:fill="F3F5F8"/>
          </w:tcPr>
          <w:p>
            <w:pPr>
              <w:spacing w:after="0"/>
              <w:jc w:val="right"/>
            </w:pPr>
            <w:r/>
            <w:r>
              <w:rPr>
                <w:sz w:val="17"/>
              </w:rPr>
              <w:t>17.1</w:t>
            </w:r>
          </w:p>
        </w:tc>
        <w:tc>
          <w:tcPr>
            <w:tcW w:type="dxa" w:w="1020"/>
            <w:shd w:val="clear" w:color="auto" w:fill="F3F5F8"/>
          </w:tcPr>
          <w:p>
            <w:pPr>
              <w:spacing w:after="0"/>
              <w:jc w:val="right"/>
            </w:pPr>
            <w:r/>
            <w:r>
              <w:rPr>
                <w:sz w:val="17"/>
              </w:rPr>
              <w:t>17.0</w:t>
            </w:r>
          </w:p>
        </w:tc>
        <w:tc>
          <w:tcPr>
            <w:tcW w:type="dxa" w:w="1020"/>
            <w:shd w:val="clear" w:color="auto" w:fill="F3F5F8"/>
          </w:tcPr>
          <w:p>
            <w:pPr>
              <w:spacing w:after="0"/>
              <w:jc w:val="right"/>
            </w:pPr>
            <w:r/>
            <w:r>
              <w:rPr>
                <w:sz w:val="17"/>
              </w:rPr>
              <w:t>15.8</w:t>
            </w:r>
          </w:p>
        </w:tc>
        <w:tc>
          <w:tcPr>
            <w:tcW w:type="dxa" w:w="1020"/>
            <w:shd w:val="clear" w:color="auto" w:fill="F3F5F8"/>
          </w:tcPr>
          <w:p>
            <w:pPr>
              <w:spacing w:after="0"/>
              <w:jc w:val="right"/>
            </w:pPr>
            <w:r/>
            <w:r>
              <w:rPr>
                <w:sz w:val="17"/>
              </w:rPr>
              <w:t>18.3</w:t>
            </w:r>
          </w:p>
        </w:tc>
        <w:tc>
          <w:tcPr>
            <w:tcW w:type="dxa" w:w="1020"/>
            <w:shd w:val="clear" w:color="auto" w:fill="F3F5F8"/>
          </w:tcPr>
          <w:p>
            <w:pPr>
              <w:spacing w:after="0"/>
              <w:jc w:val="right"/>
            </w:pPr>
            <w:r/>
            <w:r>
              <w:rPr>
                <w:sz w:val="17"/>
              </w:rPr>
              <w:t>15.2</w:t>
            </w:r>
          </w:p>
        </w:tc>
        <w:tc>
          <w:tcPr>
            <w:tcW w:type="dxa" w:w="1020"/>
            <w:shd w:val="clear" w:color="auto" w:fill="F3F5F8"/>
          </w:tcPr>
          <w:p>
            <w:pPr>
              <w:spacing w:after="0"/>
              <w:jc w:val="right"/>
            </w:pPr>
            <w:r/>
            <w:r>
              <w:rPr>
                <w:sz w:val="17"/>
              </w:rPr>
              <w:t>19.0</w:t>
            </w:r>
          </w:p>
        </w:tc>
      </w:tr>
      <w:tr>
        <w:tc>
          <w:tcPr>
            <w:tcW w:type="dxa" w:w="1020"/>
          </w:tcPr>
          <w:p>
            <w:pPr>
              <w:spacing w:after="0"/>
            </w:pPr>
            <w:r/>
            <w:r>
              <w:rPr>
                <w:sz w:val="17"/>
              </w:rPr>
              <w:t>2028</w:t>
            </w:r>
          </w:p>
        </w:tc>
        <w:tc>
          <w:tcPr>
            <w:tcW w:type="dxa" w:w="1020"/>
          </w:tcPr>
          <w:p>
            <w:pPr>
              <w:spacing w:after="0"/>
              <w:jc w:val="right"/>
            </w:pPr>
            <w:r/>
            <w:r>
              <w:rPr>
                <w:sz w:val="17"/>
              </w:rPr>
              <w:t>18.1</w:t>
            </w:r>
          </w:p>
        </w:tc>
        <w:tc>
          <w:tcPr>
            <w:tcW w:type="dxa" w:w="1020"/>
          </w:tcPr>
          <w:p>
            <w:pPr>
              <w:spacing w:after="0"/>
              <w:jc w:val="right"/>
            </w:pPr>
            <w:r/>
            <w:r>
              <w:rPr>
                <w:sz w:val="17"/>
              </w:rPr>
              <w:t>17.4</w:t>
            </w:r>
          </w:p>
        </w:tc>
        <w:tc>
          <w:tcPr>
            <w:tcW w:type="dxa" w:w="1020"/>
          </w:tcPr>
          <w:p>
            <w:pPr>
              <w:spacing w:after="0"/>
              <w:jc w:val="right"/>
            </w:pPr>
            <w:r/>
            <w:r>
              <w:rPr>
                <w:sz w:val="17"/>
              </w:rPr>
              <w:t>18.0</w:t>
            </w:r>
          </w:p>
        </w:tc>
        <w:tc>
          <w:tcPr>
            <w:tcW w:type="dxa" w:w="1020"/>
          </w:tcPr>
          <w:p>
            <w:pPr>
              <w:spacing w:after="0"/>
              <w:jc w:val="right"/>
            </w:pPr>
            <w:r/>
            <w:r>
              <w:rPr>
                <w:sz w:val="17"/>
              </w:rPr>
              <w:t>17.8</w:t>
            </w:r>
          </w:p>
        </w:tc>
        <w:tc>
          <w:tcPr>
            <w:tcW w:type="dxa" w:w="1020"/>
          </w:tcPr>
          <w:p>
            <w:pPr>
              <w:spacing w:after="0"/>
              <w:jc w:val="right"/>
            </w:pPr>
            <w:r/>
            <w:r>
              <w:rPr>
                <w:sz w:val="17"/>
              </w:rPr>
              <w:t>16.3</w:t>
            </w:r>
          </w:p>
        </w:tc>
        <w:tc>
          <w:tcPr>
            <w:tcW w:type="dxa" w:w="1020"/>
          </w:tcPr>
          <w:p>
            <w:pPr>
              <w:spacing w:after="0"/>
              <w:jc w:val="right"/>
            </w:pPr>
            <w:r/>
            <w:r>
              <w:rPr>
                <w:sz w:val="17"/>
              </w:rPr>
              <w:t>19.5</w:t>
            </w:r>
          </w:p>
        </w:tc>
        <w:tc>
          <w:tcPr>
            <w:tcW w:type="dxa" w:w="1020"/>
          </w:tcPr>
          <w:p>
            <w:pPr>
              <w:spacing w:after="0"/>
              <w:jc w:val="right"/>
            </w:pPr>
            <w:r/>
            <w:r>
              <w:rPr>
                <w:sz w:val="17"/>
              </w:rPr>
              <w:t>15.5</w:t>
            </w:r>
          </w:p>
        </w:tc>
        <w:tc>
          <w:tcPr>
            <w:tcW w:type="dxa" w:w="1020"/>
          </w:tcPr>
          <w:p>
            <w:pPr>
              <w:spacing w:after="0"/>
              <w:jc w:val="right"/>
            </w:pPr>
            <w:r/>
            <w:r>
              <w:rPr>
                <w:sz w:val="17"/>
              </w:rPr>
              <w:t>20.5</w:t>
            </w:r>
          </w:p>
        </w:tc>
      </w:tr>
      <w:tr>
        <w:tc>
          <w:tcPr>
            <w:tcW w:type="dxa" w:w="1020"/>
            <w:shd w:val="clear" w:color="auto" w:fill="F3F5F8"/>
          </w:tcPr>
          <w:p>
            <w:pPr>
              <w:spacing w:after="0"/>
            </w:pPr>
            <w:r/>
            <w:r>
              <w:rPr>
                <w:sz w:val="17"/>
              </w:rPr>
              <w:t>2029</w:t>
            </w:r>
          </w:p>
        </w:tc>
        <w:tc>
          <w:tcPr>
            <w:tcW w:type="dxa" w:w="1020"/>
            <w:shd w:val="clear" w:color="auto" w:fill="F3F5F8"/>
          </w:tcPr>
          <w:p>
            <w:pPr>
              <w:spacing w:after="0"/>
              <w:jc w:val="right"/>
            </w:pPr>
            <w:r/>
            <w:r>
              <w:rPr>
                <w:sz w:val="17"/>
              </w:rPr>
              <w:t>19.0</w:t>
            </w:r>
          </w:p>
        </w:tc>
        <w:tc>
          <w:tcPr>
            <w:tcW w:type="dxa" w:w="1020"/>
            <w:shd w:val="clear" w:color="auto" w:fill="F3F5F8"/>
          </w:tcPr>
          <w:p>
            <w:pPr>
              <w:spacing w:after="0"/>
              <w:jc w:val="right"/>
            </w:pPr>
            <w:r/>
            <w:r>
              <w:rPr>
                <w:sz w:val="17"/>
              </w:rPr>
              <w:t>18.2</w:t>
            </w:r>
          </w:p>
        </w:tc>
        <w:tc>
          <w:tcPr>
            <w:tcW w:type="dxa" w:w="1020"/>
            <w:shd w:val="clear" w:color="auto" w:fill="F3F5F8"/>
          </w:tcPr>
          <w:p>
            <w:pPr>
              <w:spacing w:after="0"/>
              <w:jc w:val="right"/>
            </w:pPr>
            <w:r/>
            <w:r>
              <w:rPr>
                <w:sz w:val="17"/>
              </w:rPr>
              <w:t>18.8</w:t>
            </w:r>
          </w:p>
        </w:tc>
        <w:tc>
          <w:tcPr>
            <w:tcW w:type="dxa" w:w="1020"/>
            <w:shd w:val="clear" w:color="auto" w:fill="F3F5F8"/>
          </w:tcPr>
          <w:p>
            <w:pPr>
              <w:spacing w:after="0"/>
              <w:jc w:val="right"/>
            </w:pPr>
            <w:r/>
            <w:r>
              <w:rPr>
                <w:sz w:val="17"/>
              </w:rPr>
              <w:t>18.7</w:t>
            </w:r>
          </w:p>
        </w:tc>
        <w:tc>
          <w:tcPr>
            <w:tcW w:type="dxa" w:w="1020"/>
            <w:shd w:val="clear" w:color="auto" w:fill="F3F5F8"/>
          </w:tcPr>
          <w:p>
            <w:pPr>
              <w:spacing w:after="0"/>
              <w:jc w:val="right"/>
            </w:pPr>
            <w:r/>
            <w:r>
              <w:rPr>
                <w:sz w:val="17"/>
              </w:rPr>
              <w:t>16.8</w:t>
            </w:r>
          </w:p>
        </w:tc>
        <w:tc>
          <w:tcPr>
            <w:tcW w:type="dxa" w:w="1020"/>
            <w:shd w:val="clear" w:color="auto" w:fill="F3F5F8"/>
          </w:tcPr>
          <w:p>
            <w:pPr>
              <w:spacing w:after="0"/>
              <w:jc w:val="right"/>
            </w:pPr>
            <w:r/>
            <w:r>
              <w:rPr>
                <w:sz w:val="17"/>
              </w:rPr>
              <w:t>20.8</w:t>
            </w:r>
          </w:p>
        </w:tc>
        <w:tc>
          <w:tcPr>
            <w:tcW w:type="dxa" w:w="1020"/>
            <w:shd w:val="clear" w:color="auto" w:fill="F3F5F8"/>
          </w:tcPr>
          <w:p>
            <w:pPr>
              <w:spacing w:after="0"/>
              <w:jc w:val="right"/>
            </w:pPr>
            <w:r/>
            <w:r>
              <w:rPr>
                <w:sz w:val="17"/>
              </w:rPr>
              <w:t>15.9</w:t>
            </w:r>
          </w:p>
        </w:tc>
        <w:tc>
          <w:tcPr>
            <w:tcW w:type="dxa" w:w="1020"/>
            <w:shd w:val="clear" w:color="auto" w:fill="F3F5F8"/>
          </w:tcPr>
          <w:p>
            <w:pPr>
              <w:spacing w:after="0"/>
              <w:jc w:val="right"/>
            </w:pPr>
            <w:r/>
            <w:r>
              <w:rPr>
                <w:sz w:val="17"/>
              </w:rPr>
              <w:t>21.9</w:t>
            </w:r>
          </w:p>
        </w:tc>
      </w:tr>
      <w:tr>
        <w:tc>
          <w:tcPr>
            <w:tcW w:type="dxa" w:w="1020"/>
          </w:tcPr>
          <w:p>
            <w:pPr>
              <w:spacing w:after="0"/>
            </w:pPr>
            <w:r/>
            <w:r>
              <w:rPr>
                <w:sz w:val="17"/>
              </w:rPr>
              <w:t>2030</w:t>
            </w:r>
          </w:p>
        </w:tc>
        <w:tc>
          <w:tcPr>
            <w:tcW w:type="dxa" w:w="1020"/>
          </w:tcPr>
          <w:p>
            <w:pPr>
              <w:spacing w:after="0"/>
              <w:jc w:val="right"/>
            </w:pPr>
            <w:r/>
            <w:r>
              <w:rPr>
                <w:sz w:val="17"/>
              </w:rPr>
              <w:t>20.0</w:t>
            </w:r>
          </w:p>
        </w:tc>
        <w:tc>
          <w:tcPr>
            <w:tcW w:type="dxa" w:w="1020"/>
          </w:tcPr>
          <w:p>
            <w:pPr>
              <w:spacing w:after="0"/>
              <w:jc w:val="right"/>
            </w:pPr>
            <w:r/>
            <w:r>
              <w:rPr>
                <w:sz w:val="17"/>
              </w:rPr>
              <w:t>19.1</w:t>
            </w:r>
          </w:p>
        </w:tc>
        <w:tc>
          <w:tcPr>
            <w:tcW w:type="dxa" w:w="1020"/>
          </w:tcPr>
          <w:p>
            <w:pPr>
              <w:spacing w:after="0"/>
              <w:jc w:val="right"/>
            </w:pPr>
            <w:r/>
            <w:r>
              <w:rPr>
                <w:sz w:val="17"/>
              </w:rPr>
              <w:t>19.7</w:t>
            </w:r>
          </w:p>
        </w:tc>
        <w:tc>
          <w:tcPr>
            <w:tcW w:type="dxa" w:w="1020"/>
          </w:tcPr>
          <w:p>
            <w:pPr>
              <w:spacing w:after="0"/>
              <w:jc w:val="right"/>
            </w:pPr>
            <w:r/>
            <w:r>
              <w:rPr>
                <w:sz w:val="17"/>
              </w:rPr>
              <w:t>19.6</w:t>
            </w:r>
          </w:p>
        </w:tc>
        <w:tc>
          <w:tcPr>
            <w:tcW w:type="dxa" w:w="1020"/>
          </w:tcPr>
          <w:p>
            <w:pPr>
              <w:spacing w:after="0"/>
              <w:jc w:val="right"/>
            </w:pPr>
            <w:r/>
            <w:r>
              <w:rPr>
                <w:sz w:val="17"/>
              </w:rPr>
              <w:t>17.4</w:t>
            </w:r>
          </w:p>
        </w:tc>
        <w:tc>
          <w:tcPr>
            <w:tcW w:type="dxa" w:w="1020"/>
          </w:tcPr>
          <w:p>
            <w:pPr>
              <w:spacing w:after="0"/>
              <w:jc w:val="right"/>
            </w:pPr>
            <w:r/>
            <w:r>
              <w:rPr>
                <w:sz w:val="17"/>
              </w:rPr>
              <w:t>22.0</w:t>
            </w:r>
          </w:p>
        </w:tc>
        <w:tc>
          <w:tcPr>
            <w:tcW w:type="dxa" w:w="1020"/>
          </w:tcPr>
          <w:p>
            <w:pPr>
              <w:spacing w:after="0"/>
              <w:jc w:val="right"/>
            </w:pPr>
            <w:r/>
            <w:r>
              <w:rPr>
                <w:sz w:val="17"/>
              </w:rPr>
              <w:t>16.4</w:t>
            </w:r>
          </w:p>
        </w:tc>
        <w:tc>
          <w:tcPr>
            <w:tcW w:type="dxa" w:w="1020"/>
          </w:tcPr>
          <w:p>
            <w:pPr>
              <w:spacing w:after="0"/>
              <w:jc w:val="right"/>
            </w:pPr>
            <w:r/>
            <w:r>
              <w:rPr>
                <w:sz w:val="17"/>
              </w:rPr>
              <w:t>23.5</w:t>
            </w:r>
          </w:p>
        </w:tc>
      </w:tr>
      <w:tr>
        <w:tc>
          <w:tcPr>
            <w:tcW w:type="dxa" w:w="1020"/>
            <w:shd w:val="clear" w:color="auto" w:fill="F3F5F8"/>
          </w:tcPr>
          <w:p>
            <w:pPr>
              <w:spacing w:after="0"/>
            </w:pPr>
            <w:r/>
            <w:r>
              <w:rPr>
                <w:sz w:val="17"/>
              </w:rPr>
              <w:t>2031</w:t>
            </w:r>
          </w:p>
        </w:tc>
        <w:tc>
          <w:tcPr>
            <w:tcW w:type="dxa" w:w="1020"/>
            <w:shd w:val="clear" w:color="auto" w:fill="F3F5F8"/>
          </w:tcPr>
          <w:p>
            <w:pPr>
              <w:spacing w:after="0"/>
              <w:jc w:val="right"/>
            </w:pPr>
            <w:r/>
            <w:r>
              <w:rPr>
                <w:sz w:val="17"/>
              </w:rPr>
              <w:t>21.0</w:t>
            </w:r>
          </w:p>
        </w:tc>
        <w:tc>
          <w:tcPr>
            <w:tcW w:type="dxa" w:w="1020"/>
            <w:shd w:val="clear" w:color="auto" w:fill="F3F5F8"/>
          </w:tcPr>
          <w:p>
            <w:pPr>
              <w:spacing w:after="0"/>
              <w:jc w:val="right"/>
            </w:pPr>
            <w:r/>
            <w:r>
              <w:rPr>
                <w:sz w:val="17"/>
              </w:rPr>
              <w:t>20.0</w:t>
            </w:r>
          </w:p>
        </w:tc>
        <w:tc>
          <w:tcPr>
            <w:tcW w:type="dxa" w:w="1020"/>
            <w:shd w:val="clear" w:color="auto" w:fill="F3F5F8"/>
          </w:tcPr>
          <w:p>
            <w:pPr>
              <w:spacing w:after="0"/>
              <w:jc w:val="right"/>
            </w:pPr>
            <w:r/>
            <w:r>
              <w:rPr>
                <w:sz w:val="17"/>
              </w:rPr>
              <w:t>20.7</w:t>
            </w:r>
          </w:p>
        </w:tc>
        <w:tc>
          <w:tcPr>
            <w:tcW w:type="dxa" w:w="1020"/>
            <w:shd w:val="clear" w:color="auto" w:fill="F3F5F8"/>
          </w:tcPr>
          <w:p>
            <w:pPr>
              <w:spacing w:after="0"/>
              <w:jc w:val="right"/>
            </w:pPr>
            <w:r/>
            <w:r>
              <w:rPr>
                <w:sz w:val="17"/>
              </w:rPr>
              <w:t>20.5</w:t>
            </w:r>
          </w:p>
        </w:tc>
        <w:tc>
          <w:tcPr>
            <w:tcW w:type="dxa" w:w="1020"/>
            <w:shd w:val="clear" w:color="auto" w:fill="F3F5F8"/>
          </w:tcPr>
          <w:p>
            <w:pPr>
              <w:spacing w:after="0"/>
              <w:jc w:val="right"/>
            </w:pPr>
            <w:r/>
            <w:r>
              <w:rPr>
                <w:sz w:val="17"/>
              </w:rPr>
              <w:t>18.1</w:t>
            </w:r>
          </w:p>
        </w:tc>
        <w:tc>
          <w:tcPr>
            <w:tcW w:type="dxa" w:w="1020"/>
            <w:shd w:val="clear" w:color="auto" w:fill="F3F5F8"/>
          </w:tcPr>
          <w:p>
            <w:pPr>
              <w:spacing w:after="0"/>
              <w:jc w:val="right"/>
            </w:pPr>
            <w:r/>
            <w:r>
              <w:rPr>
                <w:sz w:val="17"/>
              </w:rPr>
              <w:t>23.4</w:t>
            </w:r>
          </w:p>
        </w:tc>
        <w:tc>
          <w:tcPr>
            <w:tcW w:type="dxa" w:w="1020"/>
            <w:shd w:val="clear" w:color="auto" w:fill="F3F5F8"/>
          </w:tcPr>
          <w:p>
            <w:pPr>
              <w:spacing w:after="0"/>
              <w:jc w:val="right"/>
            </w:pPr>
            <w:r/>
            <w:r>
              <w:rPr>
                <w:sz w:val="17"/>
              </w:rPr>
              <w:t>16.9</w:t>
            </w:r>
          </w:p>
        </w:tc>
        <w:tc>
          <w:tcPr>
            <w:tcW w:type="dxa" w:w="1020"/>
            <w:shd w:val="clear" w:color="auto" w:fill="F3F5F8"/>
          </w:tcPr>
          <w:p>
            <w:pPr>
              <w:spacing w:after="0"/>
              <w:jc w:val="right"/>
            </w:pPr>
            <w:r/>
            <w:r>
              <w:rPr>
                <w:sz w:val="17"/>
              </w:rPr>
              <w:t>25.0</w:t>
            </w:r>
          </w:p>
        </w:tc>
      </w:tr>
      <w:tr>
        <w:tc>
          <w:tcPr>
            <w:tcW w:type="dxa" w:w="1020"/>
          </w:tcPr>
          <w:p>
            <w:pPr>
              <w:spacing w:after="0"/>
            </w:pPr>
            <w:r/>
            <w:r>
              <w:rPr>
                <w:sz w:val="17"/>
              </w:rPr>
              <w:t>2032</w:t>
            </w:r>
          </w:p>
        </w:tc>
        <w:tc>
          <w:tcPr>
            <w:tcW w:type="dxa" w:w="1020"/>
          </w:tcPr>
          <w:p>
            <w:pPr>
              <w:spacing w:after="0"/>
              <w:jc w:val="right"/>
            </w:pPr>
            <w:r/>
            <w:r>
              <w:rPr>
                <w:sz w:val="17"/>
              </w:rPr>
              <w:t>22.0</w:t>
            </w:r>
          </w:p>
        </w:tc>
        <w:tc>
          <w:tcPr>
            <w:tcW w:type="dxa" w:w="1020"/>
          </w:tcPr>
          <w:p>
            <w:pPr>
              <w:spacing w:after="0"/>
              <w:jc w:val="right"/>
            </w:pPr>
            <w:r/>
            <w:r>
              <w:rPr>
                <w:sz w:val="17"/>
              </w:rPr>
              <w:t>20.9</w:t>
            </w:r>
          </w:p>
        </w:tc>
        <w:tc>
          <w:tcPr>
            <w:tcW w:type="dxa" w:w="1020"/>
          </w:tcPr>
          <w:p>
            <w:pPr>
              <w:spacing w:after="0"/>
              <w:jc w:val="right"/>
            </w:pPr>
            <w:r/>
            <w:r>
              <w:rPr>
                <w:sz w:val="17"/>
              </w:rPr>
              <w:t>21.7</w:t>
            </w:r>
          </w:p>
        </w:tc>
        <w:tc>
          <w:tcPr>
            <w:tcW w:type="dxa" w:w="1020"/>
          </w:tcPr>
          <w:p>
            <w:pPr>
              <w:spacing w:after="0"/>
              <w:jc w:val="right"/>
            </w:pPr>
            <w:r/>
            <w:r>
              <w:rPr>
                <w:sz w:val="17"/>
              </w:rPr>
              <w:t>21.6</w:t>
            </w:r>
          </w:p>
        </w:tc>
        <w:tc>
          <w:tcPr>
            <w:tcW w:type="dxa" w:w="1020"/>
          </w:tcPr>
          <w:p>
            <w:pPr>
              <w:spacing w:after="0"/>
              <w:jc w:val="right"/>
            </w:pPr>
            <w:r/>
            <w:r>
              <w:rPr>
                <w:sz w:val="17"/>
              </w:rPr>
              <w:t>18.8</w:t>
            </w:r>
          </w:p>
        </w:tc>
        <w:tc>
          <w:tcPr>
            <w:tcW w:type="dxa" w:w="1020"/>
          </w:tcPr>
          <w:p>
            <w:pPr>
              <w:spacing w:after="0"/>
              <w:jc w:val="right"/>
            </w:pPr>
            <w:r/>
            <w:r>
              <w:rPr>
                <w:sz w:val="17"/>
              </w:rPr>
              <w:t>24.8</w:t>
            </w:r>
          </w:p>
        </w:tc>
        <w:tc>
          <w:tcPr>
            <w:tcW w:type="dxa" w:w="1020"/>
          </w:tcPr>
          <w:p>
            <w:pPr>
              <w:spacing w:after="0"/>
              <w:jc w:val="right"/>
            </w:pPr>
            <w:r/>
            <w:r>
              <w:rPr>
                <w:sz w:val="17"/>
              </w:rPr>
              <w:t>17.4</w:t>
            </w:r>
          </w:p>
        </w:tc>
        <w:tc>
          <w:tcPr>
            <w:tcW w:type="dxa" w:w="1020"/>
          </w:tcPr>
          <w:p>
            <w:pPr>
              <w:spacing w:after="0"/>
              <w:jc w:val="right"/>
            </w:pPr>
            <w:r/>
            <w:r>
              <w:rPr>
                <w:sz w:val="17"/>
              </w:rPr>
              <w:t>26.7</w:t>
            </w:r>
          </w:p>
        </w:tc>
      </w:tr>
      <w:tr>
        <w:tc>
          <w:tcPr>
            <w:tcW w:type="dxa" w:w="1020"/>
            <w:shd w:val="clear" w:color="auto" w:fill="F3F5F8"/>
          </w:tcPr>
          <w:p>
            <w:pPr>
              <w:spacing w:after="0"/>
            </w:pPr>
            <w:r/>
            <w:r>
              <w:rPr>
                <w:sz w:val="17"/>
              </w:rPr>
              <w:t>2033</w:t>
            </w:r>
          </w:p>
        </w:tc>
        <w:tc>
          <w:tcPr>
            <w:tcW w:type="dxa" w:w="1020"/>
            <w:shd w:val="clear" w:color="auto" w:fill="F3F5F8"/>
          </w:tcPr>
          <w:p>
            <w:pPr>
              <w:spacing w:after="0"/>
              <w:jc w:val="right"/>
            </w:pPr>
            <w:r/>
            <w:r>
              <w:rPr>
                <w:sz w:val="17"/>
              </w:rPr>
              <w:t>23.2</w:t>
            </w:r>
          </w:p>
        </w:tc>
        <w:tc>
          <w:tcPr>
            <w:tcW w:type="dxa" w:w="1020"/>
            <w:shd w:val="clear" w:color="auto" w:fill="F3F5F8"/>
          </w:tcPr>
          <w:p>
            <w:pPr>
              <w:spacing w:after="0"/>
              <w:jc w:val="right"/>
            </w:pPr>
            <w:r/>
            <w:r>
              <w:rPr>
                <w:sz w:val="17"/>
              </w:rPr>
              <w:t>21.9</w:t>
            </w:r>
          </w:p>
        </w:tc>
        <w:tc>
          <w:tcPr>
            <w:tcW w:type="dxa" w:w="1020"/>
            <w:shd w:val="clear" w:color="auto" w:fill="F3F5F8"/>
          </w:tcPr>
          <w:p>
            <w:pPr>
              <w:spacing w:after="0"/>
              <w:jc w:val="right"/>
            </w:pPr>
            <w:r/>
            <w:r>
              <w:rPr>
                <w:sz w:val="17"/>
              </w:rPr>
              <w:t>22.8</w:t>
            </w:r>
          </w:p>
        </w:tc>
        <w:tc>
          <w:tcPr>
            <w:tcW w:type="dxa" w:w="1020"/>
            <w:shd w:val="clear" w:color="auto" w:fill="F3F5F8"/>
          </w:tcPr>
          <w:p>
            <w:pPr>
              <w:spacing w:after="0"/>
              <w:jc w:val="right"/>
            </w:pPr>
            <w:r/>
            <w:r>
              <w:rPr>
                <w:sz w:val="17"/>
              </w:rPr>
              <w:t>22.6</w:t>
            </w:r>
          </w:p>
        </w:tc>
        <w:tc>
          <w:tcPr>
            <w:tcW w:type="dxa" w:w="1020"/>
            <w:shd w:val="clear" w:color="auto" w:fill="F3F5F8"/>
          </w:tcPr>
          <w:p>
            <w:pPr>
              <w:spacing w:after="0"/>
              <w:jc w:val="right"/>
            </w:pPr>
            <w:r/>
            <w:r>
              <w:rPr>
                <w:sz w:val="17"/>
              </w:rPr>
              <w:t>19.5</w:t>
            </w:r>
          </w:p>
        </w:tc>
        <w:tc>
          <w:tcPr>
            <w:tcW w:type="dxa" w:w="1020"/>
            <w:shd w:val="clear" w:color="auto" w:fill="F3F5F8"/>
          </w:tcPr>
          <w:p>
            <w:pPr>
              <w:spacing w:after="0"/>
              <w:jc w:val="right"/>
            </w:pPr>
            <w:r/>
            <w:r>
              <w:rPr>
                <w:sz w:val="17"/>
              </w:rPr>
              <w:t>26.2</w:t>
            </w:r>
          </w:p>
        </w:tc>
        <w:tc>
          <w:tcPr>
            <w:tcW w:type="dxa" w:w="1020"/>
            <w:shd w:val="clear" w:color="auto" w:fill="F3F5F8"/>
          </w:tcPr>
          <w:p>
            <w:pPr>
              <w:spacing w:after="0"/>
              <w:jc w:val="right"/>
            </w:pPr>
            <w:r/>
            <w:r>
              <w:rPr>
                <w:sz w:val="17"/>
              </w:rPr>
              <w:t>18.0</w:t>
            </w:r>
          </w:p>
        </w:tc>
        <w:tc>
          <w:tcPr>
            <w:tcW w:type="dxa" w:w="1020"/>
            <w:shd w:val="clear" w:color="auto" w:fill="F3F5F8"/>
          </w:tcPr>
          <w:p>
            <w:pPr>
              <w:spacing w:after="0"/>
              <w:jc w:val="right"/>
            </w:pPr>
            <w:r/>
            <w:r>
              <w:rPr>
                <w:sz w:val="17"/>
              </w:rPr>
              <w:t>28.4</w:t>
            </w:r>
          </w:p>
        </w:tc>
      </w:tr>
      <w:tr>
        <w:tc>
          <w:tcPr>
            <w:tcW w:type="dxa" w:w="1020"/>
          </w:tcPr>
          <w:p>
            <w:pPr>
              <w:spacing w:after="0"/>
            </w:pPr>
            <w:r/>
            <w:r>
              <w:rPr>
                <w:sz w:val="17"/>
              </w:rPr>
              <w:t>2034</w:t>
            </w:r>
          </w:p>
        </w:tc>
        <w:tc>
          <w:tcPr>
            <w:tcW w:type="dxa" w:w="1020"/>
          </w:tcPr>
          <w:p>
            <w:pPr>
              <w:spacing w:after="0"/>
              <w:jc w:val="right"/>
            </w:pPr>
            <w:r/>
            <w:r>
              <w:rPr>
                <w:sz w:val="17"/>
              </w:rPr>
              <w:t>24.3</w:t>
            </w:r>
          </w:p>
        </w:tc>
        <w:tc>
          <w:tcPr>
            <w:tcW w:type="dxa" w:w="1020"/>
          </w:tcPr>
          <w:p>
            <w:pPr>
              <w:spacing w:after="0"/>
              <w:jc w:val="right"/>
            </w:pPr>
            <w:r/>
            <w:r>
              <w:rPr>
                <w:sz w:val="17"/>
              </w:rPr>
              <w:t>22.9</w:t>
            </w:r>
          </w:p>
        </w:tc>
        <w:tc>
          <w:tcPr>
            <w:tcW w:type="dxa" w:w="1020"/>
          </w:tcPr>
          <w:p>
            <w:pPr>
              <w:spacing w:after="0"/>
              <w:jc w:val="right"/>
            </w:pPr>
            <w:r/>
            <w:r>
              <w:rPr>
                <w:sz w:val="17"/>
              </w:rPr>
              <w:t>23.9</w:t>
            </w:r>
          </w:p>
        </w:tc>
        <w:tc>
          <w:tcPr>
            <w:tcW w:type="dxa" w:w="1020"/>
          </w:tcPr>
          <w:p>
            <w:pPr>
              <w:spacing w:after="0"/>
              <w:jc w:val="right"/>
            </w:pPr>
            <w:r/>
            <w:r>
              <w:rPr>
                <w:sz w:val="17"/>
              </w:rPr>
              <w:t>23.7</w:t>
            </w:r>
          </w:p>
        </w:tc>
        <w:tc>
          <w:tcPr>
            <w:tcW w:type="dxa" w:w="1020"/>
          </w:tcPr>
          <w:p>
            <w:pPr>
              <w:spacing w:after="0"/>
              <w:jc w:val="right"/>
            </w:pPr>
            <w:r/>
            <w:r>
              <w:rPr>
                <w:sz w:val="17"/>
              </w:rPr>
              <w:t>20.2</w:t>
            </w:r>
          </w:p>
        </w:tc>
        <w:tc>
          <w:tcPr>
            <w:tcW w:type="dxa" w:w="1020"/>
          </w:tcPr>
          <w:p>
            <w:pPr>
              <w:spacing w:after="0"/>
              <w:jc w:val="right"/>
            </w:pPr>
            <w:r/>
            <w:r>
              <w:rPr>
                <w:sz w:val="17"/>
              </w:rPr>
              <w:t>27.8</w:t>
            </w:r>
          </w:p>
        </w:tc>
        <w:tc>
          <w:tcPr>
            <w:tcW w:type="dxa" w:w="1020"/>
          </w:tcPr>
          <w:p>
            <w:pPr>
              <w:spacing w:after="0"/>
              <w:jc w:val="right"/>
            </w:pPr>
            <w:r/>
            <w:r>
              <w:rPr>
                <w:sz w:val="17"/>
              </w:rPr>
              <w:t>18.6</w:t>
            </w:r>
          </w:p>
        </w:tc>
        <w:tc>
          <w:tcPr>
            <w:tcW w:type="dxa" w:w="1020"/>
          </w:tcPr>
          <w:p>
            <w:pPr>
              <w:spacing w:after="0"/>
              <w:jc w:val="right"/>
            </w:pPr>
            <w:r/>
            <w:r>
              <w:rPr>
                <w:sz w:val="17"/>
              </w:rPr>
              <w:t>30.2</w:t>
            </w:r>
          </w:p>
        </w:tc>
      </w:tr>
      <w:tr>
        <w:tc>
          <w:tcPr>
            <w:tcW w:type="dxa" w:w="1020"/>
            <w:shd w:val="clear" w:color="auto" w:fill="F3F5F8"/>
          </w:tcPr>
          <w:p>
            <w:pPr>
              <w:spacing w:after="0"/>
            </w:pPr>
            <w:r/>
            <w:r>
              <w:rPr>
                <w:sz w:val="17"/>
              </w:rPr>
              <w:t>2035</w:t>
            </w:r>
          </w:p>
        </w:tc>
        <w:tc>
          <w:tcPr>
            <w:tcW w:type="dxa" w:w="1020"/>
            <w:shd w:val="clear" w:color="auto" w:fill="F3F5F8"/>
          </w:tcPr>
          <w:p>
            <w:pPr>
              <w:spacing w:after="0"/>
              <w:jc w:val="right"/>
            </w:pPr>
            <w:r/>
            <w:r>
              <w:rPr>
                <w:sz w:val="17"/>
              </w:rPr>
              <w:t>25.6</w:t>
            </w:r>
          </w:p>
        </w:tc>
        <w:tc>
          <w:tcPr>
            <w:tcW w:type="dxa" w:w="1020"/>
            <w:shd w:val="clear" w:color="auto" w:fill="F3F5F8"/>
          </w:tcPr>
          <w:p>
            <w:pPr>
              <w:spacing w:after="0"/>
              <w:jc w:val="right"/>
            </w:pPr>
            <w:r/>
            <w:r>
              <w:rPr>
                <w:sz w:val="17"/>
              </w:rPr>
              <w:t>24.0</w:t>
            </w:r>
          </w:p>
        </w:tc>
        <w:tc>
          <w:tcPr>
            <w:tcW w:type="dxa" w:w="1020"/>
            <w:shd w:val="clear" w:color="auto" w:fill="F3F5F8"/>
          </w:tcPr>
          <w:p>
            <w:pPr>
              <w:spacing w:after="0"/>
              <w:jc w:val="right"/>
            </w:pPr>
            <w:r/>
            <w:r>
              <w:rPr>
                <w:sz w:val="17"/>
              </w:rPr>
              <w:t>25.0</w:t>
            </w:r>
          </w:p>
        </w:tc>
        <w:tc>
          <w:tcPr>
            <w:tcW w:type="dxa" w:w="1020"/>
            <w:shd w:val="clear" w:color="auto" w:fill="F3F5F8"/>
          </w:tcPr>
          <w:p>
            <w:pPr>
              <w:spacing w:after="0"/>
              <w:jc w:val="right"/>
            </w:pPr>
            <w:r/>
            <w:r>
              <w:rPr>
                <w:sz w:val="17"/>
              </w:rPr>
              <w:t>24.9</w:t>
            </w:r>
          </w:p>
        </w:tc>
        <w:tc>
          <w:tcPr>
            <w:tcW w:type="dxa" w:w="1020"/>
            <w:shd w:val="clear" w:color="auto" w:fill="F3F5F8"/>
          </w:tcPr>
          <w:p>
            <w:pPr>
              <w:spacing w:after="0"/>
              <w:jc w:val="right"/>
            </w:pPr>
            <w:r/>
            <w:r>
              <w:rPr>
                <w:sz w:val="17"/>
              </w:rPr>
              <w:t>21.0</w:t>
            </w:r>
          </w:p>
        </w:tc>
        <w:tc>
          <w:tcPr>
            <w:tcW w:type="dxa" w:w="1020"/>
            <w:shd w:val="clear" w:color="auto" w:fill="F3F5F8"/>
          </w:tcPr>
          <w:p>
            <w:pPr>
              <w:spacing w:after="0"/>
              <w:jc w:val="right"/>
            </w:pPr>
            <w:r/>
            <w:r>
              <w:rPr>
                <w:sz w:val="17"/>
              </w:rPr>
              <w:t>29.4</w:t>
            </w:r>
          </w:p>
        </w:tc>
        <w:tc>
          <w:tcPr>
            <w:tcW w:type="dxa" w:w="1020"/>
            <w:shd w:val="clear" w:color="auto" w:fill="F3F5F8"/>
          </w:tcPr>
          <w:p>
            <w:pPr>
              <w:spacing w:after="0"/>
              <w:jc w:val="right"/>
            </w:pPr>
            <w:r/>
            <w:r>
              <w:rPr>
                <w:sz w:val="17"/>
              </w:rPr>
              <w:t>19.3</w:t>
            </w:r>
          </w:p>
        </w:tc>
        <w:tc>
          <w:tcPr>
            <w:tcW w:type="dxa" w:w="1020"/>
            <w:shd w:val="clear" w:color="auto" w:fill="F3F5F8"/>
          </w:tcPr>
          <w:p>
            <w:pPr>
              <w:spacing w:after="0"/>
              <w:jc w:val="right"/>
            </w:pPr>
            <w:r/>
            <w:r>
              <w:rPr>
                <w:sz w:val="17"/>
              </w:rPr>
              <w:t>32.1</w:t>
            </w:r>
          </w:p>
        </w:tc>
      </w:tr>
    </w:tbl>
    <w:p>
      <w:pPr>
        <w:spacing w:after="40"/>
      </w:pPr>
    </w:p>
    <w:p>
      <w:pPr>
        <w:keepNext/>
        <w:spacing w:after="60"/>
      </w:pPr>
      <w:r>
        <w:rPr>
          <w:b/>
          <w:color w:val="555555"/>
          <w:sz w:val="19"/>
        </w:rPr>
        <w:t>Table C2. Selected Kenya series (TWh unless stated)</w:t>
      </w:r>
    </w:p>
    <w:tbl>
      <w:tblPr>
        <w:tblStyle w:val="TableGrid"/>
        <w:tblW w:type="auto" w:w="0"/>
        <w:jc w:val="center"/>
        <w:tblLook w:firstColumn="1" w:firstRow="1" w:lastColumn="0" w:lastRow="0" w:noHBand="0" w:noVBand="1" w:val="04A0"/>
      </w:tblPr>
      <w:tblGrid>
        <w:gridCol w:w="1020"/>
        <w:gridCol w:w="1020"/>
        <w:gridCol w:w="1020"/>
        <w:gridCol w:w="1020"/>
        <w:gridCol w:w="1020"/>
        <w:gridCol w:w="1020"/>
        <w:gridCol w:w="1020"/>
        <w:gridCol w:w="1020"/>
        <w:gridCol w:w="1020"/>
      </w:tblGrid>
      <w:tr>
        <w:tc>
          <w:tcPr>
            <w:tcW w:type="dxa" w:w="1020"/>
            <w:shd w:val="clear" w:color="auto" w:fill="1F4E8C"/>
          </w:tcPr>
          <w:p>
            <w:r/>
            <w:r>
              <w:rPr>
                <w:b/>
                <w:color w:val="FFFFFF"/>
                <w:sz w:val="17"/>
              </w:rPr>
              <w:t>Year</w:t>
            </w:r>
          </w:p>
        </w:tc>
        <w:tc>
          <w:tcPr>
            <w:tcW w:type="dxa" w:w="1020"/>
            <w:shd w:val="clear" w:color="auto" w:fill="1F4E8C"/>
          </w:tcPr>
          <w:p>
            <w:r/>
            <w:r>
              <w:rPr>
                <w:b/>
                <w:color w:val="FFFFFF"/>
                <w:sz w:val="17"/>
              </w:rPr>
              <w:t>Demand</w:t>
            </w:r>
          </w:p>
        </w:tc>
        <w:tc>
          <w:tcPr>
            <w:tcW w:type="dxa" w:w="1020"/>
            <w:shd w:val="clear" w:color="auto" w:fill="1F4E8C"/>
          </w:tcPr>
          <w:p>
            <w:r/>
            <w:r>
              <w:rPr>
                <w:b/>
                <w:color w:val="FFFFFF"/>
                <w:sz w:val="17"/>
              </w:rPr>
              <w:t>Generation</w:t>
            </w:r>
          </w:p>
        </w:tc>
        <w:tc>
          <w:tcPr>
            <w:tcW w:type="dxa" w:w="1020"/>
            <w:shd w:val="clear" w:color="auto" w:fill="1F4E8C"/>
          </w:tcPr>
          <w:p>
            <w:r/>
            <w:r>
              <w:rPr>
                <w:b/>
                <w:color w:val="FFFFFF"/>
                <w:sz w:val="17"/>
              </w:rPr>
              <w:t>Net imports</w:t>
            </w:r>
          </w:p>
        </w:tc>
        <w:tc>
          <w:tcPr>
            <w:tcW w:type="dxa" w:w="1020"/>
            <w:shd w:val="clear" w:color="auto" w:fill="1F4E8C"/>
          </w:tcPr>
          <w:p>
            <w:r/>
            <w:r>
              <w:rPr>
                <w:b/>
                <w:color w:val="FFFFFF"/>
                <w:sz w:val="17"/>
              </w:rPr>
              <w:t>Hydro</w:t>
            </w:r>
          </w:p>
        </w:tc>
        <w:tc>
          <w:tcPr>
            <w:tcW w:type="dxa" w:w="1020"/>
            <w:shd w:val="clear" w:color="auto" w:fill="1F4E8C"/>
          </w:tcPr>
          <w:p>
            <w:r/>
            <w:r>
              <w:rPr>
                <w:b/>
                <w:color w:val="FFFFFF"/>
                <w:sz w:val="17"/>
              </w:rPr>
              <w:t>Geoth./other</w:t>
            </w:r>
          </w:p>
        </w:tc>
        <w:tc>
          <w:tcPr>
            <w:tcW w:type="dxa" w:w="1020"/>
            <w:shd w:val="clear" w:color="auto" w:fill="1F4E8C"/>
          </w:tcPr>
          <w:p>
            <w:r/>
            <w:r>
              <w:rPr>
                <w:b/>
                <w:color w:val="FFFFFF"/>
                <w:sz w:val="17"/>
              </w:rPr>
              <w:t>Wind</w:t>
            </w:r>
          </w:p>
        </w:tc>
        <w:tc>
          <w:tcPr>
            <w:tcW w:type="dxa" w:w="1020"/>
            <w:shd w:val="clear" w:color="auto" w:fill="1F4E8C"/>
          </w:tcPr>
          <w:p>
            <w:r/>
            <w:r>
              <w:rPr>
                <w:b/>
                <w:color w:val="FFFFFF"/>
                <w:sz w:val="17"/>
              </w:rPr>
              <w:t>Solar</w:t>
            </w:r>
          </w:p>
        </w:tc>
        <w:tc>
          <w:tcPr>
            <w:tcW w:type="dxa" w:w="1020"/>
            <w:shd w:val="clear" w:color="auto" w:fill="1F4E8C"/>
          </w:tcPr>
          <w:p>
            <w:r/>
            <w:r>
              <w:rPr>
                <w:b/>
                <w:color w:val="FFFFFF"/>
                <w:sz w:val="17"/>
              </w:rPr>
              <w:t>g CO2/kWh</w:t>
            </w:r>
          </w:p>
        </w:tc>
      </w:tr>
      <w:tr>
        <w:tc>
          <w:tcPr>
            <w:tcW w:type="dxa" w:w="1020"/>
          </w:tcPr>
          <w:p>
            <w:pPr>
              <w:spacing w:after="0"/>
            </w:pPr>
            <w:r/>
            <w:r>
              <w:rPr>
                <w:sz w:val="17"/>
              </w:rPr>
              <w:t>2000</w:t>
            </w:r>
          </w:p>
        </w:tc>
        <w:tc>
          <w:tcPr>
            <w:tcW w:type="dxa" w:w="1020"/>
          </w:tcPr>
          <w:p>
            <w:pPr>
              <w:spacing w:after="0"/>
              <w:jc w:val="right"/>
            </w:pPr>
            <w:r/>
            <w:r>
              <w:rPr>
                <w:sz w:val="17"/>
              </w:rPr>
              <w:t>4.51</w:t>
            </w:r>
          </w:p>
        </w:tc>
        <w:tc>
          <w:tcPr>
            <w:tcW w:type="dxa" w:w="1020"/>
          </w:tcPr>
          <w:p>
            <w:pPr>
              <w:spacing w:after="0"/>
              <w:jc w:val="right"/>
            </w:pPr>
            <w:r/>
            <w:r>
              <w:rPr>
                <w:sz w:val="17"/>
              </w:rPr>
              <w:t>4.31</w:t>
            </w:r>
          </w:p>
        </w:tc>
        <w:tc>
          <w:tcPr>
            <w:tcW w:type="dxa" w:w="1020"/>
          </w:tcPr>
          <w:p>
            <w:pPr>
              <w:spacing w:after="0"/>
              <w:jc w:val="right"/>
            </w:pPr>
            <w:r/>
            <w:r>
              <w:rPr>
                <w:sz w:val="17"/>
              </w:rPr>
              <w:t>0.2</w:t>
            </w:r>
          </w:p>
        </w:tc>
        <w:tc>
          <w:tcPr>
            <w:tcW w:type="dxa" w:w="1020"/>
          </w:tcPr>
          <w:p>
            <w:pPr>
              <w:spacing w:after="0"/>
              <w:jc w:val="right"/>
            </w:pPr>
            <w:r/>
            <w:r>
              <w:rPr>
                <w:sz w:val="17"/>
              </w:rPr>
              <w:t>1.31</w:t>
            </w:r>
          </w:p>
        </w:tc>
        <w:tc>
          <w:tcPr>
            <w:tcW w:type="dxa" w:w="1020"/>
          </w:tcPr>
          <w:p>
            <w:pPr>
              <w:spacing w:after="0"/>
              <w:jc w:val="right"/>
            </w:pPr>
            <w:r/>
            <w:r>
              <w:rPr>
                <w:sz w:val="17"/>
              </w:rPr>
              <w:t>0.43</w:t>
            </w:r>
          </w:p>
        </w:tc>
        <w:tc>
          <w:tcPr>
            <w:tcW w:type="dxa" w:w="1020"/>
          </w:tcPr>
          <w:p>
            <w:pPr>
              <w:spacing w:after="0"/>
              <w:jc w:val="right"/>
            </w:pPr>
            <w:r/>
            <w:r>
              <w:rPr>
                <w:sz w:val="17"/>
              </w:rPr>
              <w:t>0.0</w:t>
            </w:r>
          </w:p>
        </w:tc>
        <w:tc>
          <w:tcPr>
            <w:tcW w:type="dxa" w:w="1020"/>
          </w:tcPr>
          <w:p>
            <w:pPr>
              <w:spacing w:after="0"/>
              <w:jc w:val="right"/>
            </w:pPr>
            <w:r/>
            <w:r>
              <w:rPr>
                <w:sz w:val="17"/>
              </w:rPr>
              <w:t>0.0</w:t>
            </w:r>
          </w:p>
        </w:tc>
        <w:tc>
          <w:tcPr>
            <w:tcW w:type="dxa" w:w="1020"/>
          </w:tcPr>
          <w:p>
            <w:pPr>
              <w:spacing w:after="0"/>
              <w:jc w:val="right"/>
            </w:pPr>
            <w:r/>
            <w:r>
              <w:rPr>
                <w:sz w:val="17"/>
              </w:rPr>
              <w:t>403.25</w:t>
            </w:r>
          </w:p>
        </w:tc>
      </w:tr>
      <w:tr>
        <w:tc>
          <w:tcPr>
            <w:tcW w:type="dxa" w:w="1020"/>
            <w:shd w:val="clear" w:color="auto" w:fill="F3F5F8"/>
          </w:tcPr>
          <w:p>
            <w:pPr>
              <w:spacing w:after="0"/>
            </w:pPr>
            <w:r/>
            <w:r>
              <w:rPr>
                <w:sz w:val="17"/>
              </w:rPr>
              <w:t>2005</w:t>
            </w:r>
          </w:p>
        </w:tc>
        <w:tc>
          <w:tcPr>
            <w:tcW w:type="dxa" w:w="1020"/>
            <w:shd w:val="clear" w:color="auto" w:fill="F3F5F8"/>
          </w:tcPr>
          <w:p>
            <w:pPr>
              <w:spacing w:after="0"/>
              <w:jc w:val="right"/>
            </w:pPr>
            <w:r/>
            <w:r>
              <w:rPr>
                <w:sz w:val="17"/>
              </w:rPr>
              <w:t>6.7</w:t>
            </w:r>
          </w:p>
        </w:tc>
        <w:tc>
          <w:tcPr>
            <w:tcW w:type="dxa" w:w="1020"/>
            <w:shd w:val="clear" w:color="auto" w:fill="F3F5F8"/>
          </w:tcPr>
          <w:p>
            <w:pPr>
              <w:spacing w:after="0"/>
              <w:jc w:val="right"/>
            </w:pPr>
            <w:r/>
            <w:r>
              <w:rPr>
                <w:sz w:val="17"/>
              </w:rPr>
              <w:t>6.7</w:t>
            </w:r>
          </w:p>
        </w:tc>
        <w:tc>
          <w:tcPr>
            <w:tcW w:type="dxa" w:w="1020"/>
            <w:shd w:val="clear" w:color="auto" w:fill="F3F5F8"/>
          </w:tcPr>
          <w:p>
            <w:pPr>
              <w:spacing w:after="0"/>
              <w:jc w:val="right"/>
            </w:pPr>
            <w:r/>
            <w:r>
              <w:rPr>
                <w:sz w:val="17"/>
              </w:rPr>
              <w:t>0.0</w:t>
            </w:r>
          </w:p>
        </w:tc>
        <w:tc>
          <w:tcPr>
            <w:tcW w:type="dxa" w:w="1020"/>
            <w:shd w:val="clear" w:color="auto" w:fill="F3F5F8"/>
          </w:tcPr>
          <w:p>
            <w:pPr>
              <w:spacing w:after="0"/>
              <w:jc w:val="right"/>
            </w:pPr>
            <w:r/>
            <w:r>
              <w:rPr>
                <w:sz w:val="17"/>
              </w:rPr>
              <w:t>3.0</w:t>
            </w:r>
          </w:p>
        </w:tc>
        <w:tc>
          <w:tcPr>
            <w:tcW w:type="dxa" w:w="1020"/>
            <w:shd w:val="clear" w:color="auto" w:fill="F3F5F8"/>
          </w:tcPr>
          <w:p>
            <w:pPr>
              <w:spacing w:after="0"/>
              <w:jc w:val="right"/>
            </w:pPr>
            <w:r/>
            <w:r>
              <w:rPr>
                <w:sz w:val="17"/>
              </w:rPr>
              <w:t>1.0</w:t>
            </w:r>
          </w:p>
        </w:tc>
        <w:tc>
          <w:tcPr>
            <w:tcW w:type="dxa" w:w="1020"/>
            <w:shd w:val="clear" w:color="auto" w:fill="F3F5F8"/>
          </w:tcPr>
          <w:p>
            <w:pPr>
              <w:spacing w:after="0"/>
              <w:jc w:val="right"/>
            </w:pPr>
            <w:r/>
            <w:r>
              <w:rPr>
                <w:sz w:val="17"/>
              </w:rPr>
              <w:t>0.0</w:t>
            </w:r>
          </w:p>
        </w:tc>
        <w:tc>
          <w:tcPr>
            <w:tcW w:type="dxa" w:w="1020"/>
            <w:shd w:val="clear" w:color="auto" w:fill="F3F5F8"/>
          </w:tcPr>
          <w:p>
            <w:pPr>
              <w:spacing w:after="0"/>
              <w:jc w:val="right"/>
            </w:pPr>
            <w:r/>
            <w:r>
              <w:rPr>
                <w:sz w:val="17"/>
              </w:rPr>
              <w:t>0.0</w:t>
            </w:r>
          </w:p>
        </w:tc>
        <w:tc>
          <w:tcPr>
            <w:tcW w:type="dxa" w:w="1020"/>
            <w:shd w:val="clear" w:color="auto" w:fill="F3F5F8"/>
          </w:tcPr>
          <w:p>
            <w:pPr>
              <w:spacing w:after="0"/>
              <w:jc w:val="right"/>
            </w:pPr>
            <w:r/>
            <w:r>
              <w:rPr>
                <w:sz w:val="17"/>
              </w:rPr>
              <w:t>250.45</w:t>
            </w:r>
          </w:p>
        </w:tc>
      </w:tr>
      <w:tr>
        <w:tc>
          <w:tcPr>
            <w:tcW w:type="dxa" w:w="1020"/>
          </w:tcPr>
          <w:p>
            <w:pPr>
              <w:spacing w:after="0"/>
            </w:pPr>
            <w:r/>
            <w:r>
              <w:rPr>
                <w:sz w:val="17"/>
              </w:rPr>
              <w:t>2010</w:t>
            </w:r>
          </w:p>
        </w:tc>
        <w:tc>
          <w:tcPr>
            <w:tcW w:type="dxa" w:w="1020"/>
          </w:tcPr>
          <w:p>
            <w:pPr>
              <w:spacing w:after="0"/>
              <w:jc w:val="right"/>
            </w:pPr>
            <w:r/>
            <w:r>
              <w:rPr>
                <w:sz w:val="17"/>
              </w:rPr>
              <w:t>7.16</w:t>
            </w:r>
          </w:p>
        </w:tc>
        <w:tc>
          <w:tcPr>
            <w:tcW w:type="dxa" w:w="1020"/>
          </w:tcPr>
          <w:p>
            <w:pPr>
              <w:spacing w:after="0"/>
              <w:jc w:val="right"/>
            </w:pPr>
            <w:r/>
            <w:r>
              <w:rPr>
                <w:sz w:val="17"/>
              </w:rPr>
              <w:t>7.16</w:t>
            </w:r>
          </w:p>
        </w:tc>
        <w:tc>
          <w:tcPr>
            <w:tcW w:type="dxa" w:w="1020"/>
          </w:tcPr>
          <w:p>
            <w:pPr>
              <w:spacing w:after="0"/>
              <w:jc w:val="right"/>
            </w:pPr>
            <w:r/>
            <w:r>
              <w:rPr>
                <w:sz w:val="17"/>
              </w:rPr>
              <w:t>0.0</w:t>
            </w:r>
          </w:p>
        </w:tc>
        <w:tc>
          <w:tcPr>
            <w:tcW w:type="dxa" w:w="1020"/>
          </w:tcPr>
          <w:p>
            <w:pPr>
              <w:spacing w:after="0"/>
              <w:jc w:val="right"/>
            </w:pPr>
            <w:r/>
            <w:r>
              <w:rPr>
                <w:sz w:val="17"/>
              </w:rPr>
              <w:t>3.39</w:t>
            </w:r>
          </w:p>
        </w:tc>
        <w:tc>
          <w:tcPr>
            <w:tcW w:type="dxa" w:w="1020"/>
          </w:tcPr>
          <w:p>
            <w:pPr>
              <w:spacing w:after="0"/>
              <w:jc w:val="right"/>
            </w:pPr>
            <w:r/>
            <w:r>
              <w:rPr>
                <w:sz w:val="17"/>
              </w:rPr>
              <w:t>1.45</w:t>
            </w:r>
          </w:p>
        </w:tc>
        <w:tc>
          <w:tcPr>
            <w:tcW w:type="dxa" w:w="1020"/>
          </w:tcPr>
          <w:p>
            <w:pPr>
              <w:spacing w:after="0"/>
              <w:jc w:val="right"/>
            </w:pPr>
            <w:r/>
            <w:r>
              <w:rPr>
                <w:sz w:val="17"/>
              </w:rPr>
              <w:t>0.02</w:t>
            </w:r>
          </w:p>
        </w:tc>
        <w:tc>
          <w:tcPr>
            <w:tcW w:type="dxa" w:w="1020"/>
          </w:tcPr>
          <w:p>
            <w:pPr>
              <w:spacing w:after="0"/>
              <w:jc w:val="right"/>
            </w:pPr>
            <w:r/>
            <w:r>
              <w:rPr>
                <w:sz w:val="17"/>
              </w:rPr>
              <w:t>0.0</w:t>
            </w:r>
          </w:p>
        </w:tc>
        <w:tc>
          <w:tcPr>
            <w:tcW w:type="dxa" w:w="1020"/>
          </w:tcPr>
          <w:p>
            <w:pPr>
              <w:spacing w:after="0"/>
              <w:jc w:val="right"/>
            </w:pPr>
            <w:r/>
            <w:r>
              <w:rPr>
                <w:sz w:val="17"/>
              </w:rPr>
              <w:t>201.26</w:t>
            </w:r>
          </w:p>
        </w:tc>
      </w:tr>
      <w:tr>
        <w:tc>
          <w:tcPr>
            <w:tcW w:type="dxa" w:w="1020"/>
            <w:shd w:val="clear" w:color="auto" w:fill="F3F5F8"/>
          </w:tcPr>
          <w:p>
            <w:pPr>
              <w:spacing w:after="0"/>
            </w:pPr>
            <w:r/>
            <w:r>
              <w:rPr>
                <w:sz w:val="17"/>
              </w:rPr>
              <w:t>2015</w:t>
            </w:r>
          </w:p>
        </w:tc>
        <w:tc>
          <w:tcPr>
            <w:tcW w:type="dxa" w:w="1020"/>
            <w:shd w:val="clear" w:color="auto" w:fill="F3F5F8"/>
          </w:tcPr>
          <w:p>
            <w:pPr>
              <w:spacing w:after="0"/>
              <w:jc w:val="right"/>
            </w:pPr>
            <w:r/>
            <w:r>
              <w:rPr>
                <w:sz w:val="17"/>
              </w:rPr>
              <w:t>9.82</w:t>
            </w:r>
          </w:p>
        </w:tc>
        <w:tc>
          <w:tcPr>
            <w:tcW w:type="dxa" w:w="1020"/>
            <w:shd w:val="clear" w:color="auto" w:fill="F3F5F8"/>
          </w:tcPr>
          <w:p>
            <w:pPr>
              <w:spacing w:after="0"/>
              <w:jc w:val="right"/>
            </w:pPr>
            <w:r/>
            <w:r>
              <w:rPr>
                <w:sz w:val="17"/>
              </w:rPr>
              <w:t>9.81</w:t>
            </w:r>
          </w:p>
        </w:tc>
        <w:tc>
          <w:tcPr>
            <w:tcW w:type="dxa" w:w="1020"/>
            <w:shd w:val="clear" w:color="auto" w:fill="F3F5F8"/>
          </w:tcPr>
          <w:p>
            <w:pPr>
              <w:spacing w:after="0"/>
              <w:jc w:val="right"/>
            </w:pPr>
            <w:r/>
            <w:r>
              <w:rPr>
                <w:sz w:val="17"/>
              </w:rPr>
              <w:t>0.01</w:t>
            </w:r>
          </w:p>
        </w:tc>
        <w:tc>
          <w:tcPr>
            <w:tcW w:type="dxa" w:w="1020"/>
            <w:shd w:val="clear" w:color="auto" w:fill="F3F5F8"/>
          </w:tcPr>
          <w:p>
            <w:pPr>
              <w:spacing w:after="0"/>
              <w:jc w:val="right"/>
            </w:pPr>
            <w:r/>
            <w:r>
              <w:rPr>
                <w:sz w:val="17"/>
              </w:rPr>
              <w:t>3.75</w:t>
            </w:r>
          </w:p>
        </w:tc>
        <w:tc>
          <w:tcPr>
            <w:tcW w:type="dxa" w:w="1020"/>
            <w:shd w:val="clear" w:color="auto" w:fill="F3F5F8"/>
          </w:tcPr>
          <w:p>
            <w:pPr>
              <w:spacing w:after="0"/>
              <w:jc w:val="right"/>
            </w:pPr>
            <w:r/>
            <w:r>
              <w:rPr>
                <w:sz w:val="17"/>
              </w:rPr>
              <w:t>4.48</w:t>
            </w:r>
          </w:p>
        </w:tc>
        <w:tc>
          <w:tcPr>
            <w:tcW w:type="dxa" w:w="1020"/>
            <w:shd w:val="clear" w:color="auto" w:fill="F3F5F8"/>
          </w:tcPr>
          <w:p>
            <w:pPr>
              <w:spacing w:after="0"/>
              <w:jc w:val="right"/>
            </w:pPr>
            <w:r/>
            <w:r>
              <w:rPr>
                <w:sz w:val="17"/>
              </w:rPr>
              <w:t>0.06</w:t>
            </w:r>
          </w:p>
        </w:tc>
        <w:tc>
          <w:tcPr>
            <w:tcW w:type="dxa" w:w="1020"/>
            <w:shd w:val="clear" w:color="auto" w:fill="F3F5F8"/>
          </w:tcPr>
          <w:p>
            <w:pPr>
              <w:spacing w:after="0"/>
              <w:jc w:val="right"/>
            </w:pPr>
            <w:r/>
            <w:r>
              <w:rPr>
                <w:sz w:val="17"/>
              </w:rPr>
              <w:t>0.05</w:t>
            </w:r>
          </w:p>
        </w:tc>
        <w:tc>
          <w:tcPr>
            <w:tcW w:type="dxa" w:w="1020"/>
            <w:shd w:val="clear" w:color="auto" w:fill="F3F5F8"/>
          </w:tcPr>
          <w:p>
            <w:pPr>
              <w:spacing w:after="0"/>
              <w:jc w:val="right"/>
            </w:pPr>
            <w:r/>
            <w:r>
              <w:rPr>
                <w:sz w:val="17"/>
              </w:rPr>
              <w:t>103.98</w:t>
            </w:r>
          </w:p>
        </w:tc>
      </w:tr>
      <w:tr>
        <w:tc>
          <w:tcPr>
            <w:tcW w:type="dxa" w:w="1020"/>
          </w:tcPr>
          <w:p>
            <w:pPr>
              <w:spacing w:after="0"/>
            </w:pPr>
            <w:r/>
            <w:r>
              <w:rPr>
                <w:sz w:val="17"/>
              </w:rPr>
              <w:t>2020</w:t>
            </w:r>
          </w:p>
        </w:tc>
        <w:tc>
          <w:tcPr>
            <w:tcW w:type="dxa" w:w="1020"/>
          </w:tcPr>
          <w:p>
            <w:pPr>
              <w:spacing w:after="0"/>
              <w:jc w:val="right"/>
            </w:pPr>
            <w:r/>
            <w:r>
              <w:rPr>
                <w:sz w:val="17"/>
              </w:rPr>
              <w:t>11.8</w:t>
            </w:r>
          </w:p>
        </w:tc>
        <w:tc>
          <w:tcPr>
            <w:tcW w:type="dxa" w:w="1020"/>
          </w:tcPr>
          <w:p>
            <w:pPr>
              <w:spacing w:after="0"/>
              <w:jc w:val="right"/>
            </w:pPr>
            <w:r/>
            <w:r>
              <w:rPr>
                <w:sz w:val="17"/>
              </w:rPr>
              <w:t>11.68</w:t>
            </w:r>
          </w:p>
        </w:tc>
        <w:tc>
          <w:tcPr>
            <w:tcW w:type="dxa" w:w="1020"/>
          </w:tcPr>
          <w:p>
            <w:pPr>
              <w:spacing w:after="0"/>
              <w:jc w:val="right"/>
            </w:pPr>
            <w:r/>
            <w:r>
              <w:rPr>
                <w:sz w:val="17"/>
              </w:rPr>
              <w:t>0.12</w:t>
            </w:r>
          </w:p>
        </w:tc>
        <w:tc>
          <w:tcPr>
            <w:tcW w:type="dxa" w:w="1020"/>
          </w:tcPr>
          <w:p>
            <w:pPr>
              <w:spacing w:after="0"/>
              <w:jc w:val="right"/>
            </w:pPr>
            <w:r/>
            <w:r>
              <w:rPr>
                <w:sz w:val="17"/>
              </w:rPr>
              <w:t>4.23</w:t>
            </w:r>
          </w:p>
        </w:tc>
        <w:tc>
          <w:tcPr>
            <w:tcW w:type="dxa" w:w="1020"/>
          </w:tcPr>
          <w:p>
            <w:pPr>
              <w:spacing w:after="0"/>
              <w:jc w:val="right"/>
            </w:pPr>
            <w:r/>
            <w:r>
              <w:rPr>
                <w:sz w:val="17"/>
              </w:rPr>
              <w:t>5.06</w:t>
            </w:r>
          </w:p>
        </w:tc>
        <w:tc>
          <w:tcPr>
            <w:tcW w:type="dxa" w:w="1020"/>
          </w:tcPr>
          <w:p>
            <w:pPr>
              <w:spacing w:after="0"/>
              <w:jc w:val="right"/>
            </w:pPr>
            <w:r/>
            <w:r>
              <w:rPr>
                <w:sz w:val="17"/>
              </w:rPr>
              <w:t>1.33</w:t>
            </w:r>
          </w:p>
        </w:tc>
        <w:tc>
          <w:tcPr>
            <w:tcW w:type="dxa" w:w="1020"/>
          </w:tcPr>
          <w:p>
            <w:pPr>
              <w:spacing w:after="0"/>
              <w:jc w:val="right"/>
            </w:pPr>
            <w:r/>
            <w:r>
              <w:rPr>
                <w:sz w:val="17"/>
              </w:rPr>
              <w:t>0.09</w:t>
            </w:r>
          </w:p>
        </w:tc>
        <w:tc>
          <w:tcPr>
            <w:tcW w:type="dxa" w:w="1020"/>
          </w:tcPr>
          <w:p>
            <w:pPr>
              <w:spacing w:after="0"/>
              <w:jc w:val="right"/>
            </w:pPr>
            <w:r/>
            <w:r>
              <w:rPr>
                <w:sz w:val="17"/>
              </w:rPr>
              <w:t>72.69</w:t>
            </w:r>
          </w:p>
        </w:tc>
      </w:tr>
      <w:tr>
        <w:tc>
          <w:tcPr>
            <w:tcW w:type="dxa" w:w="1020"/>
            <w:shd w:val="clear" w:color="auto" w:fill="F3F5F8"/>
          </w:tcPr>
          <w:p>
            <w:pPr>
              <w:spacing w:after="0"/>
            </w:pPr>
            <w:r/>
            <w:r>
              <w:rPr>
                <w:sz w:val="17"/>
              </w:rPr>
              <w:t>2022</w:t>
            </w:r>
          </w:p>
        </w:tc>
        <w:tc>
          <w:tcPr>
            <w:tcW w:type="dxa" w:w="1020"/>
            <w:shd w:val="clear" w:color="auto" w:fill="F3F5F8"/>
          </w:tcPr>
          <w:p>
            <w:pPr>
              <w:spacing w:after="0"/>
              <w:jc w:val="right"/>
            </w:pPr>
            <w:r/>
            <w:r>
              <w:rPr>
                <w:sz w:val="17"/>
              </w:rPr>
              <w:t>13.26</w:t>
            </w:r>
          </w:p>
        </w:tc>
        <w:tc>
          <w:tcPr>
            <w:tcW w:type="dxa" w:w="1020"/>
            <w:shd w:val="clear" w:color="auto" w:fill="F3F5F8"/>
          </w:tcPr>
          <w:p>
            <w:pPr>
              <w:spacing w:after="0"/>
              <w:jc w:val="right"/>
            </w:pPr>
            <w:r/>
            <w:r>
              <w:rPr>
                <w:sz w:val="17"/>
              </w:rPr>
              <w:t>12.96</w:t>
            </w:r>
          </w:p>
        </w:tc>
        <w:tc>
          <w:tcPr>
            <w:tcW w:type="dxa" w:w="1020"/>
            <w:shd w:val="clear" w:color="auto" w:fill="F3F5F8"/>
          </w:tcPr>
          <w:p>
            <w:pPr>
              <w:spacing w:after="0"/>
              <w:jc w:val="right"/>
            </w:pPr>
            <w:r/>
            <w:r>
              <w:rPr>
                <w:sz w:val="17"/>
              </w:rPr>
              <w:t>0.3</w:t>
            </w:r>
          </w:p>
        </w:tc>
        <w:tc>
          <w:tcPr>
            <w:tcW w:type="dxa" w:w="1020"/>
            <w:shd w:val="clear" w:color="auto" w:fill="F3F5F8"/>
          </w:tcPr>
          <w:p>
            <w:pPr>
              <w:spacing w:after="0"/>
              <w:jc w:val="right"/>
            </w:pPr>
            <w:r/>
            <w:r>
              <w:rPr>
                <w:sz w:val="17"/>
              </w:rPr>
              <w:t>3.04</w:t>
            </w:r>
          </w:p>
        </w:tc>
        <w:tc>
          <w:tcPr>
            <w:tcW w:type="dxa" w:w="1020"/>
            <w:shd w:val="clear" w:color="auto" w:fill="F3F5F8"/>
          </w:tcPr>
          <w:p>
            <w:pPr>
              <w:spacing w:after="0"/>
              <w:jc w:val="right"/>
            </w:pPr>
            <w:r/>
            <w:r>
              <w:rPr>
                <w:sz w:val="17"/>
              </w:rPr>
              <w:t>5.52</w:t>
            </w:r>
          </w:p>
        </w:tc>
        <w:tc>
          <w:tcPr>
            <w:tcW w:type="dxa" w:w="1020"/>
            <w:shd w:val="clear" w:color="auto" w:fill="F3F5F8"/>
          </w:tcPr>
          <w:p>
            <w:pPr>
              <w:spacing w:after="0"/>
              <w:jc w:val="right"/>
            </w:pPr>
            <w:r/>
            <w:r>
              <w:rPr>
                <w:sz w:val="17"/>
              </w:rPr>
              <w:t>2.14</w:t>
            </w:r>
          </w:p>
        </w:tc>
        <w:tc>
          <w:tcPr>
            <w:tcW w:type="dxa" w:w="1020"/>
            <w:shd w:val="clear" w:color="auto" w:fill="F3F5F8"/>
          </w:tcPr>
          <w:p>
            <w:pPr>
              <w:spacing w:after="0"/>
              <w:jc w:val="right"/>
            </w:pPr>
            <w:r/>
            <w:r>
              <w:rPr>
                <w:sz w:val="17"/>
              </w:rPr>
              <w:t>0.42</w:t>
            </w:r>
          </w:p>
        </w:tc>
        <w:tc>
          <w:tcPr>
            <w:tcW w:type="dxa" w:w="1020"/>
            <w:shd w:val="clear" w:color="auto" w:fill="F3F5F8"/>
          </w:tcPr>
          <w:p>
            <w:pPr>
              <w:spacing w:after="0"/>
              <w:jc w:val="right"/>
            </w:pPr>
            <w:r/>
            <w:r>
              <w:rPr>
                <w:sz w:val="17"/>
              </w:rPr>
              <w:t>109.26</w:t>
            </w:r>
          </w:p>
        </w:tc>
      </w:tr>
      <w:tr>
        <w:tc>
          <w:tcPr>
            <w:tcW w:type="dxa" w:w="1020"/>
          </w:tcPr>
          <w:p>
            <w:pPr>
              <w:spacing w:after="0"/>
            </w:pPr>
            <w:r/>
            <w:r>
              <w:rPr>
                <w:sz w:val="17"/>
              </w:rPr>
              <w:t>2023</w:t>
            </w:r>
          </w:p>
        </w:tc>
        <w:tc>
          <w:tcPr>
            <w:tcW w:type="dxa" w:w="1020"/>
          </w:tcPr>
          <w:p>
            <w:pPr>
              <w:spacing w:after="0"/>
              <w:jc w:val="right"/>
            </w:pPr>
            <w:r/>
            <w:r>
              <w:rPr>
                <w:sz w:val="17"/>
              </w:rPr>
              <w:t>13.69</w:t>
            </w:r>
          </w:p>
        </w:tc>
        <w:tc>
          <w:tcPr>
            <w:tcW w:type="dxa" w:w="1020"/>
          </w:tcPr>
          <w:p>
            <w:pPr>
              <w:spacing w:after="0"/>
              <w:jc w:val="right"/>
            </w:pPr>
            <w:r/>
            <w:r>
              <w:rPr>
                <w:sz w:val="17"/>
              </w:rPr>
              <w:t>12.8</w:t>
            </w:r>
          </w:p>
        </w:tc>
        <w:tc>
          <w:tcPr>
            <w:tcW w:type="dxa" w:w="1020"/>
          </w:tcPr>
          <w:p>
            <w:pPr>
              <w:spacing w:after="0"/>
              <w:jc w:val="right"/>
            </w:pPr>
            <w:r/>
            <w:r>
              <w:rPr>
                <w:sz w:val="17"/>
              </w:rPr>
              <w:t>0.89</w:t>
            </w:r>
          </w:p>
        </w:tc>
        <w:tc>
          <w:tcPr>
            <w:tcW w:type="dxa" w:w="1020"/>
          </w:tcPr>
          <w:p>
            <w:pPr>
              <w:spacing w:after="0"/>
              <w:jc w:val="right"/>
            </w:pPr>
            <w:r/>
            <w:r>
              <w:rPr>
                <w:sz w:val="17"/>
              </w:rPr>
              <w:t>2.67</w:t>
            </w:r>
          </w:p>
        </w:tc>
        <w:tc>
          <w:tcPr>
            <w:tcW w:type="dxa" w:w="1020"/>
          </w:tcPr>
          <w:p>
            <w:pPr>
              <w:spacing w:after="0"/>
              <w:jc w:val="right"/>
            </w:pPr>
            <w:r/>
            <w:r>
              <w:rPr>
                <w:sz w:val="17"/>
              </w:rPr>
              <w:t>6.03</w:t>
            </w:r>
          </w:p>
        </w:tc>
        <w:tc>
          <w:tcPr>
            <w:tcW w:type="dxa" w:w="1020"/>
          </w:tcPr>
          <w:p>
            <w:pPr>
              <w:spacing w:after="0"/>
              <w:jc w:val="right"/>
            </w:pPr>
            <w:r/>
            <w:r>
              <w:rPr>
                <w:sz w:val="17"/>
              </w:rPr>
              <w:t>2.01</w:t>
            </w:r>
          </w:p>
        </w:tc>
        <w:tc>
          <w:tcPr>
            <w:tcW w:type="dxa" w:w="1020"/>
          </w:tcPr>
          <w:p>
            <w:pPr>
              <w:spacing w:after="0"/>
              <w:jc w:val="right"/>
            </w:pPr>
            <w:r/>
            <w:r>
              <w:rPr>
                <w:sz w:val="17"/>
              </w:rPr>
              <w:t>0.58</w:t>
            </w:r>
          </w:p>
        </w:tc>
        <w:tc>
          <w:tcPr>
            <w:tcW w:type="dxa" w:w="1020"/>
          </w:tcPr>
          <w:p>
            <w:pPr>
              <w:spacing w:after="0"/>
              <w:jc w:val="right"/>
            </w:pPr>
            <w:r/>
            <w:r>
              <w:rPr>
                <w:sz w:val="17"/>
              </w:rPr>
              <w:t>97.03</w:t>
            </w:r>
          </w:p>
        </w:tc>
      </w:tr>
      <w:tr>
        <w:tc>
          <w:tcPr>
            <w:tcW w:type="dxa" w:w="1020"/>
            <w:shd w:val="clear" w:color="auto" w:fill="F3F5F8"/>
          </w:tcPr>
          <w:p>
            <w:pPr>
              <w:spacing w:after="0"/>
            </w:pPr>
            <w:r/>
            <w:r>
              <w:rPr>
                <w:sz w:val="17"/>
              </w:rPr>
              <w:t>2024</w:t>
            </w:r>
          </w:p>
        </w:tc>
        <w:tc>
          <w:tcPr>
            <w:tcW w:type="dxa" w:w="1020"/>
            <w:shd w:val="clear" w:color="auto" w:fill="F3F5F8"/>
          </w:tcPr>
          <w:p>
            <w:pPr>
              <w:spacing w:after="0"/>
              <w:jc w:val="right"/>
            </w:pPr>
            <w:r/>
            <w:r>
              <w:rPr>
                <w:sz w:val="17"/>
              </w:rPr>
              <w:t>14.75</w:t>
            </w:r>
          </w:p>
        </w:tc>
        <w:tc>
          <w:tcPr>
            <w:tcW w:type="dxa" w:w="1020"/>
            <w:shd w:val="clear" w:color="auto" w:fill="F3F5F8"/>
          </w:tcPr>
          <w:p>
            <w:pPr>
              <w:spacing w:after="0"/>
              <w:jc w:val="right"/>
            </w:pPr>
            <w:r/>
            <w:r>
              <w:rPr>
                <w:sz w:val="17"/>
              </w:rPr>
              <w:t>13.26</w:t>
            </w:r>
          </w:p>
        </w:tc>
        <w:tc>
          <w:tcPr>
            <w:tcW w:type="dxa" w:w="1020"/>
            <w:shd w:val="clear" w:color="auto" w:fill="F3F5F8"/>
          </w:tcPr>
          <w:p>
            <w:pPr>
              <w:spacing w:after="0"/>
              <w:jc w:val="right"/>
            </w:pPr>
            <w:r/>
            <w:r>
              <w:rPr>
                <w:sz w:val="17"/>
              </w:rPr>
              <w:t>1.49</w:t>
            </w:r>
          </w:p>
        </w:tc>
        <w:tc>
          <w:tcPr>
            <w:tcW w:type="dxa" w:w="1020"/>
            <w:shd w:val="clear" w:color="auto" w:fill="F3F5F8"/>
          </w:tcPr>
          <w:p>
            <w:pPr>
              <w:spacing w:after="0"/>
              <w:jc w:val="right"/>
            </w:pPr>
            <w:r/>
            <w:r>
              <w:rPr>
                <w:sz w:val="17"/>
              </w:rPr>
              <w:t>3.1</w:t>
            </w:r>
          </w:p>
        </w:tc>
        <w:tc>
          <w:tcPr>
            <w:tcW w:type="dxa" w:w="1020"/>
            <w:shd w:val="clear" w:color="auto" w:fill="F3F5F8"/>
          </w:tcPr>
          <w:p>
            <w:pPr>
              <w:spacing w:after="0"/>
              <w:jc w:val="right"/>
            </w:pPr>
            <w:r/>
            <w:r>
              <w:rPr>
                <w:sz w:val="17"/>
              </w:rPr>
              <w:t>6.0</w:t>
            </w:r>
          </w:p>
        </w:tc>
        <w:tc>
          <w:tcPr>
            <w:tcW w:type="dxa" w:w="1020"/>
            <w:shd w:val="clear" w:color="auto" w:fill="F3F5F8"/>
          </w:tcPr>
          <w:p>
            <w:pPr>
              <w:spacing w:after="0"/>
              <w:jc w:val="right"/>
            </w:pPr>
            <w:r/>
            <w:r>
              <w:rPr>
                <w:sz w:val="17"/>
              </w:rPr>
              <w:t>2.17</w:t>
            </w:r>
          </w:p>
        </w:tc>
        <w:tc>
          <w:tcPr>
            <w:tcW w:type="dxa" w:w="1020"/>
            <w:shd w:val="clear" w:color="auto" w:fill="F3F5F8"/>
          </w:tcPr>
          <w:p>
            <w:pPr>
              <w:spacing w:after="0"/>
              <w:jc w:val="right"/>
            </w:pPr>
            <w:r/>
            <w:r>
              <w:rPr>
                <w:sz w:val="17"/>
              </w:rPr>
              <w:t>0.66</w:t>
            </w:r>
          </w:p>
        </w:tc>
        <w:tc>
          <w:tcPr>
            <w:tcW w:type="dxa" w:w="1020"/>
            <w:shd w:val="clear" w:color="auto" w:fill="F3F5F8"/>
          </w:tcPr>
          <w:p>
            <w:pPr>
              <w:spacing w:after="0"/>
              <w:jc w:val="right"/>
            </w:pPr>
            <w:r/>
            <w:r>
              <w:rPr>
                <w:sz w:val="17"/>
              </w:rPr>
              <w:t>85.82</w:t>
            </w:r>
          </w:p>
        </w:tc>
      </w:tr>
      <w:tr>
        <w:tc>
          <w:tcPr>
            <w:tcW w:type="dxa" w:w="1020"/>
          </w:tcPr>
          <w:p>
            <w:pPr>
              <w:spacing w:after="0"/>
            </w:pPr>
            <w:r/>
            <w:r>
              <w:rPr>
                <w:sz w:val="17"/>
              </w:rPr>
              <w:t>2025</w:t>
            </w:r>
          </w:p>
        </w:tc>
        <w:tc>
          <w:tcPr>
            <w:tcW w:type="dxa" w:w="1020"/>
          </w:tcPr>
          <w:p>
            <w:pPr>
              <w:spacing w:after="0"/>
              <w:jc w:val="right"/>
            </w:pPr>
            <w:r/>
            <w:r>
              <w:rPr>
                <w:sz w:val="17"/>
              </w:rPr>
              <w:t>15.57</w:t>
            </w:r>
          </w:p>
        </w:tc>
        <w:tc>
          <w:tcPr>
            <w:tcW w:type="dxa" w:w="1020"/>
          </w:tcPr>
          <w:p>
            <w:pPr>
              <w:spacing w:after="0"/>
              <w:jc w:val="right"/>
            </w:pPr>
            <w:r/>
            <w:r>
              <w:rPr>
                <w:sz w:val="17"/>
              </w:rPr>
              <w:t>14.05</w:t>
            </w:r>
          </w:p>
        </w:tc>
        <w:tc>
          <w:tcPr>
            <w:tcW w:type="dxa" w:w="1020"/>
          </w:tcPr>
          <w:p>
            <w:pPr>
              <w:spacing w:after="0"/>
              <w:jc w:val="right"/>
            </w:pPr>
            <w:r/>
            <w:r>
              <w:rPr>
                <w:sz w:val="17"/>
              </w:rPr>
              <w:t>1.52</w:t>
            </w:r>
          </w:p>
        </w:tc>
        <w:tc>
          <w:tcPr>
            <w:tcW w:type="dxa" w:w="1020"/>
          </w:tcPr>
          <w:p>
            <w:pPr>
              <w:spacing w:after="0"/>
              <w:jc w:val="right"/>
            </w:pPr>
            <w:r/>
            <w:r>
              <w:rPr>
                <w:sz w:val="17"/>
              </w:rPr>
              <w:t>2.93</w:t>
            </w:r>
          </w:p>
        </w:tc>
        <w:tc>
          <w:tcPr>
            <w:tcW w:type="dxa" w:w="1020"/>
          </w:tcPr>
          <w:p>
            <w:pPr>
              <w:spacing w:after="0"/>
              <w:jc w:val="right"/>
            </w:pPr>
            <w:r/>
            <w:r>
              <w:rPr>
                <w:sz w:val="17"/>
              </w:rPr>
              <w:t>6.44</w:t>
            </w:r>
          </w:p>
        </w:tc>
        <w:tc>
          <w:tcPr>
            <w:tcW w:type="dxa" w:w="1020"/>
          </w:tcPr>
          <w:p>
            <w:pPr>
              <w:spacing w:after="0"/>
              <w:jc w:val="right"/>
            </w:pPr>
            <w:r/>
            <w:r>
              <w:rPr>
                <w:sz w:val="17"/>
              </w:rPr>
              <w:t>2.32</w:t>
            </w:r>
          </w:p>
        </w:tc>
        <w:tc>
          <w:tcPr>
            <w:tcW w:type="dxa" w:w="1020"/>
          </w:tcPr>
          <w:p>
            <w:pPr>
              <w:spacing w:after="0"/>
              <w:jc w:val="right"/>
            </w:pPr>
            <w:r/>
            <w:r>
              <w:rPr>
                <w:sz w:val="17"/>
              </w:rPr>
              <w:t>0.67</w:t>
            </w:r>
          </w:p>
        </w:tc>
        <w:tc>
          <w:tcPr>
            <w:tcW w:type="dxa" w:w="1020"/>
          </w:tcPr>
          <w:p>
            <w:pPr>
              <w:spacing w:after="0"/>
              <w:jc w:val="right"/>
            </w:pPr>
            <w:r/>
            <w:r>
              <w:rPr>
                <w:sz w:val="17"/>
              </w:rPr>
              <w:t>95.89</w:t>
            </w:r>
          </w:p>
        </w:tc>
      </w:tr>
    </w:tbl>
    <w:p>
      <w:pPr>
        <w:spacing w:after="40"/>
      </w:pPr>
    </w:p>
    <w:p>
      <w:pPr>
        <w:pStyle w:val="Heading1"/>
      </w:pPr>
      <w:r>
        <w:t>Appendix D  Sources</w:t>
      </w:r>
    </w:p>
    <w:p>
      <w:pPr>
        <w:pStyle w:val="ListBullet"/>
        <w:spacing w:after="60"/>
      </w:pPr>
      <w:r>
        <w:t>Ember. Yearly electricity data. Licensed CC BY 4.0. https://ember-energy.org/data/yearly-electricity-data/</w:t>
      </w:r>
    </w:p>
    <w:p>
      <w:pPr>
        <w:pStyle w:val="ListBullet"/>
        <w:spacing w:after="60"/>
      </w:pPr>
      <w:r>
        <w:t>Our World in Data. Energy dataset (compiled from Ember, the Energy Institute Statistical Review and other sources). Licensed CC BY 4.0. https://github.com/owid/energy-data</w:t>
      </w:r>
    </w:p>
    <w:p>
      <w:pPr>
        <w:pStyle w:val="ListBullet"/>
        <w:spacing w:after="60"/>
      </w:pPr>
      <w:r>
        <w:t>All code, derived data and figures: project GitHub repository (see README). Method detail: Technical Methods Report.</w:t>
      </w:r>
    </w:p>
    <w:sectPr w:rsidR="00FC693F" w:rsidRPr="0006063C" w:rsidSect="00034616">
      <w:headerReference w:type="default" r:id="rId9"/>
      <w:footerReference w:type="default" r:id="rId10"/>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7"/>
      </w:rPr>
      <w:t>Kenya Electricity Demand Outlook and Supply-Security Assessment | Portfolio analytical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8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8C"/>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 Electricity Demand Outlook and Supply-Security Assessment</dc:title>
  <dc:subject/>
  <dc:creator>Samatar Ahmed</dc:creator>
  <cp:keywords/>
  <dc:description>generated by python-docx</dc:description>
  <cp:lastModifiedBy>Samatar Ahmed</cp:lastModifiedBy>
  <cp:revision>1</cp:revision>
  <dcterms:created xsi:type="dcterms:W3CDTF">2013-12-23T23:15:00Z</dcterms:created>
  <dcterms:modified xsi:type="dcterms:W3CDTF">2013-12-23T23:15:00Z</dcterms:modified>
  <cp:category/>
</cp:coreProperties>
</file>