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4E79"/>
          <w:sz w:val="60"/>
        </w:rPr>
        <w:t>KENYA PETROLEUM MARKET OUTLOOK</w:t>
      </w:r>
    </w:p>
    <w:p>
      <w:pPr>
        <w:jc w:val="center"/>
      </w:pPr>
      <w:r>
        <w:rPr>
          <w:b w:val="0"/>
          <w:i w:val="0"/>
          <w:sz w:val="30"/>
        </w:rPr>
        <w:t>Demand, Prices, Supply Security and Investment Scenarios, 2026–2035</w:t>
      </w:r>
    </w:p>
    <w:p>
      <w:pPr>
        <w:jc w:val="center"/>
      </w:pPr>
      <w:r>
        <w:rPr>
          <w:b w:val="0"/>
          <w:i/>
          <w:sz w:val="24"/>
        </w:rPr>
        <w:t>An evidence-based analytical report</w:t>
      </w:r>
    </w:p>
    <w:p/>
    <w:p/>
    <w:p/>
    <w:p/>
    <w:p>
      <w:pPr>
        <w:jc w:val="center"/>
      </w:pPr>
      <w:r>
        <w:rPr>
          <w:b w:val="0"/>
          <w:i w:val="0"/>
          <w:sz w:val="24"/>
        </w:rPr>
        <w:t>October 2026</w:t>
      </w:r>
    </w:p>
    <w:p>
      <w:pPr>
        <w:jc w:val="center"/>
      </w:pPr>
      <w:r>
        <w:rPr>
          <w:b w:val="0"/>
          <w:i/>
          <w:sz w:val="19"/>
        </w:rPr>
        <w:t>Data: EPRA, KNBS (as published), LeadAfrik structured datasets, official and press-reported 2026 market data. Every assumption is labelled; scenario outputs are analytical constructs, not official forecasts or ministry classifications.</w:t>
      </w:r>
    </w:p>
    <w:p>
      <w:r>
        <w:br w:type="page"/>
      </w:r>
    </w:p>
    <w:p>
      <w:pPr>
        <w:pStyle w:val="Heading1"/>
      </w:pPr>
      <w:r>
        <w:t>Contents</w:t>
      </w:r>
    </w:p>
    <w:p>
      <w:pPr>
        <w:pStyle w:val="ListBullet"/>
        <w:spacing w:after="20"/>
      </w:pPr>
      <w:r>
        <w:t>Executive summary</w:t>
      </w:r>
    </w:p>
    <w:p>
      <w:pPr>
        <w:pStyle w:val="ListBullet"/>
        <w:spacing w:after="20"/>
      </w:pPr>
      <w:r>
        <w:t>Key figures at a glance</w:t>
      </w:r>
    </w:p>
    <w:p>
      <w:pPr>
        <w:pStyle w:val="ListBullet"/>
        <w:spacing w:after="20"/>
      </w:pPr>
      <w:r>
        <w:t>1. Introduction and 2026 market context</w:t>
      </w:r>
    </w:p>
    <w:p>
      <w:pPr>
        <w:pStyle w:val="ListBullet"/>
        <w:spacing w:after="20"/>
      </w:pPr>
      <w:r>
        <w:t>2. Market structure and institutions</w:t>
      </w:r>
    </w:p>
    <w:p>
      <w:pPr>
        <w:pStyle w:val="ListBullet"/>
        <w:spacing w:after="20"/>
      </w:pPr>
      <w:r>
        <w:t>3. Data and methodology</w:t>
      </w:r>
    </w:p>
    <w:p>
      <w:pPr>
        <w:pStyle w:val="ListBullet"/>
        <w:spacing w:after="20"/>
      </w:pPr>
      <w:r>
        <w:t>4. Historical demand (product profiles, seasonality, substitution)</w:t>
      </w:r>
    </w:p>
    <w:p>
      <w:pPr>
        <w:pStyle w:val="ListBullet"/>
        <w:spacing w:after="20"/>
      </w:pPr>
      <w:r>
        <w:t>5. Price dynamics (national, regional, pass-through)</w:t>
      </w:r>
    </w:p>
    <w:p>
      <w:pPr>
        <w:pStyle w:val="ListBullet"/>
        <w:spacing w:after="20"/>
      </w:pPr>
      <w:r>
        <w:t>6. Import dependence and the landed-cost bill</w:t>
      </w:r>
    </w:p>
    <w:p>
      <w:pPr>
        <w:pStyle w:val="ListBullet"/>
        <w:spacing w:after="20"/>
      </w:pPr>
      <w:r>
        <w:t>7. Price elasticity of demand</w:t>
      </w:r>
    </w:p>
    <w:p>
      <w:pPr>
        <w:pStyle w:val="ListBullet"/>
        <w:spacing w:after="20"/>
      </w:pPr>
      <w:r>
        <w:t>8. Demand forecasts</w:t>
      </w:r>
    </w:p>
    <w:p>
      <w:pPr>
        <w:pStyle w:val="ListBullet"/>
        <w:spacing w:after="20"/>
      </w:pPr>
      <w:r>
        <w:t>9. Scenario analysis 2025–2035 and sensitivities</w:t>
      </w:r>
    </w:p>
    <w:p>
      <w:pPr>
        <w:pStyle w:val="ListBullet"/>
        <w:spacing w:after="20"/>
      </w:pPr>
      <w:r>
        <w:t>10. Supply security and the cost of reserves</w:t>
      </w:r>
    </w:p>
    <w:p>
      <w:pPr>
        <w:pStyle w:val="ListBullet"/>
        <w:spacing w:after="20"/>
      </w:pPr>
      <w:r>
        <w:t>11. Infrastructure requirements</w:t>
      </w:r>
    </w:p>
    <w:p>
      <w:pPr>
        <w:pStyle w:val="ListBullet"/>
        <w:spacing w:after="20"/>
      </w:pPr>
      <w:r>
        <w:t>12. Upstream project economics: South Lokichar</w:t>
      </w:r>
    </w:p>
    <w:p>
      <w:pPr>
        <w:pStyle w:val="ListBullet"/>
        <w:spacing w:after="20"/>
      </w:pPr>
      <w:r>
        <w:t>13. Risk assessment</w:t>
      </w:r>
    </w:p>
    <w:p>
      <w:pPr>
        <w:pStyle w:val="ListBullet"/>
        <w:spacing w:after="20"/>
      </w:pPr>
      <w:r>
        <w:t>14. Structural change: energy transition and cooking fuels</w:t>
      </w:r>
    </w:p>
    <w:p>
      <w:pPr>
        <w:pStyle w:val="ListBullet"/>
        <w:spacing w:after="20"/>
      </w:pPr>
      <w:r>
        <w:t>15. Stress test: a repeat supply shock</w:t>
      </w:r>
    </w:p>
    <w:p>
      <w:pPr>
        <w:pStyle w:val="ListBullet"/>
        <w:spacing w:after="20"/>
      </w:pPr>
      <w:r>
        <w:t>16. Monitoring framework and early-warning indicators</w:t>
      </w:r>
    </w:p>
    <w:p>
      <w:pPr>
        <w:pStyle w:val="ListBullet"/>
        <w:spacing w:after="20"/>
      </w:pPr>
      <w:r>
        <w:t>17. Key findings</w:t>
      </w:r>
    </w:p>
    <w:p>
      <w:pPr>
        <w:pStyle w:val="ListBullet"/>
        <w:spacing w:after="20"/>
      </w:pPr>
      <w:r>
        <w:t>18. Policy considerations and implementation priorities</w:t>
      </w:r>
    </w:p>
    <w:p>
      <w:pPr>
        <w:pStyle w:val="ListBullet"/>
        <w:spacing w:after="20"/>
      </w:pPr>
      <w:r>
        <w:t>19. Limitations</w:t>
      </w:r>
    </w:p>
    <w:p>
      <w:pPr>
        <w:pStyle w:val="ListBullet"/>
        <w:spacing w:after="20"/>
      </w:pPr>
      <w:r>
        <w:t>20. Coverage of the original project brief</w:t>
      </w:r>
    </w:p>
    <w:p>
      <w:pPr>
        <w:pStyle w:val="ListBullet"/>
        <w:spacing w:after="20"/>
      </w:pPr>
      <w:r>
        <w:t>Glossary</w:t>
      </w:r>
    </w:p>
    <w:p>
      <w:pPr>
        <w:pStyle w:val="ListBullet"/>
        <w:spacing w:after="20"/>
      </w:pPr>
      <w:r>
        <w:t>Annex A–E: data tables, forecast metrics, assumptions, sources</w:t>
      </w:r>
    </w:p>
    <w:p>
      <w:r>
        <w:br w:type="page"/>
      </w:r>
    </w:p>
    <w:p>
      <w:pPr>
        <w:pStyle w:val="Heading1"/>
      </w:pPr>
      <w:r>
        <w:t>Executive summary</w:t>
      </w:r>
    </w:p>
    <w:p>
      <w:r>
        <w:rPr>
          <w:b w:val="0"/>
          <w:i w:val="0"/>
        </w:rPr>
        <w:t xml:space="preserve">Kenya’s petroleum market entered 2026 on a strong growth path and was then hit by one of the largest external shocks in its recent history. </w:t>
      </w:r>
      <w:r>
        <w:rPr>
          <w:b/>
          <w:i w:val="0"/>
        </w:rPr>
        <w:t>Domestic demand rose 12.0% to 5.71 million tonnes in 2025</w:t>
      </w:r>
      <w:r>
        <w:rPr>
          <w:b w:val="0"/>
          <w:i w:val="0"/>
        </w:rPr>
        <w:t xml:space="preserve"> on the dataset used here (the Economic Survey 2026 reports +9.9% to 5.7 Mt; the difference is explained in Section 3). Diesel and petrol made up </w:t>
      </w:r>
      <w:r>
        <w:rPr>
          <w:b/>
          <w:i w:val="0"/>
        </w:rPr>
        <w:t>71.4%</w:t>
      </w:r>
      <w:r>
        <w:rPr>
          <w:b w:val="0"/>
          <w:i w:val="0"/>
        </w:rPr>
        <w:t xml:space="preserve"> of demand, exactly the share KNBS reports. From 28 February 2026, the Gulf war and the effective closure of the Strait of Hormuz lifted landed fuel costs by roughly half, produced pump-queue shortages in April, and pushed Nairobi diesel from KSh 166.54 to KSh 242.92 per litre by May.</w:t>
      </w:r>
    </w:p>
    <w:p>
      <w:r>
        <w:rPr>
          <w:b/>
          <w:i w:val="0"/>
        </w:rPr>
        <w:t>Headline findings</w:t>
      </w:r>
    </w:p>
    <w:p>
      <w:pPr>
        <w:pStyle w:val="ListBullet"/>
        <w:spacing w:after="40"/>
      </w:pPr>
      <w:r>
        <w:rPr>
          <w:b/>
          <w:i w:val="0"/>
        </w:rPr>
        <w:t>Demand was accelerating before the shock.</w:t>
      </w:r>
      <w:r>
        <w:rPr>
          <w:b w:val="0"/>
          <w:i w:val="0"/>
        </w:rPr>
        <w:t xml:space="preserve"> 2025 growth by product: diesel +10.3% (2.42 Mt), petrol +12.5% (1.66 Mt), LPG +14.7% (476 kt). Jan–Feb 2026 total demand was still +7.1% year on year. No monthly volume data exist in the dataset after February 2026 (March is blank), so the effect of the shock on volumes is </w:t>
      </w:r>
      <w:r>
        <w:rPr>
          <w:b/>
          <w:i w:val="0"/>
        </w:rPr>
        <w:t>not yet observed</w:t>
      </w:r>
      <w:r>
        <w:rPr>
          <w:b w:val="0"/>
          <w:i w:val="0"/>
        </w:rPr>
        <w:t>; it is scenario-modelled here.</w:t>
      </w:r>
    </w:p>
    <w:p>
      <w:pPr>
        <w:pStyle w:val="ListBullet"/>
        <w:spacing w:after="40"/>
      </w:pPr>
      <w:r>
        <w:rPr>
          <w:b/>
          <w:i w:val="0"/>
        </w:rPr>
        <w:t>The published data labels are wrong in the main dataset.</w:t>
      </w:r>
      <w:r>
        <w:rPr>
          <w:b w:val="0"/>
          <w:i w:val="0"/>
        </w:rPr>
        <w:t xml:space="preserve"> The columns labelled “LPG” and “Other” are actually petrol and LPG. This was identified by matching each column to EPRA’s 2024 actuals (diesel, petrol, LPG and kerosene match to the decimal). Anyone using the labels as published would report LPG demand 3.5 times too high and petrol demand about half its true level.</w:t>
      </w:r>
    </w:p>
    <w:p>
      <w:pPr>
        <w:pStyle w:val="ListBullet"/>
        <w:spacing w:after="40"/>
      </w:pPr>
      <w:r>
        <w:rPr>
          <w:b/>
          <w:i w:val="0"/>
        </w:rPr>
        <w:t>Statistical forecasting is possible only for about 12 months.</w:t>
      </w:r>
      <w:r>
        <w:rPr>
          <w:b w:val="0"/>
          <w:i w:val="0"/>
        </w:rPr>
        <w:t xml:space="preserve"> With 26 monthly observations, a seasonal-naive-with-growth model beat every alternative for diesel, LPG and total demand (out-of-sample sMAPE 2.6–3.1%, versus 5–8% for naïve forecasts). Its no-shock counterfactual for March 2026–February 2027 is </w:t>
      </w:r>
      <w:r>
        <w:rPr>
          <w:b/>
          <w:i w:val="0"/>
        </w:rPr>
        <w:t>6.37 Mt (80% interval 6.04–6.69 Mt)</w:t>
      </w:r>
      <w:r>
        <w:rPr>
          <w:b w:val="0"/>
          <w:i w:val="0"/>
        </w:rPr>
        <w:t>. Beyond that, horizons to 2035 are scenario projections, not statistical forecasts.</w:t>
      </w:r>
    </w:p>
    <w:p>
      <w:pPr>
        <w:pStyle w:val="ListBullet"/>
        <w:spacing w:after="40"/>
      </w:pPr>
      <w:r>
        <w:rPr>
          <w:b/>
          <w:i w:val="0"/>
        </w:rPr>
        <w:t>Baseline demand reaches 6.3 Mt in 2030 and 7.2 Mt in 2035</w:t>
      </w:r>
      <w:r>
        <w:rPr>
          <w:b w:val="0"/>
          <w:i w:val="0"/>
        </w:rPr>
        <w:t xml:space="preserve"> (range 6.6–7.8 Mt in 2035 across low and high cases), a 2.3% annual average rate from the 2025 base. LPG grows fastest (to about 860 kt by 2035); kerosene keeps shrinking. The baseline is conservative relative to 2024–25 momentum: if underlying growth runs 2 points a year higher, 2035 demand would be 8.4 Mt (+17.5%).</w:t>
      </w:r>
    </w:p>
    <w:p>
      <w:pPr>
        <w:pStyle w:val="ListBullet"/>
        <w:spacing w:after="40"/>
      </w:pPr>
      <w:r>
        <w:rPr>
          <w:b/>
          <w:i w:val="0"/>
        </w:rPr>
        <w:t>Supply security, not tank space, was the binding constraint.</w:t>
      </w:r>
      <w:r>
        <w:rPr>
          <w:b w:val="0"/>
          <w:i w:val="0"/>
        </w:rPr>
        <w:t xml:space="preserve"> Licensed tank capacity equals roughly 73–96 days of 2025 demand if full, yet reported stocks in April–May 2026 were 13–28 days against the 30-day planning standard (15 operational plus 15 strategic). The gap was about 55–110 million litres for diesel and 13–107 million litres for petrol. Holding 30 days of petrol and diesel would tie up about US$390 million of product (KSh 51 billion) at August 2026 landed costs; 90 days, US$1.2 billion.</w:t>
      </w:r>
    </w:p>
    <w:p>
      <w:pPr>
        <w:pStyle w:val="ListBullet"/>
        <w:spacing w:after="40"/>
      </w:pPr>
      <w:r>
        <w:rPr>
          <w:b/>
          <w:i w:val="0"/>
        </w:rPr>
        <w:t>LPG is the one product with a physical infrastructure gap.</w:t>
      </w:r>
      <w:r>
        <w:rPr>
          <w:b w:val="0"/>
          <w:i w:val="0"/>
        </w:rPr>
        <w:t xml:space="preserve"> Required storage exceeds the 44.4 kt installed (March 2025) from 2026 in the baseline, reaching a 10.8 kt shortfall in 2029. Even if the 10 kt Lake Gas facility is commissioned, the gap re-opens by 2029.</w:t>
      </w:r>
    </w:p>
    <w:p>
      <w:pPr>
        <w:pStyle w:val="ListBullet"/>
        <w:spacing w:after="40"/>
      </w:pPr>
      <w:r>
        <w:rPr>
          <w:b/>
          <w:i w:val="0"/>
        </w:rPr>
        <w:t>Pump prices passed through most, not all, of the shock.</w:t>
      </w:r>
      <w:r>
        <w:rPr>
          <w:b w:val="0"/>
          <w:i w:val="0"/>
        </w:rPr>
        <w:t xml:space="preserve"> Petrol’s landed cost rose 50% (February to August 2026); the Nairobi pump price rose 20%. In shilling terms that is about 82% of the VAT-inclusive cost increase, the remainder cushioned by stabilisation support. At constant 2026 volumes, the higher landed cost adds about US$0.7 billion (KSh 89 billion) to the petrol import bill alone.</w:t>
      </w:r>
    </w:p>
    <w:p>
      <w:pPr>
        <w:pStyle w:val="ListBullet"/>
        <w:spacing w:after="40"/>
      </w:pPr>
      <w:r>
        <w:rPr>
          <w:b/>
          <w:i w:val="0"/>
        </w:rPr>
        <w:t>South Lokichar is oil-price-sensitive and fiscal-term-sensitive.</w:t>
      </w:r>
      <w:r>
        <w:rPr>
          <w:b w:val="0"/>
          <w:i w:val="0"/>
        </w:rPr>
        <w:t xml:space="preserve"> In an illustrative model (60 kbpd plateau, US$6 bn capex, US$70 Brent), the project earns an NPV10 of US$1.6 bn and 15% IRR with a break-even of US$60/bbl. A Monte Carlo on uncertain price, output and cost gives a 30% chance of negative project NPV; under the tougher fiscal case, the chance that the contractor’s NPV is negative is 73%. Whether a private developer earns an adequate return depends on fiscal terms that are not public: contractor break-even ranges from US$73 to US$82 across the two terms tested.</w:t>
      </w:r>
    </w:p>
    <w:p>
      <w:pPr>
        <w:pStyle w:val="ListBullet"/>
        <w:spacing w:after="40"/>
      </w:pPr>
      <w:r>
        <w:rPr>
          <w:b/>
          <w:i w:val="0"/>
        </w:rPr>
        <w:t>Risk ranking (analytical framework):</w:t>
      </w:r>
      <w:r>
        <w:rPr>
          <w:b w:val="0"/>
          <w:i w:val="0"/>
        </w:rPr>
        <w:t xml:space="preserve"> LPG HIGH; petrol and diesel MEDIUM; jet fuel LOW. Weight sensitivity tests leave LPG on top in all three weightings.</w:t>
      </w:r>
    </w:p>
    <w:p>
      <w:r>
        <w:rPr>
          <w:b/>
          <w:i w:val="0"/>
        </w:rPr>
        <w:t>What policymakers should watch:</w:t>
      </w:r>
      <w:r>
        <w:rPr>
          <w:b w:val="0"/>
          <w:i w:val="0"/>
        </w:rPr>
        <w:t xml:space="preserve"> (1) stock cover by product against the 30-day standard; (2) March–December 2026 volume data when published, compared with the forecast intervals in Section 8; (3) diesel pass-through and stabilisation costs; (4) LPG storage commissioning; (5) concentration of supply on Gulf-origin cargoes; (6) Brent and the shilling.</w:t>
      </w:r>
    </w:p>
    <w:p>
      <w:r>
        <w:br w:type="page"/>
      </w:r>
    </w:p>
    <w:p>
      <w:pPr>
        <w:pStyle w:val="Heading1"/>
      </w:pPr>
      <w:r>
        <w:t>Key figures at a glance</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3969"/>
            <w:shd w:val="clear" w:color="auto" w:fill="1F4E79"/>
          </w:tcPr>
          <w:p>
            <w:pPr>
              <w:spacing w:after="20"/>
            </w:pPr>
            <w:r/>
            <w:r>
              <w:rPr>
                <w:b/>
                <w:color w:val="FFFFFF"/>
                <w:sz w:val="17"/>
              </w:rPr>
              <w:t>Indicator</w:t>
            </w:r>
          </w:p>
        </w:tc>
        <w:tc>
          <w:tcPr>
            <w:tcW w:type="dxa" w:w="3969"/>
            <w:shd w:val="clear" w:color="auto" w:fill="1F4E79"/>
          </w:tcPr>
          <w:p>
            <w:pPr>
              <w:spacing w:after="20"/>
            </w:pPr>
            <w:r/>
            <w:r>
              <w:rPr>
                <w:b/>
                <w:color w:val="FFFFFF"/>
                <w:sz w:val="17"/>
              </w:rPr>
              <w:t>Value</w:t>
            </w:r>
          </w:p>
        </w:tc>
        <w:tc>
          <w:tcPr>
            <w:tcW w:type="dxa" w:w="1417"/>
            <w:shd w:val="clear" w:color="auto" w:fill="1F4E79"/>
          </w:tcPr>
          <w:p>
            <w:pPr>
              <w:spacing w:after="20"/>
            </w:pPr>
            <w:r/>
            <w:r>
              <w:rPr>
                <w:b/>
                <w:color w:val="FFFFFF"/>
                <w:sz w:val="17"/>
              </w:rPr>
              <w:t>Where</w:t>
            </w:r>
          </w:p>
        </w:tc>
      </w:tr>
      <w:tr>
        <w:trPr>
          <w:cantSplit/>
        </w:trPr>
        <w:tc>
          <w:tcPr>
            <w:tcW w:type="dxa" w:w="3969"/>
          </w:tcPr>
          <w:p>
            <w:pPr>
              <w:spacing w:after="20"/>
            </w:pPr>
            <w:r/>
            <w:r>
              <w:rPr>
                <w:b w:val="0"/>
                <w:i w:val="0"/>
                <w:sz w:val="17"/>
              </w:rPr>
              <w:t>Total domestic demand 2025</w:t>
            </w:r>
          </w:p>
        </w:tc>
        <w:tc>
          <w:tcPr>
            <w:tcW w:type="dxa" w:w="3969"/>
          </w:tcPr>
          <w:p>
            <w:pPr>
              <w:spacing w:after="20"/>
            </w:pPr>
            <w:r/>
            <w:r>
              <w:rPr>
                <w:b w:val="0"/>
                <w:i w:val="0"/>
                <w:sz w:val="17"/>
              </w:rPr>
              <w:t>5,712 kt (+12.0%; KNBS 5.7 Mt, +9.9%)</w:t>
            </w:r>
          </w:p>
        </w:tc>
        <w:tc>
          <w:tcPr>
            <w:tcW w:type="dxa" w:w="1417"/>
          </w:tcPr>
          <w:p>
            <w:pPr>
              <w:spacing w:after="20"/>
            </w:pPr>
            <w:r/>
            <w:r>
              <w:rPr>
                <w:b w:val="0"/>
                <w:i w:val="0"/>
                <w:sz w:val="17"/>
              </w:rPr>
              <w:t>§3, §4</w:t>
            </w:r>
          </w:p>
        </w:tc>
      </w:tr>
      <w:tr>
        <w:trPr>
          <w:cantSplit/>
        </w:trPr>
        <w:tc>
          <w:tcPr>
            <w:tcW w:type="dxa" w:w="3969"/>
            <w:shd w:val="clear" w:color="auto" w:fill="EEF3F8"/>
          </w:tcPr>
          <w:p>
            <w:pPr>
              <w:spacing w:after="20"/>
            </w:pPr>
            <w:r/>
            <w:r>
              <w:rPr>
                <w:b w:val="0"/>
                <w:i w:val="0"/>
                <w:sz w:val="17"/>
              </w:rPr>
              <w:t>Diesel + petrol share of demand 2025</w:t>
            </w:r>
          </w:p>
        </w:tc>
        <w:tc>
          <w:tcPr>
            <w:tcW w:type="dxa" w:w="3969"/>
            <w:shd w:val="clear" w:color="auto" w:fill="EEF3F8"/>
          </w:tcPr>
          <w:p>
            <w:pPr>
              <w:spacing w:after="20"/>
            </w:pPr>
            <w:r/>
            <w:r>
              <w:rPr>
                <w:b w:val="0"/>
                <w:i w:val="0"/>
                <w:sz w:val="17"/>
              </w:rPr>
              <w:t>71.4% (KNBS 71.4%)</w:t>
            </w:r>
          </w:p>
        </w:tc>
        <w:tc>
          <w:tcPr>
            <w:tcW w:type="dxa" w:w="1417"/>
            <w:shd w:val="clear" w:color="auto" w:fill="EEF3F8"/>
          </w:tcPr>
          <w:p>
            <w:pPr>
              <w:spacing w:after="20"/>
            </w:pPr>
            <w:r/>
            <w:r>
              <w:rPr>
                <w:b w:val="0"/>
                <w:i w:val="0"/>
                <w:sz w:val="17"/>
              </w:rPr>
              <w:t>§4</w:t>
            </w:r>
          </w:p>
        </w:tc>
      </w:tr>
      <w:tr>
        <w:trPr>
          <w:cantSplit/>
        </w:trPr>
        <w:tc>
          <w:tcPr>
            <w:tcW w:type="dxa" w:w="3969"/>
          </w:tcPr>
          <w:p>
            <w:pPr>
              <w:spacing w:after="20"/>
            </w:pPr>
            <w:r/>
            <w:r>
              <w:rPr>
                <w:b w:val="0"/>
                <w:i w:val="0"/>
                <w:sz w:val="17"/>
              </w:rPr>
              <w:t>Diesel / petrol / LPG demand 2025</w:t>
            </w:r>
          </w:p>
        </w:tc>
        <w:tc>
          <w:tcPr>
            <w:tcW w:type="dxa" w:w="3969"/>
          </w:tcPr>
          <w:p>
            <w:pPr>
              <w:spacing w:after="20"/>
            </w:pPr>
            <w:r/>
            <w:r>
              <w:rPr>
                <w:b w:val="0"/>
                <w:i w:val="0"/>
                <w:sz w:val="17"/>
              </w:rPr>
              <w:t>2,419 / 1,657 / 476 kt</w:t>
            </w:r>
          </w:p>
        </w:tc>
        <w:tc>
          <w:tcPr>
            <w:tcW w:type="dxa" w:w="1417"/>
          </w:tcPr>
          <w:p>
            <w:pPr>
              <w:spacing w:after="20"/>
            </w:pPr>
            <w:r/>
            <w:r>
              <w:rPr>
                <w:b w:val="0"/>
                <w:i w:val="0"/>
                <w:sz w:val="17"/>
              </w:rPr>
              <w:t>§4</w:t>
            </w:r>
          </w:p>
        </w:tc>
      </w:tr>
      <w:tr>
        <w:trPr>
          <w:cantSplit/>
        </w:trPr>
        <w:tc>
          <w:tcPr>
            <w:tcW w:type="dxa" w:w="3969"/>
            <w:shd w:val="clear" w:color="auto" w:fill="EEF3F8"/>
          </w:tcPr>
          <w:p>
            <w:pPr>
              <w:spacing w:after="20"/>
            </w:pPr>
            <w:r/>
            <w:r>
              <w:rPr>
                <w:b w:val="0"/>
                <w:i w:val="0"/>
                <w:sz w:val="17"/>
              </w:rPr>
              <w:t>Jan–Feb 2026 total demand growth</w:t>
            </w:r>
          </w:p>
        </w:tc>
        <w:tc>
          <w:tcPr>
            <w:tcW w:type="dxa" w:w="3969"/>
            <w:shd w:val="clear" w:color="auto" w:fill="EEF3F8"/>
          </w:tcPr>
          <w:p>
            <w:pPr>
              <w:spacing w:after="20"/>
            </w:pPr>
            <w:r/>
            <w:r>
              <w:rPr>
                <w:b w:val="0"/>
                <w:i w:val="0"/>
                <w:sz w:val="17"/>
              </w:rPr>
              <w:t>+7.1% YoY (pre-shock)</w:t>
            </w:r>
          </w:p>
        </w:tc>
        <w:tc>
          <w:tcPr>
            <w:tcW w:type="dxa" w:w="1417"/>
            <w:shd w:val="clear" w:color="auto" w:fill="EEF3F8"/>
          </w:tcPr>
          <w:p>
            <w:pPr>
              <w:spacing w:after="20"/>
            </w:pPr>
            <w:r/>
            <w:r>
              <w:rPr>
                <w:b w:val="0"/>
                <w:i w:val="0"/>
                <w:sz w:val="17"/>
              </w:rPr>
              <w:t>§4</w:t>
            </w:r>
          </w:p>
        </w:tc>
      </w:tr>
      <w:tr>
        <w:trPr>
          <w:cantSplit/>
        </w:trPr>
        <w:tc>
          <w:tcPr>
            <w:tcW w:type="dxa" w:w="3969"/>
          </w:tcPr>
          <w:p>
            <w:pPr>
              <w:spacing w:after="20"/>
            </w:pPr>
            <w:r/>
            <w:r>
              <w:rPr>
                <w:b w:val="0"/>
                <w:i w:val="0"/>
                <w:sz w:val="17"/>
              </w:rPr>
              <w:t>Forecast Mar-26–Feb-27 (no-shock counterfactual)</w:t>
            </w:r>
          </w:p>
        </w:tc>
        <w:tc>
          <w:tcPr>
            <w:tcW w:type="dxa" w:w="3969"/>
          </w:tcPr>
          <w:p>
            <w:pPr>
              <w:spacing w:after="20"/>
            </w:pPr>
            <w:r/>
            <w:r>
              <w:rPr>
                <w:b w:val="0"/>
                <w:i w:val="0"/>
                <w:sz w:val="17"/>
              </w:rPr>
              <w:t>6,365 kt; 80% PI 6,040–6,690</w:t>
            </w:r>
          </w:p>
        </w:tc>
        <w:tc>
          <w:tcPr>
            <w:tcW w:type="dxa" w:w="1417"/>
          </w:tcPr>
          <w:p>
            <w:pPr>
              <w:spacing w:after="20"/>
            </w:pPr>
            <w:r/>
            <w:r>
              <w:rPr>
                <w:b w:val="0"/>
                <w:i w:val="0"/>
                <w:sz w:val="17"/>
              </w:rPr>
              <w:t>§8</w:t>
            </w:r>
          </w:p>
        </w:tc>
      </w:tr>
      <w:tr>
        <w:trPr>
          <w:cantSplit/>
        </w:trPr>
        <w:tc>
          <w:tcPr>
            <w:tcW w:type="dxa" w:w="3969"/>
            <w:shd w:val="clear" w:color="auto" w:fill="EEF3F8"/>
          </w:tcPr>
          <w:p>
            <w:pPr>
              <w:spacing w:after="20"/>
            </w:pPr>
            <w:r/>
            <w:r>
              <w:rPr>
                <w:b w:val="0"/>
                <w:i w:val="0"/>
                <w:sz w:val="17"/>
              </w:rPr>
              <w:t>Baseline demand 2030 / 2035</w:t>
            </w:r>
          </w:p>
        </w:tc>
        <w:tc>
          <w:tcPr>
            <w:tcW w:type="dxa" w:w="3969"/>
            <w:shd w:val="clear" w:color="auto" w:fill="EEF3F8"/>
          </w:tcPr>
          <w:p>
            <w:pPr>
              <w:spacing w:after="20"/>
            </w:pPr>
            <w:r/>
            <w:r>
              <w:rPr>
                <w:b w:val="0"/>
                <w:i w:val="0"/>
                <w:sz w:val="17"/>
              </w:rPr>
              <w:t>6.31 Mt / 7.16 Mt (CAGR 2.3%)</w:t>
            </w:r>
          </w:p>
        </w:tc>
        <w:tc>
          <w:tcPr>
            <w:tcW w:type="dxa" w:w="1417"/>
            <w:shd w:val="clear" w:color="auto" w:fill="EEF3F8"/>
          </w:tcPr>
          <w:p>
            <w:pPr>
              <w:spacing w:after="20"/>
            </w:pPr>
            <w:r/>
            <w:r>
              <w:rPr>
                <w:b w:val="0"/>
                <w:i w:val="0"/>
                <w:sz w:val="17"/>
              </w:rPr>
              <w:t>§9</w:t>
            </w:r>
          </w:p>
        </w:tc>
      </w:tr>
      <w:tr>
        <w:trPr>
          <w:cantSplit/>
        </w:trPr>
        <w:tc>
          <w:tcPr>
            <w:tcW w:type="dxa" w:w="3969"/>
          </w:tcPr>
          <w:p>
            <w:pPr>
              <w:spacing w:after="20"/>
            </w:pPr>
            <w:r/>
            <w:r>
              <w:rPr>
                <w:b w:val="0"/>
                <w:i w:val="0"/>
                <w:sz w:val="17"/>
              </w:rPr>
              <w:t>Low–high demand range 2035</w:t>
            </w:r>
          </w:p>
        </w:tc>
        <w:tc>
          <w:tcPr>
            <w:tcW w:type="dxa" w:w="3969"/>
          </w:tcPr>
          <w:p>
            <w:pPr>
              <w:spacing w:after="20"/>
            </w:pPr>
            <w:r/>
            <w:r>
              <w:rPr>
                <w:b w:val="0"/>
                <w:i w:val="0"/>
                <w:sz w:val="17"/>
              </w:rPr>
              <w:t>6.64–7.85 Mt</w:t>
            </w:r>
          </w:p>
        </w:tc>
        <w:tc>
          <w:tcPr>
            <w:tcW w:type="dxa" w:w="1417"/>
          </w:tcPr>
          <w:p>
            <w:pPr>
              <w:spacing w:after="20"/>
            </w:pPr>
            <w:r/>
            <w:r>
              <w:rPr>
                <w:b w:val="0"/>
                <w:i w:val="0"/>
                <w:sz w:val="17"/>
              </w:rPr>
              <w:t>§9</w:t>
            </w:r>
          </w:p>
        </w:tc>
      </w:tr>
      <w:tr>
        <w:trPr>
          <w:cantSplit/>
        </w:trPr>
        <w:tc>
          <w:tcPr>
            <w:tcW w:type="dxa" w:w="3969"/>
            <w:shd w:val="clear" w:color="auto" w:fill="EEF3F8"/>
          </w:tcPr>
          <w:p>
            <w:pPr>
              <w:spacing w:after="20"/>
            </w:pPr>
            <w:r/>
            <w:r>
              <w:rPr>
                <w:b w:val="0"/>
                <w:i w:val="0"/>
                <w:sz w:val="17"/>
              </w:rPr>
              <w:t>Nairobi diesel price Mar-26 → May-26 → Sep-26</w:t>
            </w:r>
          </w:p>
        </w:tc>
        <w:tc>
          <w:tcPr>
            <w:tcW w:type="dxa" w:w="3969"/>
            <w:shd w:val="clear" w:color="auto" w:fill="EEF3F8"/>
          </w:tcPr>
          <w:p>
            <w:pPr>
              <w:spacing w:after="20"/>
            </w:pPr>
            <w:r/>
            <w:r>
              <w:rPr>
                <w:b w:val="0"/>
                <w:i w:val="0"/>
                <w:sz w:val="17"/>
              </w:rPr>
              <w:t>KSh 166.54 → 242.92 → 217.86</w:t>
            </w:r>
          </w:p>
        </w:tc>
        <w:tc>
          <w:tcPr>
            <w:tcW w:type="dxa" w:w="1417"/>
            <w:shd w:val="clear" w:color="auto" w:fill="EEF3F8"/>
          </w:tcPr>
          <w:p>
            <w:pPr>
              <w:spacing w:after="20"/>
            </w:pPr>
            <w:r/>
            <w:r>
              <w:rPr>
                <w:b w:val="0"/>
                <w:i w:val="0"/>
                <w:sz w:val="17"/>
              </w:rPr>
              <w:t>§5</w:t>
            </w:r>
          </w:p>
        </w:tc>
      </w:tr>
      <w:tr>
        <w:trPr>
          <w:cantSplit/>
        </w:trPr>
        <w:tc>
          <w:tcPr>
            <w:tcW w:type="dxa" w:w="3969"/>
          </w:tcPr>
          <w:p>
            <w:pPr>
              <w:spacing w:after="20"/>
            </w:pPr>
            <w:r/>
            <w:r>
              <w:rPr>
                <w:b w:val="0"/>
                <w:i w:val="0"/>
                <w:sz w:val="17"/>
              </w:rPr>
              <w:t>Petrol landed cost Feb-26 → Aug-26</w:t>
            </w:r>
          </w:p>
        </w:tc>
        <w:tc>
          <w:tcPr>
            <w:tcW w:type="dxa" w:w="3969"/>
          </w:tcPr>
          <w:p>
            <w:pPr>
              <w:spacing w:after="20"/>
            </w:pPr>
            <w:r/>
            <w:r>
              <w:rPr>
                <w:b w:val="0"/>
                <w:i w:val="0"/>
                <w:sz w:val="17"/>
              </w:rPr>
              <w:t>US$582 → US$874 per m³ (+50%)</w:t>
            </w:r>
          </w:p>
        </w:tc>
        <w:tc>
          <w:tcPr>
            <w:tcW w:type="dxa" w:w="1417"/>
          </w:tcPr>
          <w:p>
            <w:pPr>
              <w:spacing w:after="20"/>
            </w:pPr>
            <w:r/>
            <w:r>
              <w:rPr>
                <w:b w:val="0"/>
                <w:i w:val="0"/>
                <w:sz w:val="17"/>
              </w:rPr>
              <w:t>§5, §6</w:t>
            </w:r>
          </w:p>
        </w:tc>
      </w:tr>
      <w:tr>
        <w:trPr>
          <w:cantSplit/>
        </w:trPr>
        <w:tc>
          <w:tcPr>
            <w:tcW w:type="dxa" w:w="3969"/>
            <w:shd w:val="clear" w:color="auto" w:fill="EEF3F8"/>
          </w:tcPr>
          <w:p>
            <w:pPr>
              <w:spacing w:after="20"/>
            </w:pPr>
            <w:r/>
            <w:r>
              <w:rPr>
                <w:b w:val="0"/>
                <w:i w:val="0"/>
                <w:sz w:val="17"/>
              </w:rPr>
              <w:t>Petrol pass-through (KSh, VAT-incl.)</w:t>
            </w:r>
          </w:p>
        </w:tc>
        <w:tc>
          <w:tcPr>
            <w:tcW w:type="dxa" w:w="3969"/>
            <w:shd w:val="clear" w:color="auto" w:fill="EEF3F8"/>
          </w:tcPr>
          <w:p>
            <w:pPr>
              <w:spacing w:after="20"/>
            </w:pPr>
            <w:r/>
            <w:r>
              <w:rPr>
                <w:b w:val="0"/>
                <w:i w:val="0"/>
                <w:sz w:val="17"/>
              </w:rPr>
              <w:t>≈ 82%</w:t>
            </w:r>
          </w:p>
        </w:tc>
        <w:tc>
          <w:tcPr>
            <w:tcW w:type="dxa" w:w="1417"/>
            <w:shd w:val="clear" w:color="auto" w:fill="EEF3F8"/>
          </w:tcPr>
          <w:p>
            <w:pPr>
              <w:spacing w:after="20"/>
            </w:pPr>
            <w:r/>
            <w:r>
              <w:rPr>
                <w:b w:val="0"/>
                <w:i w:val="0"/>
                <w:sz w:val="17"/>
              </w:rPr>
              <w:t>§5</w:t>
            </w:r>
          </w:p>
        </w:tc>
      </w:tr>
      <w:tr>
        <w:trPr>
          <w:cantSplit/>
        </w:trPr>
        <w:tc>
          <w:tcPr>
            <w:tcW w:type="dxa" w:w="3969"/>
          </w:tcPr>
          <w:p>
            <w:pPr>
              <w:spacing w:after="20"/>
            </w:pPr>
            <w:r/>
            <w:r>
              <w:rPr>
                <w:b w:val="0"/>
                <w:i w:val="0"/>
                <w:sz w:val="17"/>
              </w:rPr>
              <w:t>Reported stock cover, Apr–May 2026</w:t>
            </w:r>
          </w:p>
        </w:tc>
        <w:tc>
          <w:tcPr>
            <w:tcW w:type="dxa" w:w="3969"/>
          </w:tcPr>
          <w:p>
            <w:pPr>
              <w:spacing w:after="20"/>
            </w:pPr>
            <w:r/>
            <w:r>
              <w:rPr>
                <w:b w:val="0"/>
                <w:i w:val="0"/>
                <w:sz w:val="17"/>
              </w:rPr>
              <w:t>Petrol 13–28 days; diesel 16–23 days</w:t>
            </w:r>
          </w:p>
        </w:tc>
        <w:tc>
          <w:tcPr>
            <w:tcW w:type="dxa" w:w="1417"/>
          </w:tcPr>
          <w:p>
            <w:pPr>
              <w:spacing w:after="20"/>
            </w:pPr>
            <w:r/>
            <w:r>
              <w:rPr>
                <w:b w:val="0"/>
                <w:i w:val="0"/>
                <w:sz w:val="17"/>
              </w:rPr>
              <w:t>§10</w:t>
            </w:r>
          </w:p>
        </w:tc>
      </w:tr>
      <w:tr>
        <w:trPr>
          <w:cantSplit/>
        </w:trPr>
        <w:tc>
          <w:tcPr>
            <w:tcW w:type="dxa" w:w="3969"/>
            <w:shd w:val="clear" w:color="auto" w:fill="EEF3F8"/>
          </w:tcPr>
          <w:p>
            <w:pPr>
              <w:spacing w:after="20"/>
            </w:pPr>
            <w:r/>
            <w:r>
              <w:rPr>
                <w:b w:val="0"/>
                <w:i w:val="0"/>
                <w:sz w:val="17"/>
              </w:rPr>
              <w:t>Cost of 30 / 90 days of petrol + diesel stock</w:t>
            </w:r>
          </w:p>
        </w:tc>
        <w:tc>
          <w:tcPr>
            <w:tcW w:type="dxa" w:w="3969"/>
            <w:shd w:val="clear" w:color="auto" w:fill="EEF3F8"/>
          </w:tcPr>
          <w:p>
            <w:pPr>
              <w:spacing w:after="20"/>
            </w:pPr>
            <w:r/>
            <w:r>
              <w:rPr>
                <w:b w:val="0"/>
                <w:i w:val="0"/>
                <w:sz w:val="17"/>
              </w:rPr>
              <w:t>US$392 m / US$1,175 m (KSh 51 / 152 bn)</w:t>
            </w:r>
          </w:p>
        </w:tc>
        <w:tc>
          <w:tcPr>
            <w:tcW w:type="dxa" w:w="1417"/>
            <w:shd w:val="clear" w:color="auto" w:fill="EEF3F8"/>
          </w:tcPr>
          <w:p>
            <w:pPr>
              <w:spacing w:after="20"/>
            </w:pPr>
            <w:r/>
            <w:r>
              <w:rPr>
                <w:b w:val="0"/>
                <w:i w:val="0"/>
                <w:sz w:val="17"/>
              </w:rPr>
              <w:t>§10</w:t>
            </w:r>
          </w:p>
        </w:tc>
      </w:tr>
      <w:tr>
        <w:trPr>
          <w:cantSplit/>
        </w:trPr>
        <w:tc>
          <w:tcPr>
            <w:tcW w:type="dxa" w:w="3969"/>
          </w:tcPr>
          <w:p>
            <w:pPr>
              <w:spacing w:after="20"/>
            </w:pPr>
            <w:r/>
            <w:r>
              <w:rPr>
                <w:b w:val="0"/>
                <w:i w:val="0"/>
                <w:sz w:val="17"/>
              </w:rPr>
              <w:t>LPG storage headroom 2026 / 2029 (baseline)</w:t>
            </w:r>
          </w:p>
        </w:tc>
        <w:tc>
          <w:tcPr>
            <w:tcW w:type="dxa" w:w="3969"/>
          </w:tcPr>
          <w:p>
            <w:pPr>
              <w:spacing w:after="20"/>
            </w:pPr>
            <w:r/>
            <w:r>
              <w:rPr>
                <w:b w:val="0"/>
                <w:i w:val="0"/>
                <w:sz w:val="17"/>
              </w:rPr>
              <w:t>−1.0 kt / −10.8 kt</w:t>
            </w:r>
          </w:p>
        </w:tc>
        <w:tc>
          <w:tcPr>
            <w:tcW w:type="dxa" w:w="1417"/>
          </w:tcPr>
          <w:p>
            <w:pPr>
              <w:spacing w:after="20"/>
            </w:pPr>
            <w:r/>
            <w:r>
              <w:rPr>
                <w:b w:val="0"/>
                <w:i w:val="0"/>
                <w:sz w:val="17"/>
              </w:rPr>
              <w:t>§11</w:t>
            </w:r>
          </w:p>
        </w:tc>
      </w:tr>
      <w:tr>
        <w:trPr>
          <w:cantSplit/>
        </w:trPr>
        <w:tc>
          <w:tcPr>
            <w:tcW w:type="dxa" w:w="3969"/>
            <w:shd w:val="clear" w:color="auto" w:fill="EEF3F8"/>
          </w:tcPr>
          <w:p>
            <w:pPr>
              <w:spacing w:after="20"/>
            </w:pPr>
            <w:r/>
            <w:r>
              <w:rPr>
                <w:b w:val="0"/>
                <w:i w:val="0"/>
                <w:sz w:val="17"/>
              </w:rPr>
              <w:t>South Lokichar base project NPV10 / IRR / break-even</w:t>
            </w:r>
          </w:p>
        </w:tc>
        <w:tc>
          <w:tcPr>
            <w:tcW w:type="dxa" w:w="3969"/>
            <w:shd w:val="clear" w:color="auto" w:fill="EEF3F8"/>
          </w:tcPr>
          <w:p>
            <w:pPr>
              <w:spacing w:after="20"/>
            </w:pPr>
            <w:r/>
            <w:r>
              <w:rPr>
                <w:b w:val="0"/>
                <w:i w:val="0"/>
                <w:sz w:val="17"/>
              </w:rPr>
              <w:t>US$1.55 bn / 15% / US$60 per bbl</w:t>
            </w:r>
          </w:p>
        </w:tc>
        <w:tc>
          <w:tcPr>
            <w:tcW w:type="dxa" w:w="1417"/>
            <w:shd w:val="clear" w:color="auto" w:fill="EEF3F8"/>
          </w:tcPr>
          <w:p>
            <w:pPr>
              <w:spacing w:after="20"/>
            </w:pPr>
            <w:r/>
            <w:r>
              <w:rPr>
                <w:b w:val="0"/>
                <w:i w:val="0"/>
                <w:sz w:val="17"/>
              </w:rPr>
              <w:t>§12</w:t>
            </w:r>
          </w:p>
        </w:tc>
      </w:tr>
      <w:tr>
        <w:trPr>
          <w:cantSplit/>
        </w:trPr>
        <w:tc>
          <w:tcPr>
            <w:tcW w:type="dxa" w:w="3969"/>
          </w:tcPr>
          <w:p>
            <w:pPr>
              <w:spacing w:after="20"/>
            </w:pPr>
            <w:r/>
            <w:r>
              <w:rPr>
                <w:b w:val="0"/>
                <w:i w:val="0"/>
                <w:sz w:val="17"/>
              </w:rPr>
              <w:t>Probability project NPV10 &lt; 0 (Monte Carlo)</w:t>
            </w:r>
          </w:p>
        </w:tc>
        <w:tc>
          <w:tcPr>
            <w:tcW w:type="dxa" w:w="3969"/>
          </w:tcPr>
          <w:p>
            <w:pPr>
              <w:spacing w:after="20"/>
              <w:jc w:val="right"/>
            </w:pPr>
            <w:r/>
            <w:r>
              <w:rPr>
                <w:b w:val="0"/>
                <w:i w:val="0"/>
                <w:sz w:val="17"/>
              </w:rPr>
              <w:t>30%</w:t>
            </w:r>
          </w:p>
        </w:tc>
        <w:tc>
          <w:tcPr>
            <w:tcW w:type="dxa" w:w="1417"/>
          </w:tcPr>
          <w:p>
            <w:pPr>
              <w:spacing w:after="20"/>
            </w:pPr>
            <w:r/>
            <w:r>
              <w:rPr>
                <w:b w:val="0"/>
                <w:i w:val="0"/>
                <w:sz w:val="17"/>
              </w:rPr>
              <w:t>§12</w:t>
            </w:r>
          </w:p>
        </w:tc>
      </w:tr>
      <w:tr>
        <w:trPr>
          <w:cantSplit/>
        </w:trPr>
        <w:tc>
          <w:tcPr>
            <w:tcW w:type="dxa" w:w="3969"/>
            <w:shd w:val="clear" w:color="auto" w:fill="EEF3F8"/>
          </w:tcPr>
          <w:p>
            <w:pPr>
              <w:spacing w:after="20"/>
            </w:pPr>
            <w:r/>
            <w:r>
              <w:rPr>
                <w:b w:val="0"/>
                <w:i w:val="0"/>
                <w:sz w:val="17"/>
              </w:rPr>
              <w:t>Risk ratings</w:t>
            </w:r>
          </w:p>
        </w:tc>
        <w:tc>
          <w:tcPr>
            <w:tcW w:type="dxa" w:w="3969"/>
            <w:shd w:val="clear" w:color="auto" w:fill="EEF3F8"/>
          </w:tcPr>
          <w:p>
            <w:pPr>
              <w:spacing w:after="20"/>
            </w:pPr>
            <w:r/>
            <w:r>
              <w:rPr>
                <w:b w:val="0"/>
                <w:i w:val="0"/>
                <w:sz w:val="17"/>
              </w:rPr>
              <w:t>LPG high; petrol, diesel medium; jet low</w:t>
            </w:r>
          </w:p>
        </w:tc>
        <w:tc>
          <w:tcPr>
            <w:tcW w:type="dxa" w:w="1417"/>
            <w:shd w:val="clear" w:color="auto" w:fill="EEF3F8"/>
          </w:tcPr>
          <w:p>
            <w:pPr>
              <w:spacing w:after="20"/>
            </w:pPr>
            <w:r/>
            <w:r>
              <w:rPr>
                <w:b w:val="0"/>
                <w:i w:val="0"/>
                <w:sz w:val="17"/>
              </w:rPr>
              <w:t>§13</w:t>
            </w:r>
          </w:p>
        </w:tc>
      </w:tr>
    </w:tbl>
    <w:p>
      <w:pPr>
        <w:spacing w:after="40"/>
      </w:pPr>
    </w:p>
    <w:p>
      <w:r>
        <w:br w:type="page"/>
      </w:r>
    </w:p>
    <w:p>
      <w:pPr>
        <w:pStyle w:val="Heading1"/>
      </w:pPr>
      <w:r>
        <w:t>1. Introduction and 2026 market context</w:t>
      </w:r>
    </w:p>
    <w:p>
      <w:r>
        <w:rPr>
          <w:b w:val="0"/>
          <w:i w:val="0"/>
        </w:rPr>
        <w:t>This report builds an integrated analysis of Kenya’s petroleum market: historical demand, price dynamics, import dependence, demand forecasts, scenarios to 2035, supply security, infrastructure needs, upstream project economics, a risk framework, structural change and a monitoring system. It is designed to be traceable: each number is tied to a source or to an explicit assumption, and what could not be established is stated. A companion Methods and Code Report documents every step, and an Excel model lets the reader change assumptions and see the results.</w:t>
      </w:r>
    </w:p>
    <w:p>
      <w:pPr>
        <w:pStyle w:val="Heading2"/>
      </w:pPr>
      <w:r>
        <w:t>1.1 Objectives</w:t>
      </w:r>
    </w:p>
    <w:p>
      <w:pPr>
        <w:pStyle w:val="ListBullet"/>
        <w:spacing w:after="40"/>
      </w:pPr>
      <w:r>
        <w:rPr>
          <w:b w:val="0"/>
          <w:i w:val="0"/>
        </w:rPr>
        <w:t>Quantify what happened to demand in 2024–25 and how reliable the underlying data are.</w:t>
      </w:r>
    </w:p>
    <w:p>
      <w:pPr>
        <w:pStyle w:val="ListBullet"/>
        <w:spacing w:after="40"/>
      </w:pPr>
      <w:r>
        <w:rPr>
          <w:b w:val="0"/>
          <w:i w:val="0"/>
        </w:rPr>
        <w:t>Provide an out-of-sample-tested forecast for the next 12 months and transparent scenarios to 2035.</w:t>
      </w:r>
    </w:p>
    <w:p>
      <w:pPr>
        <w:pStyle w:val="ListBullet"/>
        <w:spacing w:after="40"/>
      </w:pPr>
      <w:r>
        <w:rPr>
          <w:b w:val="0"/>
          <w:i w:val="0"/>
        </w:rPr>
        <w:t>Measure supply-security exposure against the planning standard and cost the options for reserves.</w:t>
      </w:r>
    </w:p>
    <w:p>
      <w:pPr>
        <w:pStyle w:val="ListBullet"/>
        <w:spacing w:after="40"/>
      </w:pPr>
      <w:r>
        <w:rPr>
          <w:b w:val="0"/>
          <w:i w:val="0"/>
        </w:rPr>
        <w:t>Identify infrastructure gaps, product by product.</w:t>
      </w:r>
    </w:p>
    <w:p>
      <w:pPr>
        <w:pStyle w:val="ListBullet"/>
        <w:spacing w:after="40"/>
      </w:pPr>
      <w:r>
        <w:rPr>
          <w:b w:val="0"/>
          <w:i w:val="0"/>
        </w:rPr>
        <w:t>Illustrate the economics and risks of Kenya’s first large upstream project using explicit assumptions.</w:t>
      </w:r>
    </w:p>
    <w:p>
      <w:pPr>
        <w:pStyle w:val="ListBullet"/>
        <w:spacing w:after="40"/>
      </w:pPr>
      <w:r>
        <w:rPr>
          <w:b w:val="0"/>
          <w:i w:val="0"/>
        </w:rPr>
        <w:t>Define indicators that would give early warning of the next shock.</w:t>
      </w:r>
    </w:p>
    <w:p>
      <w:pPr>
        <w:pStyle w:val="Heading2"/>
      </w:pPr>
      <w:r>
        <w:t>1.2 The 2026 shock</w:t>
      </w:r>
    </w:p>
    <w:p>
      <w:r>
        <w:rPr>
          <w:b w:val="0"/>
          <w:i w:val="0"/>
        </w:rPr>
        <w:t>The report’s original frame (growth to 2035 from a stable 2025 base) had to be reset because of events in 2026, drawn from news reports of official statements:</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1814"/>
            <w:shd w:val="clear" w:color="auto" w:fill="1F4E79"/>
          </w:tcPr>
          <w:p>
            <w:pPr>
              <w:spacing w:after="20"/>
            </w:pPr>
            <w:r/>
            <w:r>
              <w:rPr>
                <w:b/>
                <w:color w:val="FFFFFF"/>
                <w:sz w:val="17"/>
              </w:rPr>
              <w:t>Date</w:t>
            </w:r>
          </w:p>
        </w:tc>
        <w:tc>
          <w:tcPr>
            <w:tcW w:type="dxa" w:w="5839"/>
            <w:shd w:val="clear" w:color="auto" w:fill="1F4E79"/>
          </w:tcPr>
          <w:p>
            <w:pPr>
              <w:spacing w:after="20"/>
            </w:pPr>
            <w:r/>
            <w:r>
              <w:rPr>
                <w:b/>
                <w:color w:val="FFFFFF"/>
                <w:sz w:val="17"/>
              </w:rPr>
              <w:t>Event</w:t>
            </w:r>
          </w:p>
        </w:tc>
        <w:tc>
          <w:tcPr>
            <w:tcW w:type="dxa" w:w="1871"/>
            <w:shd w:val="clear" w:color="auto" w:fill="1F4E79"/>
          </w:tcPr>
          <w:p>
            <w:pPr>
              <w:spacing w:after="20"/>
            </w:pPr>
            <w:r/>
            <w:r>
              <w:rPr>
                <w:b/>
                <w:color w:val="FFFFFF"/>
                <w:sz w:val="17"/>
              </w:rPr>
              <w:t>Source type</w:t>
            </w:r>
          </w:p>
        </w:tc>
      </w:tr>
      <w:tr>
        <w:trPr>
          <w:cantSplit/>
        </w:trPr>
        <w:tc>
          <w:tcPr>
            <w:tcW w:type="dxa" w:w="1814"/>
          </w:tcPr>
          <w:p>
            <w:pPr>
              <w:spacing w:after="20"/>
            </w:pPr>
            <w:r/>
            <w:r>
              <w:rPr>
                <w:b w:val="0"/>
                <w:i w:val="0"/>
                <w:sz w:val="17"/>
              </w:rPr>
              <w:t>28 Feb 2026</w:t>
            </w:r>
          </w:p>
        </w:tc>
        <w:tc>
          <w:tcPr>
            <w:tcW w:type="dxa" w:w="5839"/>
          </w:tcPr>
          <w:p>
            <w:pPr>
              <w:spacing w:after="20"/>
            </w:pPr>
            <w:r/>
            <w:r>
              <w:rPr>
                <w:b w:val="0"/>
                <w:i w:val="0"/>
                <w:sz w:val="17"/>
              </w:rPr>
              <w:t>US–Israel attacks on Iran begin; Strait of Hormuz flows effectively halted</w:t>
            </w:r>
          </w:p>
        </w:tc>
        <w:tc>
          <w:tcPr>
            <w:tcW w:type="dxa" w:w="1871"/>
          </w:tcPr>
          <w:p>
            <w:pPr>
              <w:spacing w:after="20"/>
            </w:pPr>
            <w:r/>
            <w:r>
              <w:rPr>
                <w:b w:val="0"/>
                <w:i w:val="0"/>
                <w:sz w:val="17"/>
              </w:rPr>
              <w:t>News reports</w:t>
            </w:r>
          </w:p>
        </w:tc>
      </w:tr>
      <w:tr>
        <w:trPr>
          <w:cantSplit/>
        </w:trPr>
        <w:tc>
          <w:tcPr>
            <w:tcW w:type="dxa" w:w="1814"/>
            <w:shd w:val="clear" w:color="auto" w:fill="EEF3F8"/>
          </w:tcPr>
          <w:p>
            <w:pPr>
              <w:spacing w:after="20"/>
            </w:pPr>
            <w:r/>
            <w:r>
              <w:rPr>
                <w:b w:val="0"/>
                <w:i w:val="0"/>
                <w:sz w:val="17"/>
              </w:rPr>
              <w:t>Mar 2026</w:t>
            </w:r>
          </w:p>
        </w:tc>
        <w:tc>
          <w:tcPr>
            <w:tcW w:type="dxa" w:w="5839"/>
            <w:shd w:val="clear" w:color="auto" w:fill="EEF3F8"/>
          </w:tcPr>
          <w:p>
            <w:pPr>
              <w:spacing w:after="20"/>
            </w:pPr>
            <w:r/>
            <w:r>
              <w:rPr>
                <w:b w:val="0"/>
                <w:i w:val="0"/>
                <w:sz w:val="17"/>
              </w:rPr>
              <w:t>Brent up roughly 60% in a month; Reuters poll lifts 2026 Brent forecast from US$63.85 to US$82.85</w:t>
            </w:r>
          </w:p>
        </w:tc>
        <w:tc>
          <w:tcPr>
            <w:tcW w:type="dxa" w:w="1871"/>
            <w:shd w:val="clear" w:color="auto" w:fill="EEF3F8"/>
          </w:tcPr>
          <w:p>
            <w:pPr>
              <w:spacing w:after="20"/>
            </w:pPr>
            <w:r/>
            <w:r>
              <w:rPr>
                <w:b w:val="0"/>
                <w:i w:val="0"/>
                <w:sz w:val="17"/>
              </w:rPr>
              <w:t>Reuters poll, press</w:t>
            </w:r>
          </w:p>
        </w:tc>
      </w:tr>
      <w:tr>
        <w:trPr>
          <w:cantSplit/>
        </w:trPr>
        <w:tc>
          <w:tcPr>
            <w:tcW w:type="dxa" w:w="1814"/>
          </w:tcPr>
          <w:p>
            <w:pPr>
              <w:spacing w:after="20"/>
            </w:pPr>
            <w:r/>
            <w:r>
              <w:rPr>
                <w:b w:val="0"/>
                <w:i w:val="0"/>
                <w:sz w:val="17"/>
              </w:rPr>
              <w:t>Mar 2026</w:t>
            </w:r>
          </w:p>
        </w:tc>
        <w:tc>
          <w:tcPr>
            <w:tcW w:type="dxa" w:w="5839"/>
          </w:tcPr>
          <w:p>
            <w:pPr>
              <w:spacing w:after="20"/>
            </w:pPr>
            <w:r/>
            <w:r>
              <w:rPr>
                <w:b w:val="0"/>
                <w:i w:val="0"/>
                <w:sz w:val="17"/>
              </w:rPr>
              <w:t>EPRA cycle (15 Mar–14 Apr): Nairobi petrol KSh 178.28, diesel 166.54, kerosene 152.78, with subsidies on diesel and kerosene</w:t>
            </w:r>
          </w:p>
        </w:tc>
        <w:tc>
          <w:tcPr>
            <w:tcW w:type="dxa" w:w="1871"/>
          </w:tcPr>
          <w:p>
            <w:pPr>
              <w:spacing w:after="20"/>
            </w:pPr>
            <w:r/>
            <w:r>
              <w:rPr>
                <w:b w:val="0"/>
                <w:i w:val="0"/>
                <w:sz w:val="17"/>
              </w:rPr>
              <w:t>EPRA via press</w:t>
            </w:r>
          </w:p>
        </w:tc>
      </w:tr>
      <w:tr>
        <w:trPr>
          <w:cantSplit/>
        </w:trPr>
        <w:tc>
          <w:tcPr>
            <w:tcW w:type="dxa" w:w="1814"/>
            <w:shd w:val="clear" w:color="auto" w:fill="EEF3F8"/>
          </w:tcPr>
          <w:p>
            <w:pPr>
              <w:spacing w:after="20"/>
            </w:pPr>
            <w:r/>
            <w:r>
              <w:rPr>
                <w:b w:val="0"/>
                <w:i w:val="0"/>
                <w:sz w:val="17"/>
              </w:rPr>
              <w:t>Late Mar–Apr 2026</w:t>
            </w:r>
          </w:p>
        </w:tc>
        <w:tc>
          <w:tcPr>
            <w:tcW w:type="dxa" w:w="5839"/>
            <w:shd w:val="clear" w:color="auto" w:fill="EEF3F8"/>
          </w:tcPr>
          <w:p>
            <w:pPr>
              <w:spacing w:after="20"/>
            </w:pPr>
            <w:r/>
            <w:r>
              <w:rPr>
                <w:b w:val="0"/>
                <w:i w:val="0"/>
                <w:sz w:val="17"/>
              </w:rPr>
              <w:t>Queues, rationing and dry pumps reported in Nairobi, Nakuru, Eldoret, Kisumu, Nyeri; public statements on stock cover diverge (three months → 16 days petrol / 19 days diesel)</w:t>
            </w:r>
          </w:p>
        </w:tc>
        <w:tc>
          <w:tcPr>
            <w:tcW w:type="dxa" w:w="1871"/>
            <w:shd w:val="clear" w:color="auto" w:fill="EEF3F8"/>
          </w:tcPr>
          <w:p>
            <w:pPr>
              <w:spacing w:after="20"/>
            </w:pPr>
            <w:r/>
            <w:r>
              <w:rPr>
                <w:b w:val="0"/>
                <w:i w:val="0"/>
                <w:sz w:val="17"/>
              </w:rPr>
              <w:t>Press, Treasury statements</w:t>
            </w:r>
          </w:p>
        </w:tc>
      </w:tr>
      <w:tr>
        <w:trPr>
          <w:cantSplit/>
        </w:trPr>
        <w:tc>
          <w:tcPr>
            <w:tcW w:type="dxa" w:w="1814"/>
          </w:tcPr>
          <w:p>
            <w:pPr>
              <w:spacing w:after="20"/>
            </w:pPr>
            <w:r/>
            <w:r>
              <w:rPr>
                <w:b w:val="0"/>
                <w:i w:val="0"/>
                <w:sz w:val="17"/>
              </w:rPr>
              <w:t>14 May 2026</w:t>
            </w:r>
          </w:p>
        </w:tc>
        <w:tc>
          <w:tcPr>
            <w:tcW w:type="dxa" w:w="5839"/>
          </w:tcPr>
          <w:p>
            <w:pPr>
              <w:spacing w:after="20"/>
            </w:pPr>
            <w:r/>
            <w:r>
              <w:rPr>
                <w:b w:val="0"/>
                <w:i w:val="0"/>
                <w:sz w:val="17"/>
              </w:rPr>
              <w:t>EPRA review: petrol +KSh 16.65 to 214.25; diesel +KSh 46.29 to 242.92</w:t>
            </w:r>
          </w:p>
        </w:tc>
        <w:tc>
          <w:tcPr>
            <w:tcW w:type="dxa" w:w="1871"/>
          </w:tcPr>
          <w:p>
            <w:pPr>
              <w:spacing w:after="20"/>
            </w:pPr>
            <w:r/>
            <w:r>
              <w:rPr>
                <w:b w:val="0"/>
                <w:i w:val="0"/>
                <w:sz w:val="17"/>
              </w:rPr>
              <w:t>EPRA via press</w:t>
            </w:r>
          </w:p>
        </w:tc>
      </w:tr>
      <w:tr>
        <w:trPr>
          <w:cantSplit/>
        </w:trPr>
        <w:tc>
          <w:tcPr>
            <w:tcW w:type="dxa" w:w="1814"/>
            <w:shd w:val="clear" w:color="auto" w:fill="EEF3F8"/>
          </w:tcPr>
          <w:p>
            <w:pPr>
              <w:spacing w:after="20"/>
            </w:pPr>
            <w:r/>
            <w:r>
              <w:rPr>
                <w:b w:val="0"/>
                <w:i w:val="0"/>
                <w:sz w:val="17"/>
              </w:rPr>
              <w:t>21 May 2026</w:t>
            </w:r>
          </w:p>
        </w:tc>
        <w:tc>
          <w:tcPr>
            <w:tcW w:type="dxa" w:w="5839"/>
            <w:shd w:val="clear" w:color="auto" w:fill="EEF3F8"/>
          </w:tcPr>
          <w:p>
            <w:pPr>
              <w:spacing w:after="20"/>
            </w:pPr>
            <w:r/>
            <w:r>
              <w:rPr>
                <w:b w:val="0"/>
                <w:i w:val="0"/>
                <w:sz w:val="17"/>
              </w:rPr>
              <w:t>EPRA states stock cover of 28 days (petrol) and 23 days (diesel)</w:t>
            </w:r>
          </w:p>
        </w:tc>
        <w:tc>
          <w:tcPr>
            <w:tcW w:type="dxa" w:w="1871"/>
            <w:shd w:val="clear" w:color="auto" w:fill="EEF3F8"/>
          </w:tcPr>
          <w:p>
            <w:pPr>
              <w:spacing w:after="20"/>
            </w:pPr>
            <w:r/>
            <w:r>
              <w:rPr>
                <w:b w:val="0"/>
                <w:i w:val="0"/>
                <w:sz w:val="17"/>
              </w:rPr>
              <w:t>EPRA via press</w:t>
            </w:r>
          </w:p>
        </w:tc>
      </w:tr>
      <w:tr>
        <w:trPr>
          <w:cantSplit/>
        </w:trPr>
        <w:tc>
          <w:tcPr>
            <w:tcW w:type="dxa" w:w="1814"/>
          </w:tcPr>
          <w:p>
            <w:pPr>
              <w:spacing w:after="20"/>
            </w:pPr>
            <w:r/>
            <w:r>
              <w:rPr>
                <w:b w:val="0"/>
                <w:i w:val="0"/>
                <w:sz w:val="17"/>
              </w:rPr>
              <w:t>Jul–Aug 2026</w:t>
            </w:r>
          </w:p>
        </w:tc>
        <w:tc>
          <w:tcPr>
            <w:tcW w:type="dxa" w:w="5839"/>
          </w:tcPr>
          <w:p>
            <w:pPr>
              <w:spacing w:after="20"/>
            </w:pPr>
            <w:r/>
            <w:r>
              <w:rPr>
                <w:b w:val="0"/>
                <w:i w:val="0"/>
                <w:sz w:val="17"/>
              </w:rPr>
              <w:t>Landed cost of super petrol US$949/m³ (Jul), US$874/m³ (Aug); diesel pump price eased to 222.86 then 217.86</w:t>
            </w:r>
          </w:p>
        </w:tc>
        <w:tc>
          <w:tcPr>
            <w:tcW w:type="dxa" w:w="1871"/>
          </w:tcPr>
          <w:p>
            <w:pPr>
              <w:spacing w:after="20"/>
            </w:pPr>
            <w:r/>
            <w:r>
              <w:rPr>
                <w:b w:val="0"/>
                <w:i w:val="0"/>
                <w:sz w:val="17"/>
              </w:rPr>
              <w:t>EPRA via press</w:t>
            </w:r>
          </w:p>
        </w:tc>
      </w:tr>
      <w:tr>
        <w:trPr>
          <w:cantSplit/>
        </w:trPr>
        <w:tc>
          <w:tcPr>
            <w:tcW w:type="dxa" w:w="1814"/>
            <w:shd w:val="clear" w:color="auto" w:fill="EEF3F8"/>
          </w:tcPr>
          <w:p>
            <w:pPr>
              <w:spacing w:after="20"/>
            </w:pPr>
            <w:r/>
            <w:r>
              <w:rPr>
                <w:b w:val="0"/>
                <w:i w:val="0"/>
                <w:sz w:val="17"/>
              </w:rPr>
              <w:t>Late Aug–early Sep 2026</w:t>
            </w:r>
          </w:p>
        </w:tc>
        <w:tc>
          <w:tcPr>
            <w:tcW w:type="dxa" w:w="5839"/>
            <w:shd w:val="clear" w:color="auto" w:fill="EEF3F8"/>
          </w:tcPr>
          <w:p>
            <w:pPr>
              <w:spacing w:after="20"/>
            </w:pPr>
            <w:r/>
            <w:r>
              <w:rPr>
                <w:b w:val="0"/>
                <w:i w:val="0"/>
                <w:sz w:val="17"/>
              </w:rPr>
              <w:t>Brent about US$91–99</w:t>
            </w:r>
          </w:p>
        </w:tc>
        <w:tc>
          <w:tcPr>
            <w:tcW w:type="dxa" w:w="1871"/>
            <w:shd w:val="clear" w:color="auto" w:fill="EEF3F8"/>
          </w:tcPr>
          <w:p>
            <w:pPr>
              <w:spacing w:after="20"/>
            </w:pPr>
            <w:r/>
            <w:r>
              <w:rPr>
                <w:b w:val="0"/>
                <w:i w:val="0"/>
                <w:sz w:val="17"/>
              </w:rPr>
              <w:t>Market reports</w:t>
            </w:r>
          </w:p>
        </w:tc>
      </w:tr>
      <w:tr>
        <w:trPr>
          <w:cantSplit/>
        </w:trPr>
        <w:tc>
          <w:tcPr>
            <w:tcW w:type="dxa" w:w="1814"/>
          </w:tcPr>
          <w:p>
            <w:pPr>
              <w:spacing w:after="20"/>
            </w:pPr>
            <w:r/>
            <w:r>
              <w:rPr>
                <w:b w:val="0"/>
                <w:i w:val="0"/>
                <w:sz w:val="17"/>
              </w:rPr>
              <w:t>15 Sep–14 Oct 2026</w:t>
            </w:r>
          </w:p>
        </w:tc>
        <w:tc>
          <w:tcPr>
            <w:tcW w:type="dxa" w:w="5839"/>
          </w:tcPr>
          <w:p>
            <w:pPr>
              <w:spacing w:after="20"/>
            </w:pPr>
            <w:r/>
            <w:r>
              <w:rPr>
                <w:b w:val="0"/>
                <w:i w:val="0"/>
                <w:sz w:val="17"/>
              </w:rPr>
              <w:t>Prices unchanged: petrol 214.03, diesel 217.86, kerosene 191.38, with stabilisation support</w:t>
            </w:r>
          </w:p>
        </w:tc>
        <w:tc>
          <w:tcPr>
            <w:tcW w:type="dxa" w:w="1871"/>
          </w:tcPr>
          <w:p>
            <w:pPr>
              <w:spacing w:after="20"/>
            </w:pPr>
            <w:r/>
            <w:r>
              <w:rPr>
                <w:b w:val="0"/>
                <w:i w:val="0"/>
                <w:sz w:val="17"/>
              </w:rPr>
              <w:t>EPRA via press</w:t>
            </w:r>
          </w:p>
        </w:tc>
      </w:tr>
    </w:tbl>
    <w:p>
      <w:r>
        <w:rPr>
          <w:i/>
          <w:sz w:val="16"/>
        </w:rPr>
        <w:t>Several of these statements were contested; see Sections 10 and 19.</w:t>
      </w:r>
    </w:p>
    <w:p>
      <w:r>
        <w:rPr>
          <w:b w:val="0"/>
          <w:i w:val="0"/>
        </w:rPr>
        <w:t>Kenya’s retail prices are regulated monthly by EPRA (announced on the 14th). Refined products are procured mainly through a government-to-government (G-to-G) framework with Gulf suppliers, set up in 2023; Kenya has no operating refinery and imports all refined products.</w:t>
      </w:r>
    </w:p>
    <w:p>
      <w:pPr>
        <w:pStyle w:val="Heading1"/>
      </w:pPr>
      <w:r>
        <w:t>2. Market structure and institutions</w:t>
      </w:r>
    </w:p>
    <w:p>
      <w:pPr>
        <w:pStyle w:val="Heading2"/>
      </w:pPr>
      <w:r>
        <w:t>2.1 The supply chain</w:t>
      </w:r>
    </w:p>
    <w:p>
      <w:r>
        <w:rPr>
          <w:b w:val="0"/>
          <w:i w:val="0"/>
        </w:rPr>
        <w:t>The downstream chain runs from Kipevu Oil Terminal 2 at Mombasa (commissioned 2022; four berths) through common-user storage and the Kenya Pipeline Company’s multiproduct network to Nairobi, Nakuru, Eldoret and Kisumu, then by road to more than 5,800 retail stations and to neighbouring countries in transit (EPRA PDP 2025–29). Imports arrive as refined product; there is no operating refinery (KPRL is mothballed) and no commercial crude production.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1361"/>
            <w:shd w:val="clear" w:color="auto" w:fill="1F4E79"/>
          </w:tcPr>
          <w:p>
            <w:pPr>
              <w:spacing w:after="20"/>
            </w:pPr>
            <w:r/>
            <w:r>
              <w:rPr>
                <w:b/>
                <w:color w:val="FFFFFF"/>
                <w:sz w:val="17"/>
              </w:rPr>
              <w:t>Stage</w:t>
            </w:r>
          </w:p>
        </w:tc>
        <w:tc>
          <w:tcPr>
            <w:tcW w:type="dxa" w:w="5329"/>
            <w:shd w:val="clear" w:color="auto" w:fill="1F4E79"/>
          </w:tcPr>
          <w:p>
            <w:pPr>
              <w:spacing w:after="20"/>
            </w:pPr>
            <w:r/>
            <w:r>
              <w:rPr>
                <w:b/>
                <w:color w:val="FFFFFF"/>
                <w:sz w:val="17"/>
              </w:rPr>
              <w:t>Main elements (as described in the PDP)</w:t>
            </w:r>
          </w:p>
        </w:tc>
        <w:tc>
          <w:tcPr>
            <w:tcW w:type="dxa" w:w="2835"/>
            <w:shd w:val="clear" w:color="auto" w:fill="1F4E79"/>
          </w:tcPr>
          <w:p>
            <w:pPr>
              <w:spacing w:after="20"/>
            </w:pPr>
            <w:r/>
            <w:r>
              <w:rPr>
                <w:b/>
                <w:color w:val="FFFFFF"/>
                <w:sz w:val="17"/>
              </w:rPr>
              <w:t>Stress point in 2026</w:t>
            </w:r>
          </w:p>
        </w:tc>
      </w:tr>
      <w:tr>
        <w:trPr>
          <w:cantSplit/>
        </w:trPr>
        <w:tc>
          <w:tcPr>
            <w:tcW w:type="dxa" w:w="1361"/>
          </w:tcPr>
          <w:p>
            <w:pPr>
              <w:spacing w:after="20"/>
            </w:pPr>
            <w:r/>
            <w:r>
              <w:rPr>
                <w:b w:val="0"/>
                <w:i w:val="0"/>
                <w:sz w:val="17"/>
              </w:rPr>
              <w:t>Import</w:t>
            </w:r>
          </w:p>
        </w:tc>
        <w:tc>
          <w:tcPr>
            <w:tcW w:type="dxa" w:w="5329"/>
          </w:tcPr>
          <w:p>
            <w:pPr>
              <w:spacing w:after="20"/>
            </w:pPr>
            <w:r/>
            <w:r>
              <w:rPr>
                <w:b w:val="0"/>
                <w:i w:val="0"/>
                <w:sz w:val="17"/>
              </w:rPr>
              <w:t>Kipevu Oil Terminal 2 (KOT2); G-to-G contracts with Gulf suppliers; open tender for part of volume</w:t>
            </w:r>
          </w:p>
        </w:tc>
        <w:tc>
          <w:tcPr>
            <w:tcW w:type="dxa" w:w="2835"/>
          </w:tcPr>
          <w:p>
            <w:pPr>
              <w:spacing w:after="20"/>
            </w:pPr>
            <w:r/>
            <w:r>
              <w:rPr>
                <w:b w:val="0"/>
                <w:i w:val="0"/>
                <w:sz w:val="17"/>
              </w:rPr>
              <w:t>Gulf-origin concentration; Hormuz closure</w:t>
            </w:r>
          </w:p>
        </w:tc>
      </w:tr>
      <w:tr>
        <w:trPr>
          <w:cantSplit/>
        </w:trPr>
        <w:tc>
          <w:tcPr>
            <w:tcW w:type="dxa" w:w="1361"/>
            <w:shd w:val="clear" w:color="auto" w:fill="EEF3F8"/>
          </w:tcPr>
          <w:p>
            <w:pPr>
              <w:spacing w:after="20"/>
            </w:pPr>
            <w:r/>
            <w:r>
              <w:rPr>
                <w:b w:val="0"/>
                <w:i w:val="0"/>
                <w:sz w:val="17"/>
              </w:rPr>
              <w:t>Storage</w:t>
            </w:r>
          </w:p>
        </w:tc>
        <w:tc>
          <w:tcPr>
            <w:tcW w:type="dxa" w:w="5329"/>
            <w:shd w:val="clear" w:color="auto" w:fill="EEF3F8"/>
          </w:tcPr>
          <w:p>
            <w:pPr>
              <w:spacing w:after="20"/>
            </w:pPr>
            <w:r/>
            <w:r>
              <w:rPr>
                <w:b w:val="0"/>
                <w:i w:val="0"/>
                <w:sz w:val="17"/>
              </w:rPr>
              <w:t>Licensed depots at Mombasa, Nairobi, Nakuru, Eldoret, Kisumu; gross licensed capacity: diesel 755 ML, petrol 463 ML, jet 232 ML, kerosene 53 ML (Mar 2025); LPG 44.4 kt</w:t>
            </w:r>
          </w:p>
        </w:tc>
        <w:tc>
          <w:tcPr>
            <w:tcW w:type="dxa" w:w="2835"/>
            <w:shd w:val="clear" w:color="auto" w:fill="EEF3F8"/>
          </w:tcPr>
          <w:p>
            <w:pPr>
              <w:spacing w:after="20"/>
            </w:pPr>
            <w:r/>
            <w:r>
              <w:rPr>
                <w:b w:val="0"/>
                <w:i w:val="0"/>
                <w:sz w:val="17"/>
              </w:rPr>
              <w:t>Stocks held, not tank space</w:t>
            </w:r>
          </w:p>
        </w:tc>
      </w:tr>
      <w:tr>
        <w:trPr>
          <w:cantSplit/>
        </w:trPr>
        <w:tc>
          <w:tcPr>
            <w:tcW w:type="dxa" w:w="1361"/>
          </w:tcPr>
          <w:p>
            <w:pPr>
              <w:spacing w:after="20"/>
            </w:pPr>
            <w:r/>
            <w:r>
              <w:rPr>
                <w:b w:val="0"/>
                <w:i w:val="0"/>
                <w:sz w:val="17"/>
              </w:rPr>
              <w:t>Transport</w:t>
            </w:r>
          </w:p>
        </w:tc>
        <w:tc>
          <w:tcPr>
            <w:tcW w:type="dxa" w:w="5329"/>
          </w:tcPr>
          <w:p>
            <w:pPr>
              <w:spacing w:after="20"/>
            </w:pPr>
            <w:r/>
            <w:r>
              <w:rPr>
                <w:b w:val="0"/>
                <w:i w:val="0"/>
                <w:sz w:val="17"/>
              </w:rPr>
              <w:t>KPC Line 1 (Mombasa–Nairobi), Line 2 (Nairobi–Eldoret), Line 3 (Sinendet–Kisumu) and Line 5; rail and road</w:t>
            </w:r>
          </w:p>
        </w:tc>
        <w:tc>
          <w:tcPr>
            <w:tcW w:type="dxa" w:w="2835"/>
          </w:tcPr>
          <w:p>
            <w:pPr>
              <w:spacing w:after="20"/>
            </w:pPr>
            <w:r/>
            <w:r>
              <w:rPr>
                <w:b w:val="0"/>
                <w:i w:val="0"/>
                <w:sz w:val="17"/>
              </w:rPr>
              <w:t>Lines 2 and 3 at maximum utilisation</w:t>
            </w:r>
          </w:p>
        </w:tc>
      </w:tr>
      <w:tr>
        <w:trPr>
          <w:cantSplit/>
        </w:trPr>
        <w:tc>
          <w:tcPr>
            <w:tcW w:type="dxa" w:w="1361"/>
            <w:shd w:val="clear" w:color="auto" w:fill="EEF3F8"/>
          </w:tcPr>
          <w:p>
            <w:pPr>
              <w:spacing w:after="20"/>
            </w:pPr>
            <w:r/>
            <w:r>
              <w:rPr>
                <w:b w:val="0"/>
                <w:i w:val="0"/>
                <w:sz w:val="17"/>
              </w:rPr>
              <w:t>Distribution</w:t>
            </w:r>
          </w:p>
        </w:tc>
        <w:tc>
          <w:tcPr>
            <w:tcW w:type="dxa" w:w="5329"/>
            <w:shd w:val="clear" w:color="auto" w:fill="EEF3F8"/>
          </w:tcPr>
          <w:p>
            <w:pPr>
              <w:spacing w:after="20"/>
            </w:pPr>
            <w:r/>
            <w:r>
              <w:rPr>
                <w:b w:val="0"/>
                <w:i w:val="0"/>
                <w:sz w:val="17"/>
              </w:rPr>
              <w:t>OMCs, &gt;5,800 stations; regulated price build-up</w:t>
            </w:r>
          </w:p>
        </w:tc>
        <w:tc>
          <w:tcPr>
            <w:tcW w:type="dxa" w:w="2835"/>
            <w:shd w:val="clear" w:color="auto" w:fill="EEF3F8"/>
          </w:tcPr>
          <w:p>
            <w:pPr>
              <w:spacing w:after="20"/>
            </w:pPr>
            <w:r/>
            <w:r>
              <w:rPr>
                <w:b w:val="0"/>
                <w:i w:val="0"/>
                <w:sz w:val="17"/>
              </w:rPr>
              <w:t>Dry pumps, rationing</w:t>
            </w:r>
          </w:p>
        </w:tc>
      </w:tr>
      <w:tr>
        <w:trPr>
          <w:cantSplit/>
        </w:trPr>
        <w:tc>
          <w:tcPr>
            <w:tcW w:type="dxa" w:w="1361"/>
          </w:tcPr>
          <w:p>
            <w:pPr>
              <w:spacing w:after="20"/>
            </w:pPr>
            <w:r/>
            <w:r>
              <w:rPr>
                <w:b w:val="0"/>
                <w:i w:val="0"/>
                <w:sz w:val="17"/>
              </w:rPr>
              <w:t>Pricing</w:t>
            </w:r>
          </w:p>
        </w:tc>
        <w:tc>
          <w:tcPr>
            <w:tcW w:type="dxa" w:w="5329"/>
          </w:tcPr>
          <w:p>
            <w:pPr>
              <w:spacing w:after="20"/>
            </w:pPr>
            <w:r/>
            <w:r>
              <w:rPr>
                <w:b w:val="0"/>
                <w:i w:val="0"/>
                <w:sz w:val="17"/>
              </w:rPr>
              <w:t>EPRA monthly maximum prices (15th–14th); VAT 16%; stabilisation support when prices spike</w:t>
            </w:r>
          </w:p>
        </w:tc>
        <w:tc>
          <w:tcPr>
            <w:tcW w:type="dxa" w:w="2835"/>
          </w:tcPr>
          <w:p>
            <w:pPr>
              <w:spacing w:after="20"/>
            </w:pPr>
            <w:r/>
            <w:r>
              <w:rPr>
                <w:b w:val="0"/>
                <w:i w:val="0"/>
                <w:sz w:val="17"/>
              </w:rPr>
              <w:t>Pass-through ≈ 82%</w:t>
            </w:r>
          </w:p>
        </w:tc>
      </w:tr>
    </w:tbl>
    <w:p>
      <w:pPr>
        <w:spacing w:after="40"/>
      </w:pPr>
    </w:p>
    <w:p>
      <w:pPr>
        <w:pStyle w:val="Heading2"/>
      </w:pPr>
      <w:r>
        <w:t>2.2 Regulation and the stock standard</w:t>
      </w:r>
    </w:p>
    <w:p>
      <w:r>
        <w:rPr>
          <w:b w:val="0"/>
          <w:i w:val="0"/>
        </w:rPr>
        <w:t>The Petroleum Development Plan (PDP) assumes a 30-day stock cover: 15 days of minimum operational stocks plus 15 days of strategic reserve. It notes that in practice only the minimum operating stocks are maintained under the 2008 regulations, and that a strategic stocks regulation was in draft. This matters for the 2026 episode: the standard that the plan uses was not backed by a funded, legally operating strategic reserve.</w:t>
      </w:r>
    </w:p>
    <w:p>
      <w:pPr>
        <w:pStyle w:val="Heading2"/>
      </w:pPr>
      <w:r>
        <w:t>2.3 Upstream</w:t>
      </w:r>
    </w:p>
    <w:p>
      <w:r>
        <w:rPr>
          <w:b w:val="0"/>
          <w:i w:val="0"/>
        </w:rPr>
        <w:t>Kenya produces no commercial crude yet. The South Lokichar fields (Turkana) were acquired by Gulf Energy from Tullow in 2025; officials have targeted first oil by December 2026. Section 12 models the project economics under stated assumptions.</w:t>
      </w:r>
    </w:p>
    <w:p>
      <w:pPr>
        <w:pStyle w:val="Heading1"/>
      </w:pPr>
      <w:r>
        <w:t>3. Data and methodology</w:t>
      </w:r>
    </w:p>
    <w:p>
      <w:pPr>
        <w:pStyle w:val="Heading2"/>
      </w:pPr>
      <w:r>
        <w:t>3.1 Data inventory</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835"/>
            <w:shd w:val="clear" w:color="auto" w:fill="1F4E79"/>
          </w:tcPr>
          <w:p>
            <w:pPr>
              <w:spacing w:after="20"/>
            </w:pPr>
            <w:r/>
            <w:r>
              <w:rPr>
                <w:b/>
                <w:color w:val="FFFFFF"/>
                <w:sz w:val="17"/>
              </w:rPr>
              <w:t>Dataset</w:t>
            </w:r>
          </w:p>
        </w:tc>
        <w:tc>
          <w:tcPr>
            <w:tcW w:type="dxa" w:w="2665"/>
            <w:shd w:val="clear" w:color="auto" w:fill="1F4E79"/>
          </w:tcPr>
          <w:p>
            <w:pPr>
              <w:spacing w:after="20"/>
            </w:pPr>
            <w:r/>
            <w:r>
              <w:rPr>
                <w:b/>
                <w:color w:val="FFFFFF"/>
                <w:sz w:val="17"/>
              </w:rPr>
              <w:t>Coverage</w:t>
            </w:r>
          </w:p>
        </w:tc>
        <w:tc>
          <w:tcPr>
            <w:tcW w:type="dxa" w:w="1928"/>
            <w:shd w:val="clear" w:color="auto" w:fill="1F4E79"/>
          </w:tcPr>
          <w:p>
            <w:pPr>
              <w:spacing w:after="20"/>
            </w:pPr>
            <w:r/>
            <w:r>
              <w:rPr>
                <w:b/>
                <w:color w:val="FFFFFF"/>
                <w:sz w:val="17"/>
              </w:rPr>
              <w:t>Use</w:t>
            </w:r>
          </w:p>
        </w:tc>
        <w:tc>
          <w:tcPr>
            <w:tcW w:type="dxa" w:w="2098"/>
            <w:shd w:val="clear" w:color="auto" w:fill="1F4E79"/>
          </w:tcPr>
          <w:p>
            <w:pPr>
              <w:spacing w:after="20"/>
            </w:pPr>
            <w:r/>
            <w:r>
              <w:rPr>
                <w:b/>
                <w:color w:val="FFFFFF"/>
                <w:sz w:val="17"/>
              </w:rPr>
              <w:t>Status</w:t>
            </w:r>
          </w:p>
        </w:tc>
      </w:tr>
      <w:tr>
        <w:trPr>
          <w:cantSplit/>
        </w:trPr>
        <w:tc>
          <w:tcPr>
            <w:tcW w:type="dxa" w:w="2835"/>
          </w:tcPr>
          <w:p>
            <w:pPr>
              <w:spacing w:after="20"/>
            </w:pPr>
            <w:r/>
            <w:r>
              <w:rPr>
                <w:b w:val="0"/>
                <w:i w:val="0"/>
                <w:sz w:val="17"/>
              </w:rPr>
              <w:t>LeadAfrik: consumption of petroleum fuels (KNBS LEI)</w:t>
            </w:r>
          </w:p>
        </w:tc>
        <w:tc>
          <w:tcPr>
            <w:tcW w:type="dxa" w:w="2665"/>
          </w:tcPr>
          <w:p>
            <w:pPr>
              <w:spacing w:after="20"/>
            </w:pPr>
            <w:r/>
            <w:r>
              <w:rPr>
                <w:b w:val="0"/>
                <w:i w:val="0"/>
                <w:sz w:val="17"/>
              </w:rPr>
              <w:t>189 rows; Jan 2024–Mar 2026; 7 product columns</w:t>
            </w:r>
          </w:p>
        </w:tc>
        <w:tc>
          <w:tcPr>
            <w:tcW w:type="dxa" w:w="1928"/>
          </w:tcPr>
          <w:p>
            <w:pPr>
              <w:spacing w:after="20"/>
            </w:pPr>
            <w:r/>
            <w:r>
              <w:rPr>
                <w:b w:val="0"/>
                <w:i w:val="0"/>
                <w:sz w:val="17"/>
              </w:rPr>
              <w:t>Core demand data</w:t>
            </w:r>
          </w:p>
        </w:tc>
        <w:tc>
          <w:tcPr>
            <w:tcW w:type="dxa" w:w="2098"/>
          </w:tcPr>
          <w:p>
            <w:pPr>
              <w:spacing w:after="20"/>
            </w:pPr>
            <w:r/>
            <w:r>
              <w:rPr>
                <w:b w:val="0"/>
                <w:i w:val="0"/>
                <w:sz w:val="17"/>
              </w:rPr>
              <w:t>Used after relabelling; March 2026 blank</w:t>
            </w:r>
          </w:p>
        </w:tc>
      </w:tr>
      <w:tr>
        <w:trPr>
          <w:cantSplit/>
        </w:trPr>
        <w:tc>
          <w:tcPr>
            <w:tcW w:type="dxa" w:w="2835"/>
            <w:shd w:val="clear" w:color="auto" w:fill="EEF3F8"/>
          </w:tcPr>
          <w:p>
            <w:pPr>
              <w:spacing w:after="20"/>
            </w:pPr>
            <w:r/>
            <w:r>
              <w:rPr>
                <w:b w:val="0"/>
                <w:i w:val="0"/>
                <w:sz w:val="17"/>
              </w:rPr>
              <w:t>LeadAfrik: national average retail prices (KNBS LEI)</w:t>
            </w:r>
          </w:p>
        </w:tc>
        <w:tc>
          <w:tcPr>
            <w:tcW w:type="dxa" w:w="2665"/>
            <w:shd w:val="clear" w:color="auto" w:fill="EEF3F8"/>
          </w:tcPr>
          <w:p>
            <w:pPr>
              <w:spacing w:after="20"/>
            </w:pPr>
            <w:r/>
            <w:r>
              <w:rPr>
                <w:b w:val="0"/>
                <w:i w:val="0"/>
                <w:sz w:val="17"/>
              </w:rPr>
              <w:t>75 rows; Jan 2025–Mar 2026; petrol, diesel, kerosene, LPG, charcoal</w:t>
            </w:r>
          </w:p>
        </w:tc>
        <w:tc>
          <w:tcPr>
            <w:tcW w:type="dxa" w:w="1928"/>
            <w:shd w:val="clear" w:color="auto" w:fill="EEF3F8"/>
          </w:tcPr>
          <w:p>
            <w:pPr>
              <w:spacing w:after="20"/>
            </w:pPr>
            <w:r/>
            <w:r>
              <w:rPr>
                <w:b w:val="0"/>
                <w:i w:val="0"/>
                <w:sz w:val="17"/>
              </w:rPr>
              <w:t>Price analysis</w:t>
            </w:r>
          </w:p>
        </w:tc>
        <w:tc>
          <w:tcPr>
            <w:tcW w:type="dxa" w:w="2098"/>
            <w:shd w:val="clear" w:color="auto" w:fill="EEF3F8"/>
          </w:tcPr>
          <w:p>
            <w:pPr>
              <w:spacing w:after="20"/>
            </w:pPr>
            <w:r/>
            <w:r>
              <w:rPr>
                <w:b w:val="0"/>
                <w:i w:val="0"/>
                <w:sz w:val="17"/>
              </w:rPr>
              <w:t>Used; complete</w:t>
            </w:r>
          </w:p>
        </w:tc>
      </w:tr>
      <w:tr>
        <w:trPr>
          <w:cantSplit/>
        </w:trPr>
        <w:tc>
          <w:tcPr>
            <w:tcW w:type="dxa" w:w="2835"/>
          </w:tcPr>
          <w:p>
            <w:pPr>
              <w:spacing w:after="20"/>
            </w:pPr>
            <w:r/>
            <w:r>
              <w:rPr>
                <w:b w:val="0"/>
                <w:i w:val="0"/>
                <w:sz w:val="17"/>
              </w:rPr>
              <w:t>LeadAfrik: Kenya pump prices by town (EPRA)</w:t>
            </w:r>
          </w:p>
        </w:tc>
        <w:tc>
          <w:tcPr>
            <w:tcW w:type="dxa" w:w="2665"/>
          </w:tcPr>
          <w:p>
            <w:pPr>
              <w:spacing w:after="20"/>
            </w:pPr>
            <w:r/>
            <w:r>
              <w:rPr>
                <w:b w:val="0"/>
                <w:i w:val="0"/>
                <w:sz w:val="17"/>
              </w:rPr>
              <w:t>Header only</w:t>
            </w:r>
          </w:p>
        </w:tc>
        <w:tc>
          <w:tcPr>
            <w:tcW w:type="dxa" w:w="1928"/>
          </w:tcPr>
          <w:p>
            <w:pPr>
              <w:spacing w:after="20"/>
            </w:pPr>
            <w:r/>
            <w:r>
              <w:rPr>
                <w:b w:val="0"/>
                <w:i w:val="0"/>
                <w:sz w:val="17"/>
              </w:rPr>
              <w:t>Regional spreads</w:t>
            </w:r>
          </w:p>
        </w:tc>
        <w:tc>
          <w:tcPr>
            <w:tcW w:type="dxa" w:w="2098"/>
          </w:tcPr>
          <w:p>
            <w:pPr>
              <w:spacing w:after="20"/>
            </w:pPr>
            <w:r/>
            <w:r>
              <w:rPr>
                <w:b w:val="0"/>
                <w:i w:val="0"/>
                <w:sz w:val="17"/>
              </w:rPr>
              <w:t>Empty; replaced by press-reported EPRA maxima</w:t>
            </w:r>
          </w:p>
        </w:tc>
      </w:tr>
      <w:tr>
        <w:trPr>
          <w:cantSplit/>
        </w:trPr>
        <w:tc>
          <w:tcPr>
            <w:tcW w:type="dxa" w:w="2835"/>
            <w:shd w:val="clear" w:color="auto" w:fill="EEF3F8"/>
          </w:tcPr>
          <w:p>
            <w:pPr>
              <w:spacing w:after="20"/>
            </w:pPr>
            <w:r/>
            <w:r>
              <w:rPr>
                <w:b w:val="0"/>
                <w:i w:val="0"/>
                <w:sz w:val="17"/>
              </w:rPr>
              <w:t>EPRA Petroleum Development Plan 2025–2029</w:t>
            </w:r>
          </w:p>
        </w:tc>
        <w:tc>
          <w:tcPr>
            <w:tcW w:type="dxa" w:w="2665"/>
            <w:shd w:val="clear" w:color="auto" w:fill="EEF3F8"/>
          </w:tcPr>
          <w:p>
            <w:pPr>
              <w:spacing w:after="20"/>
            </w:pPr>
            <w:r/>
            <w:r>
              <w:rPr>
                <w:b w:val="0"/>
                <w:i w:val="0"/>
                <w:sz w:val="17"/>
              </w:rPr>
              <w:t>Demand equations, scenarios, base year 2024, storage</w:t>
            </w:r>
          </w:p>
        </w:tc>
        <w:tc>
          <w:tcPr>
            <w:tcW w:type="dxa" w:w="1928"/>
            <w:shd w:val="clear" w:color="auto" w:fill="EEF3F8"/>
          </w:tcPr>
          <w:p>
            <w:pPr>
              <w:spacing w:after="20"/>
            </w:pPr>
            <w:r/>
            <w:r>
              <w:rPr>
                <w:b w:val="0"/>
                <w:i w:val="0"/>
                <w:sz w:val="17"/>
              </w:rPr>
              <w:t>Elasticities, growth rates, capacity</w:t>
            </w:r>
          </w:p>
        </w:tc>
        <w:tc>
          <w:tcPr>
            <w:tcW w:type="dxa" w:w="2098"/>
            <w:shd w:val="clear" w:color="auto" w:fill="EEF3F8"/>
          </w:tcPr>
          <w:p>
            <w:pPr>
              <w:spacing w:after="20"/>
            </w:pPr>
            <w:r/>
            <w:r>
              <w:rPr>
                <w:b w:val="0"/>
                <w:i w:val="0"/>
                <w:sz w:val="17"/>
              </w:rPr>
              <w:t>Used (primary document)</w:t>
            </w:r>
          </w:p>
        </w:tc>
      </w:tr>
      <w:tr>
        <w:trPr>
          <w:cantSplit/>
        </w:trPr>
        <w:tc>
          <w:tcPr>
            <w:tcW w:type="dxa" w:w="2835"/>
          </w:tcPr>
          <w:p>
            <w:pPr>
              <w:spacing w:after="20"/>
            </w:pPr>
            <w:r/>
            <w:r>
              <w:rPr>
                <w:b w:val="0"/>
                <w:i w:val="0"/>
                <w:sz w:val="17"/>
              </w:rPr>
              <w:t>KNBS Economic Survey 2026 (via press)</w:t>
            </w:r>
          </w:p>
        </w:tc>
        <w:tc>
          <w:tcPr>
            <w:tcW w:type="dxa" w:w="2665"/>
          </w:tcPr>
          <w:p>
            <w:pPr>
              <w:spacing w:after="20"/>
            </w:pPr>
            <w:r/>
            <w:r>
              <w:rPr>
                <w:b w:val="0"/>
                <w:i w:val="0"/>
                <w:sz w:val="17"/>
              </w:rPr>
              <w:t>2025 demand, imports, exports</w:t>
            </w:r>
          </w:p>
        </w:tc>
        <w:tc>
          <w:tcPr>
            <w:tcW w:type="dxa" w:w="1928"/>
          </w:tcPr>
          <w:p>
            <w:pPr>
              <w:spacing w:after="20"/>
            </w:pPr>
            <w:r/>
            <w:r>
              <w:rPr>
                <w:b w:val="0"/>
                <w:i w:val="0"/>
                <w:sz w:val="17"/>
              </w:rPr>
              <w:t>Validation anchors</w:t>
            </w:r>
          </w:p>
        </w:tc>
        <w:tc>
          <w:tcPr>
            <w:tcW w:type="dxa" w:w="2098"/>
          </w:tcPr>
          <w:p>
            <w:pPr>
              <w:spacing w:after="20"/>
            </w:pPr>
            <w:r/>
            <w:r>
              <w:rPr>
                <w:b w:val="0"/>
                <w:i w:val="0"/>
                <w:sz w:val="17"/>
              </w:rPr>
              <w:t>Secondary</w:t>
            </w:r>
          </w:p>
        </w:tc>
      </w:tr>
      <w:tr>
        <w:trPr>
          <w:cantSplit/>
        </w:trPr>
        <w:tc>
          <w:tcPr>
            <w:tcW w:type="dxa" w:w="2835"/>
            <w:shd w:val="clear" w:color="auto" w:fill="EEF3F8"/>
          </w:tcPr>
          <w:p>
            <w:pPr>
              <w:spacing w:after="20"/>
            </w:pPr>
            <w:r/>
            <w:r>
              <w:rPr>
                <w:b w:val="0"/>
                <w:i w:val="0"/>
                <w:sz w:val="17"/>
              </w:rPr>
              <w:t>EPRA monthly price reviews 2026 (via press)</w:t>
            </w:r>
          </w:p>
        </w:tc>
        <w:tc>
          <w:tcPr>
            <w:tcW w:type="dxa" w:w="2665"/>
            <w:shd w:val="clear" w:color="auto" w:fill="EEF3F8"/>
          </w:tcPr>
          <w:p>
            <w:pPr>
              <w:spacing w:after="20"/>
            </w:pPr>
            <w:r/>
            <w:r>
              <w:rPr>
                <w:b w:val="0"/>
                <w:i w:val="0"/>
                <w:sz w:val="17"/>
              </w:rPr>
              <w:t>Nairobi and regional maxima; landed costs</w:t>
            </w:r>
          </w:p>
        </w:tc>
        <w:tc>
          <w:tcPr>
            <w:tcW w:type="dxa" w:w="1928"/>
            <w:shd w:val="clear" w:color="auto" w:fill="EEF3F8"/>
          </w:tcPr>
          <w:p>
            <w:pPr>
              <w:spacing w:after="20"/>
            </w:pPr>
            <w:r/>
            <w:r>
              <w:rPr>
                <w:b w:val="0"/>
                <w:i w:val="0"/>
                <w:sz w:val="17"/>
              </w:rPr>
              <w:t>2026 price path and pass-through</w:t>
            </w:r>
          </w:p>
        </w:tc>
        <w:tc>
          <w:tcPr>
            <w:tcW w:type="dxa" w:w="2098"/>
            <w:shd w:val="clear" w:color="auto" w:fill="EEF3F8"/>
          </w:tcPr>
          <w:p>
            <w:pPr>
              <w:spacing w:after="20"/>
            </w:pPr>
            <w:r/>
            <w:r>
              <w:rPr>
                <w:b w:val="0"/>
                <w:i w:val="0"/>
                <w:sz w:val="17"/>
              </w:rPr>
              <w:t>Secondary</w:t>
            </w:r>
          </w:p>
        </w:tc>
      </w:tr>
      <w:tr>
        <w:trPr>
          <w:cantSplit/>
        </w:trPr>
        <w:tc>
          <w:tcPr>
            <w:tcW w:type="dxa" w:w="2835"/>
          </w:tcPr>
          <w:p>
            <w:pPr>
              <w:spacing w:after="20"/>
            </w:pPr>
            <w:r/>
            <w:r>
              <w:rPr>
                <w:b w:val="0"/>
                <w:i w:val="0"/>
                <w:sz w:val="17"/>
              </w:rPr>
              <w:t>Ministry / Treasury / EPRA statements (via press)</w:t>
            </w:r>
          </w:p>
        </w:tc>
        <w:tc>
          <w:tcPr>
            <w:tcW w:type="dxa" w:w="2665"/>
          </w:tcPr>
          <w:p>
            <w:pPr>
              <w:spacing w:after="20"/>
            </w:pPr>
            <w:r/>
            <w:r>
              <w:rPr>
                <w:b w:val="0"/>
                <w:i w:val="0"/>
                <w:sz w:val="17"/>
              </w:rPr>
              <w:t>Stock cover days, Mar–May 2026</w:t>
            </w:r>
          </w:p>
        </w:tc>
        <w:tc>
          <w:tcPr>
            <w:tcW w:type="dxa" w:w="1928"/>
          </w:tcPr>
          <w:p>
            <w:pPr>
              <w:spacing w:after="20"/>
            </w:pPr>
            <w:r/>
            <w:r>
              <w:rPr>
                <w:b w:val="0"/>
                <w:i w:val="0"/>
                <w:sz w:val="17"/>
              </w:rPr>
              <w:t>Supply security</w:t>
            </w:r>
          </w:p>
        </w:tc>
        <w:tc>
          <w:tcPr>
            <w:tcW w:type="dxa" w:w="2098"/>
          </w:tcPr>
          <w:p>
            <w:pPr>
              <w:spacing w:after="20"/>
            </w:pPr>
            <w:r/>
            <w:r>
              <w:rPr>
                <w:b w:val="0"/>
                <w:i w:val="0"/>
                <w:sz w:val="17"/>
              </w:rPr>
              <w:t>Secondary; contested</w:t>
            </w:r>
          </w:p>
        </w:tc>
      </w:tr>
    </w:tbl>
    <w:p>
      <w:pPr>
        <w:spacing w:after="40"/>
      </w:pPr>
    </w:p>
    <w:p>
      <w:pPr>
        <w:pStyle w:val="Heading2"/>
      </w:pPr>
      <w:r>
        <w:t>3.2 Data-quality finding: mislabelled product columns</w:t>
      </w:r>
    </w:p>
    <w:p>
      <w:r>
        <w:rPr>
          <w:b w:val="0"/>
          <w:i w:val="0"/>
        </w:rPr>
        <w:t>Seven product columns were checked against independent anchors. Four match exactly; the labels on two (and the identity of two others) do not correspond to the products named:</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2154"/>
            <w:shd w:val="clear" w:color="auto" w:fill="1F4E79"/>
          </w:tcPr>
          <w:p>
            <w:pPr>
              <w:spacing w:after="20"/>
            </w:pPr>
            <w:r/>
            <w:r>
              <w:rPr>
                <w:b/>
                <w:color w:val="FFFFFF"/>
                <w:sz w:val="17"/>
              </w:rPr>
              <w:t>Label as published</w:t>
            </w:r>
          </w:p>
        </w:tc>
        <w:tc>
          <w:tcPr>
            <w:tcW w:type="dxa" w:w="1247"/>
            <w:shd w:val="clear" w:color="auto" w:fill="1F4E79"/>
          </w:tcPr>
          <w:p>
            <w:pPr>
              <w:spacing w:after="20"/>
            </w:pPr>
            <w:r/>
            <w:r>
              <w:rPr>
                <w:b/>
                <w:color w:val="FFFFFF"/>
                <w:sz w:val="17"/>
              </w:rPr>
              <w:t>2024 sum (kt)</w:t>
            </w:r>
          </w:p>
        </w:tc>
        <w:tc>
          <w:tcPr>
            <w:tcW w:type="dxa" w:w="1928"/>
            <w:shd w:val="clear" w:color="auto" w:fill="1F4E79"/>
          </w:tcPr>
          <w:p>
            <w:pPr>
              <w:spacing w:after="20"/>
            </w:pPr>
            <w:r/>
            <w:r>
              <w:rPr>
                <w:b/>
                <w:color w:val="FFFFFF"/>
                <w:sz w:val="17"/>
              </w:rPr>
              <w:t>Matches</w:t>
            </w:r>
          </w:p>
        </w:tc>
        <w:tc>
          <w:tcPr>
            <w:tcW w:type="dxa" w:w="1928"/>
            <w:shd w:val="clear" w:color="auto" w:fill="1F4E79"/>
          </w:tcPr>
          <w:p>
            <w:pPr>
              <w:spacing w:after="20"/>
            </w:pPr>
            <w:r/>
            <w:r>
              <w:rPr>
                <w:b/>
                <w:color w:val="FFFFFF"/>
                <w:sz w:val="17"/>
              </w:rPr>
              <w:t>Reference value (kt)</w:t>
            </w:r>
          </w:p>
        </w:tc>
        <w:tc>
          <w:tcPr>
            <w:tcW w:type="dxa" w:w="907"/>
            <w:shd w:val="clear" w:color="auto" w:fill="1F4E79"/>
          </w:tcPr>
          <w:p>
            <w:pPr>
              <w:spacing w:after="20"/>
            </w:pPr>
            <w:r/>
            <w:r>
              <w:rPr>
                <w:b/>
                <w:color w:val="FFFFFF"/>
                <w:sz w:val="17"/>
              </w:rPr>
              <w:t>Error</w:t>
            </w:r>
          </w:p>
        </w:tc>
        <w:tc>
          <w:tcPr>
            <w:tcW w:type="dxa" w:w="1247"/>
            <w:shd w:val="clear" w:color="auto" w:fill="1F4E79"/>
          </w:tcPr>
          <w:p>
            <w:pPr>
              <w:spacing w:after="20"/>
            </w:pPr>
            <w:r/>
            <w:r>
              <w:rPr>
                <w:b/>
                <w:color w:val="FFFFFF"/>
                <w:sz w:val="17"/>
              </w:rPr>
              <w:t>Confidence</w:t>
            </w:r>
          </w:p>
        </w:tc>
      </w:tr>
      <w:tr>
        <w:trPr>
          <w:cantSplit/>
        </w:trPr>
        <w:tc>
          <w:tcPr>
            <w:tcW w:type="dxa" w:w="2154"/>
          </w:tcPr>
          <w:p>
            <w:pPr>
              <w:spacing w:after="20"/>
            </w:pPr>
            <w:r/>
            <w:r>
              <w:rPr>
                <w:b w:val="0"/>
                <w:i w:val="0"/>
                <w:sz w:val="17"/>
              </w:rPr>
              <w:t>AGO (Light Diesel Oil)</w:t>
            </w:r>
          </w:p>
        </w:tc>
        <w:tc>
          <w:tcPr>
            <w:tcW w:type="dxa" w:w="1247"/>
          </w:tcPr>
          <w:p>
            <w:pPr>
              <w:spacing w:after="20"/>
              <w:jc w:val="right"/>
            </w:pPr>
            <w:r/>
            <w:r>
              <w:rPr>
                <w:b w:val="0"/>
                <w:i w:val="0"/>
                <w:sz w:val="17"/>
              </w:rPr>
              <w:t>2,193.6</w:t>
            </w:r>
          </w:p>
        </w:tc>
        <w:tc>
          <w:tcPr>
            <w:tcW w:type="dxa" w:w="1928"/>
          </w:tcPr>
          <w:p>
            <w:pPr>
              <w:spacing w:after="20"/>
            </w:pPr>
            <w:r/>
            <w:r>
              <w:rPr>
                <w:b w:val="0"/>
                <w:i w:val="0"/>
                <w:sz w:val="17"/>
              </w:rPr>
              <w:t>Diesel</w:t>
            </w:r>
          </w:p>
        </w:tc>
        <w:tc>
          <w:tcPr>
            <w:tcW w:type="dxa" w:w="1928"/>
          </w:tcPr>
          <w:p>
            <w:pPr>
              <w:spacing w:after="20"/>
            </w:pPr>
            <w:r/>
            <w:r>
              <w:rPr>
                <w:b w:val="0"/>
                <w:i w:val="0"/>
                <w:sz w:val="17"/>
              </w:rPr>
              <w:t>2,193.6 (EPRA PDP)</w:t>
            </w:r>
          </w:p>
        </w:tc>
        <w:tc>
          <w:tcPr>
            <w:tcW w:type="dxa" w:w="907"/>
          </w:tcPr>
          <w:p>
            <w:pPr>
              <w:spacing w:after="20"/>
              <w:jc w:val="right"/>
            </w:pPr>
            <w:r/>
            <w:r>
              <w:rPr>
                <w:b w:val="0"/>
                <w:i w:val="0"/>
                <w:sz w:val="17"/>
              </w:rPr>
              <w:t>0.0%</w:t>
            </w:r>
          </w:p>
        </w:tc>
        <w:tc>
          <w:tcPr>
            <w:tcW w:type="dxa" w:w="1247"/>
          </w:tcPr>
          <w:p>
            <w:pPr>
              <w:spacing w:after="20"/>
            </w:pPr>
            <w:r/>
            <w:r>
              <w:rPr>
                <w:b w:val="0"/>
                <w:i w:val="0"/>
                <w:sz w:val="17"/>
              </w:rPr>
              <w:t>Confirmed</w:t>
            </w:r>
          </w:p>
        </w:tc>
      </w:tr>
      <w:tr>
        <w:trPr>
          <w:cantSplit/>
        </w:trPr>
        <w:tc>
          <w:tcPr>
            <w:tcW w:type="dxa" w:w="2154"/>
            <w:shd w:val="clear" w:color="auto" w:fill="EEF3F8"/>
          </w:tcPr>
          <w:p>
            <w:pPr>
              <w:spacing w:after="20"/>
            </w:pPr>
            <w:r/>
            <w:r>
              <w:rPr>
                <w:b w:val="0"/>
                <w:i w:val="0"/>
                <w:sz w:val="17"/>
              </w:rPr>
              <w:t>LPG</w:t>
            </w:r>
          </w:p>
        </w:tc>
        <w:tc>
          <w:tcPr>
            <w:tcW w:type="dxa" w:w="1247"/>
            <w:shd w:val="clear" w:color="auto" w:fill="EEF3F8"/>
          </w:tcPr>
          <w:p>
            <w:pPr>
              <w:spacing w:after="20"/>
              <w:jc w:val="right"/>
            </w:pPr>
            <w:r/>
            <w:r>
              <w:rPr>
                <w:b w:val="0"/>
                <w:i w:val="0"/>
                <w:sz w:val="17"/>
              </w:rPr>
              <w:t>1,472.7</w:t>
            </w:r>
          </w:p>
        </w:tc>
        <w:tc>
          <w:tcPr>
            <w:tcW w:type="dxa" w:w="1928"/>
            <w:shd w:val="clear" w:color="auto" w:fill="EEF3F8"/>
          </w:tcPr>
          <w:p>
            <w:pPr>
              <w:spacing w:after="20"/>
            </w:pPr>
            <w:r/>
            <w:r>
              <w:rPr>
                <w:b/>
                <w:i w:val="0"/>
                <w:sz w:val="17"/>
              </w:rPr>
              <w:t>Petrol (PMS)</w:t>
            </w:r>
          </w:p>
        </w:tc>
        <w:tc>
          <w:tcPr>
            <w:tcW w:type="dxa" w:w="1928"/>
            <w:shd w:val="clear" w:color="auto" w:fill="EEF3F8"/>
          </w:tcPr>
          <w:p>
            <w:pPr>
              <w:spacing w:after="20"/>
            </w:pPr>
            <w:r/>
            <w:r>
              <w:rPr>
                <w:b w:val="0"/>
                <w:i w:val="0"/>
                <w:sz w:val="17"/>
              </w:rPr>
              <w:t>1,472.7 (EPRA PDP)</w:t>
            </w:r>
          </w:p>
        </w:tc>
        <w:tc>
          <w:tcPr>
            <w:tcW w:type="dxa" w:w="907"/>
            <w:shd w:val="clear" w:color="auto" w:fill="EEF3F8"/>
          </w:tcPr>
          <w:p>
            <w:pPr>
              <w:spacing w:after="20"/>
              <w:jc w:val="right"/>
            </w:pPr>
            <w:r/>
            <w:r>
              <w:rPr>
                <w:b w:val="0"/>
                <w:i w:val="0"/>
                <w:sz w:val="17"/>
              </w:rPr>
              <w:t>0.0%</w:t>
            </w:r>
          </w:p>
        </w:tc>
        <w:tc>
          <w:tcPr>
            <w:tcW w:type="dxa" w:w="1247"/>
            <w:shd w:val="clear" w:color="auto" w:fill="EEF3F8"/>
          </w:tcPr>
          <w:p>
            <w:pPr>
              <w:spacing w:after="20"/>
            </w:pPr>
            <w:r/>
            <w:r>
              <w:rPr>
                <w:b w:val="0"/>
                <w:i w:val="0"/>
                <w:sz w:val="17"/>
              </w:rPr>
              <w:t>Confirmed</w:t>
            </w:r>
          </w:p>
        </w:tc>
      </w:tr>
      <w:tr>
        <w:trPr>
          <w:cantSplit/>
        </w:trPr>
        <w:tc>
          <w:tcPr>
            <w:tcW w:type="dxa" w:w="2154"/>
          </w:tcPr>
          <w:p>
            <w:pPr>
              <w:spacing w:after="20"/>
            </w:pPr>
            <w:r/>
            <w:r>
              <w:rPr>
                <w:b w:val="0"/>
                <w:i w:val="0"/>
                <w:sz w:val="17"/>
              </w:rPr>
              <w:t>Other</w:t>
            </w:r>
          </w:p>
        </w:tc>
        <w:tc>
          <w:tcPr>
            <w:tcW w:type="dxa" w:w="1247"/>
          </w:tcPr>
          <w:p>
            <w:pPr>
              <w:spacing w:after="20"/>
              <w:jc w:val="right"/>
            </w:pPr>
            <w:r/>
            <w:r>
              <w:rPr>
                <w:b w:val="0"/>
                <w:i w:val="0"/>
                <w:sz w:val="17"/>
              </w:rPr>
              <w:t>414.9</w:t>
            </w:r>
          </w:p>
        </w:tc>
        <w:tc>
          <w:tcPr>
            <w:tcW w:type="dxa" w:w="1928"/>
          </w:tcPr>
          <w:p>
            <w:pPr>
              <w:spacing w:after="20"/>
            </w:pPr>
            <w:r/>
            <w:r>
              <w:rPr>
                <w:b/>
                <w:i w:val="0"/>
                <w:sz w:val="17"/>
              </w:rPr>
              <w:t>LPG</w:t>
            </w:r>
          </w:p>
        </w:tc>
        <w:tc>
          <w:tcPr>
            <w:tcW w:type="dxa" w:w="1928"/>
          </w:tcPr>
          <w:p>
            <w:pPr>
              <w:spacing w:after="20"/>
            </w:pPr>
            <w:r/>
            <w:r>
              <w:rPr>
                <w:b w:val="0"/>
                <w:i w:val="0"/>
                <w:sz w:val="17"/>
              </w:rPr>
              <w:t>414.9 (EPRA PDP)</w:t>
            </w:r>
          </w:p>
        </w:tc>
        <w:tc>
          <w:tcPr>
            <w:tcW w:type="dxa" w:w="907"/>
          </w:tcPr>
          <w:p>
            <w:pPr>
              <w:spacing w:after="20"/>
              <w:jc w:val="right"/>
            </w:pPr>
            <w:r/>
            <w:r>
              <w:rPr>
                <w:b w:val="0"/>
                <w:i w:val="0"/>
                <w:sz w:val="17"/>
              </w:rPr>
              <w:t>0.0%</w:t>
            </w:r>
          </w:p>
        </w:tc>
        <w:tc>
          <w:tcPr>
            <w:tcW w:type="dxa" w:w="1247"/>
          </w:tcPr>
          <w:p>
            <w:pPr>
              <w:spacing w:after="20"/>
            </w:pPr>
            <w:r/>
            <w:r>
              <w:rPr>
                <w:b w:val="0"/>
                <w:i w:val="0"/>
                <w:sz w:val="17"/>
              </w:rPr>
              <w:t>Confirmed</w:t>
            </w:r>
          </w:p>
        </w:tc>
      </w:tr>
      <w:tr>
        <w:trPr>
          <w:cantSplit/>
        </w:trPr>
        <w:tc>
          <w:tcPr>
            <w:tcW w:type="dxa" w:w="2154"/>
            <w:shd w:val="clear" w:color="auto" w:fill="EEF3F8"/>
          </w:tcPr>
          <w:p>
            <w:pPr>
              <w:spacing w:after="20"/>
            </w:pPr>
            <w:r/>
            <w:r>
              <w:rPr>
                <w:b w:val="0"/>
                <w:i w:val="0"/>
                <w:sz w:val="17"/>
              </w:rPr>
              <w:t>Illuminating Kerosene</w:t>
            </w:r>
          </w:p>
        </w:tc>
        <w:tc>
          <w:tcPr>
            <w:tcW w:type="dxa" w:w="1247"/>
            <w:shd w:val="clear" w:color="auto" w:fill="EEF3F8"/>
          </w:tcPr>
          <w:p>
            <w:pPr>
              <w:spacing w:after="20"/>
              <w:jc w:val="right"/>
            </w:pPr>
            <w:r/>
            <w:r>
              <w:rPr>
                <w:b w:val="0"/>
                <w:i w:val="0"/>
                <w:sz w:val="17"/>
              </w:rPr>
              <w:t>37.1</w:t>
            </w:r>
          </w:p>
        </w:tc>
        <w:tc>
          <w:tcPr>
            <w:tcW w:type="dxa" w:w="1928"/>
            <w:shd w:val="clear" w:color="auto" w:fill="EEF3F8"/>
          </w:tcPr>
          <w:p>
            <w:pPr>
              <w:spacing w:after="20"/>
            </w:pPr>
            <w:r/>
            <w:r>
              <w:rPr>
                <w:b w:val="0"/>
                <w:i w:val="0"/>
                <w:sz w:val="17"/>
              </w:rPr>
              <w:t>Kerosene</w:t>
            </w:r>
          </w:p>
        </w:tc>
        <w:tc>
          <w:tcPr>
            <w:tcW w:type="dxa" w:w="1928"/>
            <w:shd w:val="clear" w:color="auto" w:fill="EEF3F8"/>
          </w:tcPr>
          <w:p>
            <w:pPr>
              <w:spacing w:after="20"/>
            </w:pPr>
            <w:r/>
            <w:r>
              <w:rPr>
                <w:b w:val="0"/>
                <w:i w:val="0"/>
                <w:sz w:val="17"/>
              </w:rPr>
              <w:t>37.1 (EPRA PDP)</w:t>
            </w:r>
          </w:p>
        </w:tc>
        <w:tc>
          <w:tcPr>
            <w:tcW w:type="dxa" w:w="907"/>
            <w:shd w:val="clear" w:color="auto" w:fill="EEF3F8"/>
          </w:tcPr>
          <w:p>
            <w:pPr>
              <w:spacing w:after="20"/>
              <w:jc w:val="right"/>
            </w:pPr>
            <w:r/>
            <w:r>
              <w:rPr>
                <w:b w:val="0"/>
                <w:i w:val="0"/>
                <w:sz w:val="17"/>
              </w:rPr>
              <w:t>0.1%</w:t>
            </w:r>
          </w:p>
        </w:tc>
        <w:tc>
          <w:tcPr>
            <w:tcW w:type="dxa" w:w="1247"/>
            <w:shd w:val="clear" w:color="auto" w:fill="EEF3F8"/>
          </w:tcPr>
          <w:p>
            <w:pPr>
              <w:spacing w:after="20"/>
            </w:pPr>
            <w:r/>
            <w:r>
              <w:rPr>
                <w:b w:val="0"/>
                <w:i w:val="0"/>
                <w:sz w:val="17"/>
              </w:rPr>
              <w:t>Confirmed</w:t>
            </w:r>
          </w:p>
        </w:tc>
      </w:tr>
      <w:tr>
        <w:trPr>
          <w:cantSplit/>
        </w:trPr>
        <w:tc>
          <w:tcPr>
            <w:tcW w:type="dxa" w:w="2154"/>
          </w:tcPr>
          <w:p>
            <w:pPr>
              <w:spacing w:after="20"/>
            </w:pPr>
            <w:r/>
            <w:r>
              <w:rPr>
                <w:b w:val="0"/>
                <w:i w:val="0"/>
                <w:sz w:val="17"/>
              </w:rPr>
              <w:t>Motor Spirit</w:t>
            </w:r>
          </w:p>
        </w:tc>
        <w:tc>
          <w:tcPr>
            <w:tcW w:type="dxa" w:w="1247"/>
          </w:tcPr>
          <w:p>
            <w:pPr>
              <w:spacing w:after="20"/>
              <w:jc w:val="right"/>
            </w:pPr>
            <w:r/>
            <w:r>
              <w:rPr>
                <w:b w:val="0"/>
                <w:i w:val="0"/>
                <w:sz w:val="17"/>
              </w:rPr>
              <w:t>732.3</w:t>
            </w:r>
          </w:p>
        </w:tc>
        <w:tc>
          <w:tcPr>
            <w:tcW w:type="dxa" w:w="1928"/>
          </w:tcPr>
          <w:p>
            <w:pPr>
              <w:spacing w:after="20"/>
            </w:pPr>
            <w:r/>
            <w:r>
              <w:rPr>
                <w:b w:val="0"/>
                <w:i w:val="0"/>
                <w:sz w:val="17"/>
              </w:rPr>
              <w:t>Jet fuel (probable)</w:t>
            </w:r>
          </w:p>
        </w:tc>
        <w:tc>
          <w:tcPr>
            <w:tcW w:type="dxa" w:w="1928"/>
          </w:tcPr>
          <w:p>
            <w:pPr>
              <w:spacing w:after="20"/>
            </w:pPr>
            <w:r/>
            <w:r>
              <w:rPr>
                <w:b w:val="0"/>
                <w:i w:val="0"/>
                <w:sz w:val="17"/>
              </w:rPr>
              <w:t>765.1 (EPRA PDP)</w:t>
            </w:r>
          </w:p>
        </w:tc>
        <w:tc>
          <w:tcPr>
            <w:tcW w:type="dxa" w:w="907"/>
          </w:tcPr>
          <w:p>
            <w:pPr>
              <w:spacing w:after="20"/>
              <w:jc w:val="right"/>
            </w:pPr>
            <w:r/>
            <w:r>
              <w:rPr>
                <w:b w:val="0"/>
                <w:i w:val="0"/>
                <w:sz w:val="17"/>
              </w:rPr>
              <w:t>−4.3%</w:t>
            </w:r>
          </w:p>
        </w:tc>
        <w:tc>
          <w:tcPr>
            <w:tcW w:type="dxa" w:w="1247"/>
          </w:tcPr>
          <w:p>
            <w:pPr>
              <w:spacing w:after="20"/>
            </w:pPr>
            <w:r/>
            <w:r>
              <w:rPr>
                <w:b w:val="0"/>
                <w:i w:val="0"/>
                <w:sz w:val="17"/>
              </w:rPr>
              <w:t>Medium</w:t>
            </w:r>
          </w:p>
        </w:tc>
      </w:tr>
      <w:tr>
        <w:trPr>
          <w:cantSplit/>
        </w:trPr>
        <w:tc>
          <w:tcPr>
            <w:tcW w:type="dxa" w:w="2154"/>
            <w:shd w:val="clear" w:color="auto" w:fill="EEF3F8"/>
          </w:tcPr>
          <w:p>
            <w:pPr>
              <w:spacing w:after="20"/>
            </w:pPr>
            <w:r/>
            <w:r>
              <w:rPr>
                <w:b w:val="0"/>
                <w:i w:val="0"/>
                <w:sz w:val="17"/>
              </w:rPr>
              <w:t>Jet Oil</w:t>
            </w:r>
          </w:p>
        </w:tc>
        <w:tc>
          <w:tcPr>
            <w:tcW w:type="dxa" w:w="1247"/>
            <w:shd w:val="clear" w:color="auto" w:fill="EEF3F8"/>
          </w:tcPr>
          <w:p>
            <w:pPr>
              <w:spacing w:after="20"/>
              <w:jc w:val="right"/>
            </w:pPr>
            <w:r/>
            <w:r>
              <w:rPr>
                <w:b w:val="0"/>
                <w:i w:val="0"/>
                <w:sz w:val="17"/>
              </w:rPr>
              <w:t>250.1</w:t>
            </w:r>
          </w:p>
        </w:tc>
        <w:tc>
          <w:tcPr>
            <w:tcW w:type="dxa" w:w="1928"/>
            <w:shd w:val="clear" w:color="auto" w:fill="EEF3F8"/>
          </w:tcPr>
          <w:p>
            <w:pPr>
              <w:spacing w:after="20"/>
            </w:pPr>
            <w:r/>
            <w:r>
              <w:rPr>
                <w:b w:val="0"/>
                <w:i w:val="0"/>
                <w:sz w:val="17"/>
              </w:rPr>
              <w:t>Fuel oil / other (probable)</w:t>
            </w:r>
          </w:p>
        </w:tc>
        <w:tc>
          <w:tcPr>
            <w:tcW w:type="dxa" w:w="1928"/>
            <w:shd w:val="clear" w:color="auto" w:fill="EEF3F8"/>
          </w:tcPr>
          <w:p>
            <w:pPr>
              <w:spacing w:after="20"/>
            </w:pPr>
            <w:r/>
            <w:r>
              <w:rPr>
                <w:b w:val="0"/>
                <w:i w:val="0"/>
                <w:sz w:val="17"/>
              </w:rPr>
              <w:t>301.9 (EPRA PDP)</w:t>
            </w:r>
          </w:p>
        </w:tc>
        <w:tc>
          <w:tcPr>
            <w:tcW w:type="dxa" w:w="907"/>
            <w:shd w:val="clear" w:color="auto" w:fill="EEF3F8"/>
          </w:tcPr>
          <w:p>
            <w:pPr>
              <w:spacing w:after="20"/>
              <w:jc w:val="right"/>
            </w:pPr>
            <w:r/>
            <w:r>
              <w:rPr>
                <w:b w:val="0"/>
                <w:i w:val="0"/>
                <w:sz w:val="17"/>
              </w:rPr>
              <w:t>−17.2%</w:t>
            </w:r>
          </w:p>
        </w:tc>
        <w:tc>
          <w:tcPr>
            <w:tcW w:type="dxa" w:w="1247"/>
            <w:shd w:val="clear" w:color="auto" w:fill="EEF3F8"/>
          </w:tcPr>
          <w:p>
            <w:pPr>
              <w:spacing w:after="20"/>
            </w:pPr>
            <w:r/>
            <w:r>
              <w:rPr>
                <w:b w:val="0"/>
                <w:i w:val="0"/>
                <w:sz w:val="17"/>
              </w:rPr>
              <w:t>Low–medium</w:t>
            </w:r>
          </w:p>
        </w:tc>
      </w:tr>
      <w:tr>
        <w:trPr>
          <w:cantSplit/>
        </w:trPr>
        <w:tc>
          <w:tcPr>
            <w:tcW w:type="dxa" w:w="2154"/>
          </w:tcPr>
          <w:p>
            <w:pPr>
              <w:spacing w:after="20"/>
            </w:pPr>
            <w:r/>
            <w:r>
              <w:rPr>
                <w:b w:val="0"/>
                <w:i w:val="0"/>
                <w:sz w:val="17"/>
              </w:rPr>
              <w:t>Aviation Gasoline</w:t>
            </w:r>
          </w:p>
        </w:tc>
        <w:tc>
          <w:tcPr>
            <w:tcW w:type="dxa" w:w="1247"/>
          </w:tcPr>
          <w:p>
            <w:pPr>
              <w:spacing w:after="20"/>
              <w:jc w:val="right"/>
            </w:pPr>
            <w:r/>
            <w:r>
              <w:rPr>
                <w:b w:val="0"/>
                <w:i w:val="0"/>
                <w:sz w:val="17"/>
              </w:rPr>
              <w:t>1.1</w:t>
            </w:r>
          </w:p>
        </w:tc>
        <w:tc>
          <w:tcPr>
            <w:tcW w:type="dxa" w:w="1928"/>
          </w:tcPr>
          <w:p>
            <w:pPr>
              <w:spacing w:after="20"/>
            </w:pPr>
            <w:r/>
            <w:r>
              <w:rPr>
                <w:b w:val="0"/>
                <w:i w:val="0"/>
                <w:sz w:val="17"/>
              </w:rPr>
              <w:t>Avgas</w:t>
            </w:r>
          </w:p>
        </w:tc>
        <w:tc>
          <w:tcPr>
            <w:tcW w:type="dxa" w:w="1928"/>
          </w:tcPr>
          <w:p>
            <w:pPr>
              <w:spacing w:after="20"/>
            </w:pPr>
            <w:r/>
            <w:r>
              <w:rPr>
                <w:b w:val="0"/>
                <w:i w:val="0"/>
                <w:sz w:val="17"/>
              </w:rPr>
              <w:t>n/a</w:t>
            </w:r>
          </w:p>
        </w:tc>
        <w:tc>
          <w:tcPr>
            <w:tcW w:type="dxa" w:w="907"/>
          </w:tcPr>
          <w:p>
            <w:pPr>
              <w:spacing w:after="20"/>
            </w:pPr>
            <w:r/>
            <w:r>
              <w:rPr>
                <w:b w:val="0"/>
                <w:i w:val="0"/>
                <w:sz w:val="17"/>
              </w:rPr>
              <w:t>—</w:t>
            </w:r>
          </w:p>
        </w:tc>
        <w:tc>
          <w:tcPr>
            <w:tcW w:type="dxa" w:w="1247"/>
          </w:tcPr>
          <w:p>
            <w:pPr>
              <w:spacing w:after="20"/>
            </w:pPr>
            <w:r/>
            <w:r>
              <w:rPr>
                <w:b w:val="0"/>
                <w:i w:val="0"/>
                <w:sz w:val="17"/>
              </w:rPr>
              <w:t>Plausible</w:t>
            </w:r>
          </w:p>
        </w:tc>
      </w:tr>
    </w:tbl>
    <w:p>
      <w:r>
        <w:rPr>
          <w:i/>
          <w:sz w:val="16"/>
        </w:rPr>
        <w:t>Independent 2025 check: relabelled 2025 diesel = 2,419.1 kt (KNBS: 2,419.1); LPG = 476.0 kt (KNBS 475.9; +14.7%); diesel + petrol = 71.4% of the 5,712 kt total (KNBS: 71.4%). The total (5,712 kt) matches KNBS’s 5.7 Mt.</w:t>
      </w:r>
    </w:p>
    <w:p>
      <w:r>
        <w:rPr>
          <w:b w:val="0"/>
          <w:i w:val="0"/>
        </w:rPr>
        <w:t>Because the labels are wrong, the report uses the relabelled columns and marks the two uncertain ones with an asterisk (Jet fuel*, Fuel oil/other*). Totals are unaffected. The label error probably arose when the source table was parsed; it should be reported to the data provider. The behaviour of the two uncertain columns reinforces the caution: the “jet fuel*” column fell year on year in 11 of 14 comparable months, and “fuel oil/other*” moved by +167% in one month and −16% in another. Neither pattern is conclusive, but both suggest that conclusions about these two products should wait for confirmation.</w:t>
      </w:r>
    </w:p>
    <w:p>
      <w:r>
        <w:rPr>
          <w:b/>
          <w:i w:val="0"/>
        </w:rPr>
        <w:t>Why 2025 growth is 12.0% here but 9.9% in the Economic Survey.</w:t>
      </w:r>
      <w:r>
        <w:rPr>
          <w:b w:val="0"/>
          <w:i w:val="0"/>
        </w:rPr>
        <w:t xml:space="preserve"> The 2025 total matches KNBS (5.71 vs 5.7 Mt), but the 2024 base in this dataset is 5.10 Mt versus about 5.20 Mt implied by KNBS. The difference (~96 kt) sits in the two uncertain columns, which also differ from EPRA’s annual values. Product-level growth for diesel, petrol and LPG is unaffected.</w:t>
      </w:r>
    </w:p>
    <w:p>
      <w:pPr>
        <w:pStyle w:val="Heading2"/>
      </w:pPr>
      <w:r>
        <w:t>3.3 Validation steps applied</w:t>
      </w:r>
    </w:p>
    <w:p>
      <w:pPr>
        <w:pStyle w:val="ListBullet"/>
        <w:spacing w:after="40"/>
      </w:pPr>
      <w:r>
        <w:rPr>
          <w:b w:val="0"/>
          <w:i w:val="0"/>
        </w:rPr>
        <w:t>Structural: row counts (189 = 7 × 27), uniqueness of (month, product), removal of footer attribution lines.</w:t>
      </w:r>
    </w:p>
    <w:p>
      <w:pPr>
        <w:pStyle w:val="ListBullet"/>
        <w:spacing w:after="40"/>
      </w:pPr>
      <w:r>
        <w:rPr>
          <w:b w:val="0"/>
          <w:i w:val="0"/>
        </w:rPr>
        <w:t>Completeness: March 2026 blank for all products; 21 rows flagged provisional.</w:t>
      </w:r>
    </w:p>
    <w:p>
      <w:pPr>
        <w:pStyle w:val="ListBullet"/>
        <w:spacing w:after="40"/>
      </w:pPr>
      <w:r>
        <w:rPr>
          <w:b w:val="0"/>
          <w:i w:val="0"/>
        </w:rPr>
        <w:t>Reasonableness: annual sums per column against EPRA PDP 2024 actuals (full column × product error matrix).</w:t>
      </w:r>
    </w:p>
    <w:p>
      <w:pPr>
        <w:pStyle w:val="ListBullet"/>
        <w:spacing w:after="40"/>
      </w:pPr>
      <w:r>
        <w:rPr>
          <w:b w:val="0"/>
          <w:i w:val="0"/>
        </w:rPr>
        <w:t>Cross-source: relabelled 2025 values against KNBS Economic Survey 2026 (diesel, LPG, share of diesel+petrol, total).</w:t>
      </w:r>
    </w:p>
    <w:p>
      <w:pPr>
        <w:pStyle w:val="ListBullet"/>
        <w:spacing w:after="40"/>
      </w:pPr>
      <w:r>
        <w:rPr>
          <w:b w:val="0"/>
          <w:i w:val="0"/>
        </w:rPr>
        <w:t>Internal consistency: PDP planned supply minus demand equals exactly 30 days of demand; PDP LPG storage logic reproduced before being reused.</w:t>
      </w:r>
    </w:p>
    <w:p>
      <w:pPr>
        <w:pStyle w:val="ListBullet"/>
        <w:spacing w:after="40"/>
      </w:pPr>
      <w:r>
        <w:rPr>
          <w:b w:val="0"/>
          <w:i w:val="0"/>
        </w:rPr>
        <w:t>Out-of-sample: all forecasts evaluated on rolling origins; the PDP’s own 2025 forecast back-tested.</w:t>
      </w:r>
    </w:p>
    <w:p>
      <w:pPr>
        <w:pStyle w:val="Heading2"/>
      </w:pPr>
      <w:r>
        <w:t>3.4 Methods overview</w:t>
      </w:r>
    </w:p>
    <w:p>
      <w:pPr>
        <w:pStyle w:val="ListBullet"/>
        <w:spacing w:after="40"/>
      </w:pPr>
      <w:r>
        <w:rPr>
          <w:b w:val="0"/>
          <w:i w:val="0"/>
        </w:rPr>
        <w:t>Demand analytics: YoY and MoM growth, 3- and 12-month averages, shares, coefficient of variation, calendar-month seasonal indices.</w:t>
      </w:r>
    </w:p>
    <w:p>
      <w:pPr>
        <w:pStyle w:val="ListBullet"/>
        <w:spacing w:after="40"/>
      </w:pPr>
      <w:r>
        <w:rPr>
          <w:b w:val="0"/>
          <w:i w:val="0"/>
        </w:rPr>
        <w:t>Forecast tournament: eight candidate models, rolling-origin evaluation (origins 18–25, horizons 1–6), model chosen per series on sMAPE. Prediction intervals come from the selected model’s own out-of-sample errors.</w:t>
      </w:r>
    </w:p>
    <w:p>
      <w:pPr>
        <w:pStyle w:val="ListBullet"/>
        <w:spacing w:after="40"/>
      </w:pPr>
      <w:r>
        <w:rPr>
          <w:b w:val="0"/>
          <w:i w:val="0"/>
        </w:rPr>
        <w:t>Elasticities: our own regression (reported but rejected) and elasticities implied by EPRA’s published demand equations.</w:t>
      </w:r>
    </w:p>
    <w:p>
      <w:pPr>
        <w:pStyle w:val="ListBullet"/>
        <w:spacing w:after="40"/>
      </w:pPr>
      <w:r>
        <w:rPr>
          <w:b w:val="0"/>
          <w:i w:val="0"/>
        </w:rPr>
        <w:t>Scenarios: growth rates from the PDP’s three scenarios, a 2026 price-shock adjustment using elasticities, a fade factor after 2029; one-at-a-time sensitivity tests.</w:t>
      </w:r>
    </w:p>
    <w:p>
      <w:pPr>
        <w:pStyle w:val="ListBullet"/>
        <w:spacing w:after="40"/>
      </w:pPr>
      <w:r>
        <w:rPr>
          <w:b w:val="0"/>
          <w:i w:val="0"/>
        </w:rPr>
        <w:t>Supply security: days of cover, tank capacity versus requirement, inventory value, LPG storage using the PDP’s own method.</w:t>
      </w:r>
    </w:p>
    <w:p>
      <w:pPr>
        <w:pStyle w:val="ListBullet"/>
        <w:spacing w:after="40"/>
      </w:pPr>
      <w:r>
        <w:rPr>
          <w:b w:val="0"/>
          <w:i w:val="0"/>
        </w:rPr>
        <w:t>Project economics: annual discounted cash-flow model with production-sharing-style fiscal logic, break-evens, sensitivity grid, tornado and Monte Carlo.</w:t>
      </w:r>
    </w:p>
    <w:p>
      <w:pPr>
        <w:pStyle w:val="ListBullet"/>
        <w:spacing w:after="40"/>
      </w:pPr>
      <w:r>
        <w:rPr>
          <w:b w:val="0"/>
          <w:i w:val="0"/>
        </w:rPr>
        <w:t>Risk: transparent scoring with weight-sensitivity tests.</w:t>
      </w:r>
    </w:p>
    <w:p>
      <w:pPr>
        <w:pStyle w:val="Heading1"/>
      </w:pPr>
      <w:r>
        <w:t>4. Historical demand</w:t>
      </w:r>
    </w:p>
    <w:p>
      <w:pPr>
        <w:pStyle w:val="Heading2"/>
      </w:pPr>
      <w:r>
        <w:t>4.1 Overview</w:t>
      </w:r>
    </w:p>
    <w:p>
      <w:pPr>
        <w:jc w:val="center"/>
      </w:pPr>
      <w:r>
        <w:drawing>
          <wp:inline xmlns:a="http://schemas.openxmlformats.org/drawingml/2006/main" xmlns:pic="http://schemas.openxmlformats.org/drawingml/2006/picture">
            <wp:extent cx="5760000" cy="2764800"/>
            <wp:docPr id="1" name="Picture 1"/>
            <wp:cNvGraphicFramePr>
              <a:graphicFrameLocks noChangeAspect="1"/>
            </wp:cNvGraphicFramePr>
            <a:graphic>
              <a:graphicData uri="http://schemas.openxmlformats.org/drawingml/2006/picture">
                <pic:pic>
                  <pic:nvPicPr>
                    <pic:cNvPr id="0" name="f1_monthly_demand.png"/>
                    <pic:cNvPicPr/>
                  </pic:nvPicPr>
                  <pic:blipFill>
                    <a:blip r:embed="rId10"/>
                    <a:stretch>
                      <a:fillRect/>
                    </a:stretch>
                  </pic:blipFill>
                  <pic:spPr>
                    <a:xfrm>
                      <a:off x="0" y="0"/>
                      <a:ext cx="5760000" cy="2764800"/>
                    </a:xfrm>
                    <a:prstGeom prst="rect"/>
                  </pic:spPr>
                </pic:pic>
              </a:graphicData>
            </a:graphic>
          </wp:inline>
        </w:drawing>
      </w:r>
    </w:p>
    <w:p>
      <w:pPr>
        <w:jc w:val="center"/>
      </w:pPr>
      <w:r>
        <w:rPr>
          <w:i/>
          <w:sz w:val="17"/>
        </w:rPr>
        <w:t>Figure 1. Monthly consumption by product, January 2024–February 2026 (thousand tonnes; March 2026 not available).</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814"/>
            <w:shd w:val="clear" w:color="auto" w:fill="1F4E79"/>
          </w:tcPr>
          <w:p>
            <w:pPr>
              <w:spacing w:after="20"/>
            </w:pPr>
            <w:r/>
            <w:r>
              <w:rPr>
                <w:b/>
                <w:color w:val="FFFFFF"/>
                <w:sz w:val="17"/>
              </w:rPr>
              <w:t>Product</w:t>
            </w:r>
          </w:p>
        </w:tc>
        <w:tc>
          <w:tcPr>
            <w:tcW w:type="dxa" w:w="1134"/>
            <w:shd w:val="clear" w:color="auto" w:fill="1F4E79"/>
          </w:tcPr>
          <w:p>
            <w:pPr>
              <w:spacing w:after="20"/>
            </w:pPr>
            <w:r/>
            <w:r>
              <w:rPr>
                <w:b/>
                <w:color w:val="FFFFFF"/>
                <w:sz w:val="17"/>
              </w:rPr>
              <w:t>2024 (kt)</w:t>
            </w:r>
          </w:p>
        </w:tc>
        <w:tc>
          <w:tcPr>
            <w:tcW w:type="dxa" w:w="1134"/>
            <w:shd w:val="clear" w:color="auto" w:fill="1F4E79"/>
          </w:tcPr>
          <w:p>
            <w:pPr>
              <w:spacing w:after="20"/>
            </w:pPr>
            <w:r/>
            <w:r>
              <w:rPr>
                <w:b/>
                <w:color w:val="FFFFFF"/>
                <w:sz w:val="17"/>
              </w:rPr>
              <w:t>2025 (kt)</w:t>
            </w:r>
          </w:p>
        </w:tc>
        <w:tc>
          <w:tcPr>
            <w:tcW w:type="dxa" w:w="1020"/>
            <w:shd w:val="clear" w:color="auto" w:fill="1F4E79"/>
          </w:tcPr>
          <w:p>
            <w:pPr>
              <w:spacing w:after="20"/>
            </w:pPr>
            <w:r/>
            <w:r>
              <w:rPr>
                <w:b/>
                <w:color w:val="FFFFFF"/>
                <w:sz w:val="17"/>
              </w:rPr>
              <w:t>Growth</w:t>
            </w:r>
          </w:p>
        </w:tc>
        <w:tc>
          <w:tcPr>
            <w:tcW w:type="dxa" w:w="1134"/>
            <w:shd w:val="clear" w:color="auto" w:fill="1F4E79"/>
          </w:tcPr>
          <w:p>
            <w:pPr>
              <w:spacing w:after="20"/>
            </w:pPr>
            <w:r/>
            <w:r>
              <w:rPr>
                <w:b/>
                <w:color w:val="FFFFFF"/>
                <w:sz w:val="17"/>
              </w:rPr>
              <w:t>Share 2025</w:t>
            </w:r>
          </w:p>
        </w:tc>
        <w:tc>
          <w:tcPr>
            <w:tcW w:type="dxa" w:w="1587"/>
            <w:shd w:val="clear" w:color="auto" w:fill="1F4E79"/>
          </w:tcPr>
          <w:p>
            <w:pPr>
              <w:spacing w:after="20"/>
            </w:pPr>
            <w:r/>
            <w:r>
              <w:rPr>
                <w:b/>
                <w:color w:val="FFFFFF"/>
                <w:sz w:val="17"/>
              </w:rPr>
              <w:t>Jan–Feb 2026 YoY</w:t>
            </w:r>
          </w:p>
        </w:tc>
        <w:tc>
          <w:tcPr>
            <w:tcW w:type="dxa" w:w="1134"/>
            <w:shd w:val="clear" w:color="auto" w:fill="1F4E79"/>
          </w:tcPr>
          <w:p>
            <w:pPr>
              <w:spacing w:after="20"/>
            </w:pPr>
            <w:r/>
            <w:r>
              <w:rPr>
                <w:b/>
                <w:color w:val="FFFFFF"/>
                <w:sz w:val="17"/>
              </w:rPr>
              <w:t>Monthly CV</w:t>
            </w:r>
          </w:p>
        </w:tc>
      </w:tr>
      <w:tr>
        <w:trPr>
          <w:cantSplit/>
        </w:trPr>
        <w:tc>
          <w:tcPr>
            <w:tcW w:type="dxa" w:w="1814"/>
          </w:tcPr>
          <w:p>
            <w:pPr>
              <w:spacing w:after="20"/>
            </w:pPr>
            <w:r/>
            <w:r>
              <w:rPr>
                <w:b w:val="0"/>
                <w:i w:val="0"/>
                <w:sz w:val="17"/>
              </w:rPr>
              <w:t>Diesel (AGO)</w:t>
            </w:r>
          </w:p>
        </w:tc>
        <w:tc>
          <w:tcPr>
            <w:tcW w:type="dxa" w:w="1134"/>
          </w:tcPr>
          <w:p>
            <w:pPr>
              <w:spacing w:after="20"/>
              <w:jc w:val="right"/>
            </w:pPr>
            <w:r/>
            <w:r>
              <w:rPr>
                <w:b w:val="0"/>
                <w:i w:val="0"/>
                <w:sz w:val="17"/>
              </w:rPr>
              <w:t>2,193.6</w:t>
            </w:r>
          </w:p>
        </w:tc>
        <w:tc>
          <w:tcPr>
            <w:tcW w:type="dxa" w:w="1134"/>
          </w:tcPr>
          <w:p>
            <w:pPr>
              <w:spacing w:after="20"/>
              <w:jc w:val="right"/>
            </w:pPr>
            <w:r/>
            <w:r>
              <w:rPr>
                <w:b w:val="0"/>
                <w:i w:val="0"/>
                <w:sz w:val="17"/>
              </w:rPr>
              <w:t>2,419.1</w:t>
            </w:r>
          </w:p>
        </w:tc>
        <w:tc>
          <w:tcPr>
            <w:tcW w:type="dxa" w:w="1020"/>
          </w:tcPr>
          <w:p>
            <w:pPr>
              <w:spacing w:after="20"/>
              <w:jc w:val="right"/>
            </w:pPr>
            <w:r/>
            <w:r>
              <w:rPr>
                <w:b w:val="0"/>
                <w:i w:val="0"/>
                <w:sz w:val="17"/>
              </w:rPr>
              <w:t>+10.3%</w:t>
            </w:r>
          </w:p>
        </w:tc>
        <w:tc>
          <w:tcPr>
            <w:tcW w:type="dxa" w:w="1134"/>
          </w:tcPr>
          <w:p>
            <w:pPr>
              <w:spacing w:after="20"/>
              <w:jc w:val="right"/>
            </w:pPr>
            <w:r/>
            <w:r>
              <w:rPr>
                <w:b w:val="0"/>
                <w:i w:val="0"/>
                <w:sz w:val="17"/>
              </w:rPr>
              <w:t>42.3%</w:t>
            </w:r>
          </w:p>
        </w:tc>
        <w:tc>
          <w:tcPr>
            <w:tcW w:type="dxa" w:w="1587"/>
          </w:tcPr>
          <w:p>
            <w:pPr>
              <w:spacing w:after="20"/>
              <w:jc w:val="right"/>
            </w:pPr>
            <w:r/>
            <w:r>
              <w:rPr>
                <w:b w:val="0"/>
                <w:i w:val="0"/>
                <w:sz w:val="17"/>
              </w:rPr>
              <w:t>+9.0%</w:t>
            </w:r>
          </w:p>
        </w:tc>
        <w:tc>
          <w:tcPr>
            <w:tcW w:type="dxa" w:w="1134"/>
          </w:tcPr>
          <w:p>
            <w:pPr>
              <w:spacing w:after="20"/>
              <w:jc w:val="right"/>
            </w:pPr>
            <w:r/>
            <w:r>
              <w:rPr>
                <w:b w:val="0"/>
                <w:i w:val="0"/>
                <w:sz w:val="17"/>
              </w:rPr>
              <w:t>7.3%</w:t>
            </w:r>
          </w:p>
        </w:tc>
      </w:tr>
      <w:tr>
        <w:trPr>
          <w:cantSplit/>
        </w:trPr>
        <w:tc>
          <w:tcPr>
            <w:tcW w:type="dxa" w:w="1814"/>
            <w:shd w:val="clear" w:color="auto" w:fill="EEF3F8"/>
          </w:tcPr>
          <w:p>
            <w:pPr>
              <w:spacing w:after="20"/>
            </w:pPr>
            <w:r/>
            <w:r>
              <w:rPr>
                <w:b w:val="0"/>
                <w:i w:val="0"/>
                <w:sz w:val="17"/>
              </w:rPr>
              <w:t>Petrol (PMS)</w:t>
            </w:r>
          </w:p>
        </w:tc>
        <w:tc>
          <w:tcPr>
            <w:tcW w:type="dxa" w:w="1134"/>
            <w:shd w:val="clear" w:color="auto" w:fill="EEF3F8"/>
          </w:tcPr>
          <w:p>
            <w:pPr>
              <w:spacing w:after="20"/>
              <w:jc w:val="right"/>
            </w:pPr>
            <w:r/>
            <w:r>
              <w:rPr>
                <w:b w:val="0"/>
                <w:i w:val="0"/>
                <w:sz w:val="17"/>
              </w:rPr>
              <w:t>1,472.7</w:t>
            </w:r>
          </w:p>
        </w:tc>
        <w:tc>
          <w:tcPr>
            <w:tcW w:type="dxa" w:w="1134"/>
            <w:shd w:val="clear" w:color="auto" w:fill="EEF3F8"/>
          </w:tcPr>
          <w:p>
            <w:pPr>
              <w:spacing w:after="20"/>
              <w:jc w:val="right"/>
            </w:pPr>
            <w:r/>
            <w:r>
              <w:rPr>
                <w:b w:val="0"/>
                <w:i w:val="0"/>
                <w:sz w:val="17"/>
              </w:rPr>
              <w:t>1,657.5</w:t>
            </w:r>
          </w:p>
        </w:tc>
        <w:tc>
          <w:tcPr>
            <w:tcW w:type="dxa" w:w="1020"/>
            <w:shd w:val="clear" w:color="auto" w:fill="EEF3F8"/>
          </w:tcPr>
          <w:p>
            <w:pPr>
              <w:spacing w:after="20"/>
              <w:jc w:val="right"/>
            </w:pPr>
            <w:r/>
            <w:r>
              <w:rPr>
                <w:b w:val="0"/>
                <w:i w:val="0"/>
                <w:sz w:val="17"/>
              </w:rPr>
              <w:t>+12.5%</w:t>
            </w:r>
          </w:p>
        </w:tc>
        <w:tc>
          <w:tcPr>
            <w:tcW w:type="dxa" w:w="1134"/>
            <w:shd w:val="clear" w:color="auto" w:fill="EEF3F8"/>
          </w:tcPr>
          <w:p>
            <w:pPr>
              <w:spacing w:after="20"/>
              <w:jc w:val="right"/>
            </w:pPr>
            <w:r/>
            <w:r>
              <w:rPr>
                <w:b w:val="0"/>
                <w:i w:val="0"/>
                <w:sz w:val="17"/>
              </w:rPr>
              <w:t>29.0%</w:t>
            </w:r>
          </w:p>
        </w:tc>
        <w:tc>
          <w:tcPr>
            <w:tcW w:type="dxa" w:w="1587"/>
            <w:shd w:val="clear" w:color="auto" w:fill="EEF3F8"/>
          </w:tcPr>
          <w:p>
            <w:pPr>
              <w:spacing w:after="20"/>
              <w:jc w:val="right"/>
            </w:pPr>
            <w:r/>
            <w:r>
              <w:rPr>
                <w:b w:val="0"/>
                <w:i w:val="0"/>
                <w:sz w:val="17"/>
              </w:rPr>
              <w:t>+12.4%</w:t>
            </w:r>
          </w:p>
        </w:tc>
        <w:tc>
          <w:tcPr>
            <w:tcW w:type="dxa" w:w="1134"/>
            <w:shd w:val="clear" w:color="auto" w:fill="EEF3F8"/>
          </w:tcPr>
          <w:p>
            <w:pPr>
              <w:spacing w:after="20"/>
              <w:jc w:val="right"/>
            </w:pPr>
            <w:r/>
            <w:r>
              <w:rPr>
                <w:b w:val="0"/>
                <w:i w:val="0"/>
                <w:sz w:val="17"/>
              </w:rPr>
              <w:t>9.2%</w:t>
            </w:r>
          </w:p>
        </w:tc>
      </w:tr>
      <w:tr>
        <w:trPr>
          <w:cantSplit/>
        </w:trPr>
        <w:tc>
          <w:tcPr>
            <w:tcW w:type="dxa" w:w="1814"/>
          </w:tcPr>
          <w:p>
            <w:pPr>
              <w:spacing w:after="20"/>
            </w:pPr>
            <w:r/>
            <w:r>
              <w:rPr>
                <w:b w:val="0"/>
                <w:i w:val="0"/>
                <w:sz w:val="17"/>
              </w:rPr>
              <w:t>LPG</w:t>
            </w:r>
          </w:p>
        </w:tc>
        <w:tc>
          <w:tcPr>
            <w:tcW w:type="dxa" w:w="1134"/>
          </w:tcPr>
          <w:p>
            <w:pPr>
              <w:spacing w:after="20"/>
              <w:jc w:val="right"/>
            </w:pPr>
            <w:r/>
            <w:r>
              <w:rPr>
                <w:b w:val="0"/>
                <w:i w:val="0"/>
                <w:sz w:val="17"/>
              </w:rPr>
              <w:t>414.9</w:t>
            </w:r>
          </w:p>
        </w:tc>
        <w:tc>
          <w:tcPr>
            <w:tcW w:type="dxa" w:w="1134"/>
          </w:tcPr>
          <w:p>
            <w:pPr>
              <w:spacing w:after="20"/>
              <w:jc w:val="right"/>
            </w:pPr>
            <w:r/>
            <w:r>
              <w:rPr>
                <w:b w:val="0"/>
                <w:i w:val="0"/>
                <w:sz w:val="17"/>
              </w:rPr>
              <w:t>476.0</w:t>
            </w:r>
          </w:p>
        </w:tc>
        <w:tc>
          <w:tcPr>
            <w:tcW w:type="dxa" w:w="1020"/>
          </w:tcPr>
          <w:p>
            <w:pPr>
              <w:spacing w:after="20"/>
              <w:jc w:val="right"/>
            </w:pPr>
            <w:r/>
            <w:r>
              <w:rPr>
                <w:b w:val="0"/>
                <w:i w:val="0"/>
                <w:sz w:val="17"/>
              </w:rPr>
              <w:t>+14.7%</w:t>
            </w:r>
          </w:p>
        </w:tc>
        <w:tc>
          <w:tcPr>
            <w:tcW w:type="dxa" w:w="1134"/>
          </w:tcPr>
          <w:p>
            <w:pPr>
              <w:spacing w:after="20"/>
              <w:jc w:val="right"/>
            </w:pPr>
            <w:r/>
            <w:r>
              <w:rPr>
                <w:b w:val="0"/>
                <w:i w:val="0"/>
                <w:sz w:val="17"/>
              </w:rPr>
              <w:t>8.3%</w:t>
            </w:r>
          </w:p>
        </w:tc>
        <w:tc>
          <w:tcPr>
            <w:tcW w:type="dxa" w:w="1587"/>
          </w:tcPr>
          <w:p>
            <w:pPr>
              <w:spacing w:after="20"/>
              <w:jc w:val="right"/>
            </w:pPr>
            <w:r/>
            <w:r>
              <w:rPr>
                <w:b w:val="0"/>
                <w:i w:val="0"/>
                <w:sz w:val="17"/>
              </w:rPr>
              <w:t>+11.0%</w:t>
            </w:r>
          </w:p>
        </w:tc>
        <w:tc>
          <w:tcPr>
            <w:tcW w:type="dxa" w:w="1134"/>
          </w:tcPr>
          <w:p>
            <w:pPr>
              <w:spacing w:after="20"/>
              <w:jc w:val="right"/>
            </w:pPr>
            <w:r/>
            <w:r>
              <w:rPr>
                <w:b w:val="0"/>
                <w:i w:val="0"/>
                <w:sz w:val="17"/>
              </w:rPr>
              <w:t>10.7%</w:t>
            </w:r>
          </w:p>
        </w:tc>
      </w:tr>
      <w:tr>
        <w:trPr>
          <w:cantSplit/>
        </w:trPr>
        <w:tc>
          <w:tcPr>
            <w:tcW w:type="dxa" w:w="1814"/>
            <w:shd w:val="clear" w:color="auto" w:fill="EEF3F8"/>
          </w:tcPr>
          <w:p>
            <w:pPr>
              <w:spacing w:after="20"/>
            </w:pPr>
            <w:r/>
            <w:r>
              <w:rPr>
                <w:b w:val="0"/>
                <w:i w:val="0"/>
                <w:sz w:val="17"/>
              </w:rPr>
              <w:t>Jet fuel*</w:t>
            </w:r>
          </w:p>
        </w:tc>
        <w:tc>
          <w:tcPr>
            <w:tcW w:type="dxa" w:w="1134"/>
            <w:shd w:val="clear" w:color="auto" w:fill="EEF3F8"/>
          </w:tcPr>
          <w:p>
            <w:pPr>
              <w:spacing w:after="20"/>
              <w:jc w:val="right"/>
            </w:pPr>
            <w:r/>
            <w:r>
              <w:rPr>
                <w:b w:val="0"/>
                <w:i w:val="0"/>
                <w:sz w:val="17"/>
              </w:rPr>
              <w:t>732.3</w:t>
            </w:r>
          </w:p>
        </w:tc>
        <w:tc>
          <w:tcPr>
            <w:tcW w:type="dxa" w:w="1134"/>
            <w:shd w:val="clear" w:color="auto" w:fill="EEF3F8"/>
          </w:tcPr>
          <w:p>
            <w:pPr>
              <w:spacing w:after="20"/>
              <w:jc w:val="right"/>
            </w:pPr>
            <w:r/>
            <w:r>
              <w:rPr>
                <w:b w:val="0"/>
                <w:i w:val="0"/>
                <w:sz w:val="17"/>
              </w:rPr>
              <w:t>701.3</w:t>
            </w:r>
          </w:p>
        </w:tc>
        <w:tc>
          <w:tcPr>
            <w:tcW w:type="dxa" w:w="1020"/>
            <w:shd w:val="clear" w:color="auto" w:fill="EEF3F8"/>
          </w:tcPr>
          <w:p>
            <w:pPr>
              <w:spacing w:after="20"/>
              <w:jc w:val="right"/>
            </w:pPr>
            <w:r/>
            <w:r>
              <w:rPr>
                <w:b w:val="0"/>
                <w:i w:val="0"/>
                <w:sz w:val="17"/>
              </w:rPr>
              <w:t>−4.2%</w:t>
            </w:r>
          </w:p>
        </w:tc>
        <w:tc>
          <w:tcPr>
            <w:tcW w:type="dxa" w:w="1134"/>
            <w:shd w:val="clear" w:color="auto" w:fill="EEF3F8"/>
          </w:tcPr>
          <w:p>
            <w:pPr>
              <w:spacing w:after="20"/>
              <w:jc w:val="right"/>
            </w:pPr>
            <w:r/>
            <w:r>
              <w:rPr>
                <w:b w:val="0"/>
                <w:i w:val="0"/>
                <w:sz w:val="17"/>
              </w:rPr>
              <w:t>12.3%</w:t>
            </w:r>
          </w:p>
        </w:tc>
        <w:tc>
          <w:tcPr>
            <w:tcW w:type="dxa" w:w="1587"/>
            <w:shd w:val="clear" w:color="auto" w:fill="EEF3F8"/>
          </w:tcPr>
          <w:p>
            <w:pPr>
              <w:spacing w:after="20"/>
              <w:jc w:val="right"/>
            </w:pPr>
            <w:r/>
            <w:r>
              <w:rPr>
                <w:b w:val="0"/>
                <w:i w:val="0"/>
                <w:sz w:val="17"/>
              </w:rPr>
              <w:t>−10.0%</w:t>
            </w:r>
          </w:p>
        </w:tc>
        <w:tc>
          <w:tcPr>
            <w:tcW w:type="dxa" w:w="1134"/>
            <w:shd w:val="clear" w:color="auto" w:fill="EEF3F8"/>
          </w:tcPr>
          <w:p>
            <w:pPr>
              <w:spacing w:after="20"/>
              <w:jc w:val="right"/>
            </w:pPr>
            <w:r/>
            <w:r>
              <w:rPr>
                <w:b w:val="0"/>
                <w:i w:val="0"/>
                <w:sz w:val="17"/>
              </w:rPr>
              <w:t>5.6%</w:t>
            </w:r>
          </w:p>
        </w:tc>
      </w:tr>
      <w:tr>
        <w:trPr>
          <w:cantSplit/>
        </w:trPr>
        <w:tc>
          <w:tcPr>
            <w:tcW w:type="dxa" w:w="1814"/>
          </w:tcPr>
          <w:p>
            <w:pPr>
              <w:spacing w:after="20"/>
            </w:pPr>
            <w:r/>
            <w:r>
              <w:rPr>
                <w:b w:val="0"/>
                <w:i w:val="0"/>
                <w:sz w:val="17"/>
              </w:rPr>
              <w:t>Fuel oil/other*</w:t>
            </w:r>
          </w:p>
        </w:tc>
        <w:tc>
          <w:tcPr>
            <w:tcW w:type="dxa" w:w="1134"/>
          </w:tcPr>
          <w:p>
            <w:pPr>
              <w:spacing w:after="20"/>
              <w:jc w:val="right"/>
            </w:pPr>
            <w:r/>
            <w:r>
              <w:rPr>
                <w:b w:val="0"/>
                <w:i w:val="0"/>
                <w:sz w:val="17"/>
              </w:rPr>
              <w:t>250.1</w:t>
            </w:r>
          </w:p>
        </w:tc>
        <w:tc>
          <w:tcPr>
            <w:tcW w:type="dxa" w:w="1134"/>
          </w:tcPr>
          <w:p>
            <w:pPr>
              <w:spacing w:after="20"/>
              <w:jc w:val="right"/>
            </w:pPr>
            <w:r/>
            <w:r>
              <w:rPr>
                <w:b w:val="0"/>
                <w:i w:val="0"/>
                <w:sz w:val="17"/>
              </w:rPr>
              <w:t>413.3</w:t>
            </w:r>
          </w:p>
        </w:tc>
        <w:tc>
          <w:tcPr>
            <w:tcW w:type="dxa" w:w="1020"/>
          </w:tcPr>
          <w:p>
            <w:pPr>
              <w:spacing w:after="20"/>
              <w:jc w:val="right"/>
            </w:pPr>
            <w:r/>
            <w:r>
              <w:rPr>
                <w:b w:val="0"/>
                <w:i w:val="0"/>
                <w:sz w:val="17"/>
              </w:rPr>
              <w:t>+65.2%</w:t>
            </w:r>
          </w:p>
        </w:tc>
        <w:tc>
          <w:tcPr>
            <w:tcW w:type="dxa" w:w="1134"/>
          </w:tcPr>
          <w:p>
            <w:pPr>
              <w:spacing w:after="20"/>
              <w:jc w:val="right"/>
            </w:pPr>
            <w:r/>
            <w:r>
              <w:rPr>
                <w:b w:val="0"/>
                <w:i w:val="0"/>
                <w:sz w:val="17"/>
              </w:rPr>
              <w:t>7.2%</w:t>
            </w:r>
          </w:p>
        </w:tc>
        <w:tc>
          <w:tcPr>
            <w:tcW w:type="dxa" w:w="1587"/>
          </w:tcPr>
          <w:p>
            <w:pPr>
              <w:spacing w:after="20"/>
              <w:jc w:val="right"/>
            </w:pPr>
            <w:r/>
            <w:r>
              <w:rPr>
                <w:b w:val="0"/>
                <w:i w:val="0"/>
                <w:sz w:val="17"/>
              </w:rPr>
              <w:t>+0.2%</w:t>
            </w:r>
          </w:p>
        </w:tc>
        <w:tc>
          <w:tcPr>
            <w:tcW w:type="dxa" w:w="1134"/>
          </w:tcPr>
          <w:p>
            <w:pPr>
              <w:spacing w:after="20"/>
              <w:jc w:val="right"/>
            </w:pPr>
            <w:r/>
            <w:r>
              <w:rPr>
                <w:b w:val="0"/>
                <w:i w:val="0"/>
                <w:sz w:val="17"/>
              </w:rPr>
              <w:t>31.9%</w:t>
            </w:r>
          </w:p>
        </w:tc>
      </w:tr>
      <w:tr>
        <w:trPr>
          <w:cantSplit/>
        </w:trPr>
        <w:tc>
          <w:tcPr>
            <w:tcW w:type="dxa" w:w="1814"/>
            <w:shd w:val="clear" w:color="auto" w:fill="EEF3F8"/>
          </w:tcPr>
          <w:p>
            <w:pPr>
              <w:spacing w:after="20"/>
            </w:pPr>
            <w:r/>
            <w:r>
              <w:rPr>
                <w:b w:val="0"/>
                <w:i w:val="0"/>
                <w:sz w:val="17"/>
              </w:rPr>
              <w:t>Kerosene (IK)</w:t>
            </w:r>
          </w:p>
        </w:tc>
        <w:tc>
          <w:tcPr>
            <w:tcW w:type="dxa" w:w="1134"/>
            <w:shd w:val="clear" w:color="auto" w:fill="EEF3F8"/>
          </w:tcPr>
          <w:p>
            <w:pPr>
              <w:spacing w:after="20"/>
              <w:jc w:val="right"/>
            </w:pPr>
            <w:r/>
            <w:r>
              <w:rPr>
                <w:b w:val="0"/>
                <w:i w:val="0"/>
                <w:sz w:val="17"/>
              </w:rPr>
              <w:t>37.1</w:t>
            </w:r>
          </w:p>
        </w:tc>
        <w:tc>
          <w:tcPr>
            <w:tcW w:type="dxa" w:w="1134"/>
            <w:shd w:val="clear" w:color="auto" w:fill="EEF3F8"/>
          </w:tcPr>
          <w:p>
            <w:pPr>
              <w:spacing w:after="20"/>
              <w:jc w:val="right"/>
            </w:pPr>
            <w:r/>
            <w:r>
              <w:rPr>
                <w:b w:val="0"/>
                <w:i w:val="0"/>
                <w:sz w:val="17"/>
              </w:rPr>
              <w:t>44.1</w:t>
            </w:r>
          </w:p>
        </w:tc>
        <w:tc>
          <w:tcPr>
            <w:tcW w:type="dxa" w:w="1020"/>
            <w:shd w:val="clear" w:color="auto" w:fill="EEF3F8"/>
          </w:tcPr>
          <w:p>
            <w:pPr>
              <w:spacing w:after="20"/>
              <w:jc w:val="right"/>
            </w:pPr>
            <w:r/>
            <w:r>
              <w:rPr>
                <w:b w:val="0"/>
                <w:i w:val="0"/>
                <w:sz w:val="17"/>
              </w:rPr>
              <w:t>+18.9%</w:t>
            </w:r>
          </w:p>
        </w:tc>
        <w:tc>
          <w:tcPr>
            <w:tcW w:type="dxa" w:w="1134"/>
            <w:shd w:val="clear" w:color="auto" w:fill="EEF3F8"/>
          </w:tcPr>
          <w:p>
            <w:pPr>
              <w:spacing w:after="20"/>
              <w:jc w:val="right"/>
            </w:pPr>
            <w:r/>
            <w:r>
              <w:rPr>
                <w:b w:val="0"/>
                <w:i w:val="0"/>
                <w:sz w:val="17"/>
              </w:rPr>
              <w:t>0.8%</w:t>
            </w:r>
          </w:p>
        </w:tc>
        <w:tc>
          <w:tcPr>
            <w:tcW w:type="dxa" w:w="1587"/>
            <w:shd w:val="clear" w:color="auto" w:fill="EEF3F8"/>
          </w:tcPr>
          <w:p>
            <w:pPr>
              <w:spacing w:after="20"/>
              <w:jc w:val="right"/>
            </w:pPr>
            <w:r/>
            <w:r>
              <w:rPr>
                <w:b w:val="0"/>
                <w:i w:val="0"/>
                <w:sz w:val="17"/>
              </w:rPr>
              <w:t>+21.6%</w:t>
            </w:r>
          </w:p>
        </w:tc>
        <w:tc>
          <w:tcPr>
            <w:tcW w:type="dxa" w:w="1134"/>
            <w:shd w:val="clear" w:color="auto" w:fill="EEF3F8"/>
          </w:tcPr>
          <w:p>
            <w:pPr>
              <w:spacing w:after="20"/>
              <w:jc w:val="right"/>
            </w:pPr>
            <w:r/>
            <w:r>
              <w:rPr>
                <w:b w:val="0"/>
                <w:i w:val="0"/>
                <w:sz w:val="17"/>
              </w:rPr>
              <w:t>12.3%</w:t>
            </w:r>
          </w:p>
        </w:tc>
      </w:tr>
      <w:tr>
        <w:trPr>
          <w:cantSplit/>
        </w:trPr>
        <w:tc>
          <w:tcPr>
            <w:tcW w:type="dxa" w:w="1814"/>
          </w:tcPr>
          <w:p>
            <w:pPr>
              <w:spacing w:after="20"/>
            </w:pPr>
            <w:r/>
            <w:r>
              <w:rPr>
                <w:b/>
                <w:i w:val="0"/>
                <w:sz w:val="17"/>
              </w:rPr>
              <w:t>Total</w:t>
            </w:r>
          </w:p>
        </w:tc>
        <w:tc>
          <w:tcPr>
            <w:tcW w:type="dxa" w:w="1134"/>
          </w:tcPr>
          <w:p>
            <w:pPr>
              <w:spacing w:after="20"/>
              <w:jc w:val="right"/>
            </w:pPr>
            <w:r/>
            <w:r>
              <w:rPr>
                <w:b w:val="0"/>
                <w:i w:val="0"/>
                <w:sz w:val="17"/>
              </w:rPr>
              <w:t>5,101.8</w:t>
            </w:r>
          </w:p>
        </w:tc>
        <w:tc>
          <w:tcPr>
            <w:tcW w:type="dxa" w:w="1134"/>
          </w:tcPr>
          <w:p>
            <w:pPr>
              <w:spacing w:after="20"/>
              <w:jc w:val="right"/>
            </w:pPr>
            <w:r/>
            <w:r>
              <w:rPr>
                <w:b w:val="0"/>
                <w:i w:val="0"/>
                <w:sz w:val="17"/>
              </w:rPr>
              <w:t>5,712.5</w:t>
            </w:r>
          </w:p>
        </w:tc>
        <w:tc>
          <w:tcPr>
            <w:tcW w:type="dxa" w:w="1020"/>
          </w:tcPr>
          <w:p>
            <w:pPr>
              <w:spacing w:after="20"/>
              <w:jc w:val="right"/>
            </w:pPr>
            <w:r/>
            <w:r>
              <w:rPr>
                <w:b w:val="0"/>
                <w:i w:val="0"/>
                <w:sz w:val="17"/>
              </w:rPr>
              <w:t>+12.0%</w:t>
            </w:r>
          </w:p>
        </w:tc>
        <w:tc>
          <w:tcPr>
            <w:tcW w:type="dxa" w:w="1134"/>
          </w:tcPr>
          <w:p>
            <w:pPr>
              <w:spacing w:after="20"/>
              <w:jc w:val="right"/>
            </w:pPr>
            <w:r/>
            <w:r>
              <w:rPr>
                <w:b w:val="0"/>
                <w:i w:val="0"/>
                <w:sz w:val="17"/>
              </w:rPr>
              <w:t>100%</w:t>
            </w:r>
          </w:p>
        </w:tc>
        <w:tc>
          <w:tcPr>
            <w:tcW w:type="dxa" w:w="1587"/>
          </w:tcPr>
          <w:p>
            <w:pPr>
              <w:spacing w:after="20"/>
              <w:jc w:val="right"/>
            </w:pPr>
            <w:r/>
            <w:r>
              <w:rPr>
                <w:b w:val="0"/>
                <w:i w:val="0"/>
                <w:sz w:val="17"/>
              </w:rPr>
              <w:t>+7.1%</w:t>
            </w:r>
          </w:p>
        </w:tc>
        <w:tc>
          <w:tcPr>
            <w:tcW w:type="dxa" w:w="1134"/>
          </w:tcPr>
          <w:p>
            <w:pPr>
              <w:spacing w:after="20"/>
              <w:jc w:val="right"/>
            </w:pPr>
            <w:r/>
            <w:r>
              <w:rPr>
                <w:b w:val="0"/>
                <w:i w:val="0"/>
                <w:sz w:val="17"/>
              </w:rPr>
              <w:t>7.8%</w:t>
            </w:r>
          </w:p>
        </w:tc>
      </w:tr>
    </w:tbl>
    <w:p>
      <w:pPr>
        <w:spacing w:after="40"/>
      </w:pPr>
    </w:p>
    <w:p>
      <w:r>
        <w:rPr>
          <w:b/>
          <w:i w:val="0"/>
        </w:rPr>
        <w:t>Interpretation.</w:t>
      </w:r>
      <w:r>
        <w:rPr>
          <w:b w:val="0"/>
          <w:i w:val="0"/>
        </w:rPr>
        <w:t xml:space="preserve"> Demand is dominated by transport fuels. Diesel (42%) and petrol (29%) move with road transport and freight; LPG (8%) is climbing quickly with the clean-cooking programme. The fastest percentage movers are small or uncertain categories: fuel oil/other* (volatile, CV 32%) and kerosene (&lt;1% of volume).</w:t>
      </w:r>
    </w:p>
    <w:p>
      <w:pPr>
        <w:jc w:val="center"/>
      </w:pPr>
      <w:r>
        <w:drawing>
          <wp:inline xmlns:a="http://schemas.openxmlformats.org/drawingml/2006/main" xmlns:pic="http://schemas.openxmlformats.org/drawingml/2006/picture">
            <wp:extent cx="5760000" cy="2611200"/>
            <wp:docPr id="2" name="Picture 2"/>
            <wp:cNvGraphicFramePr>
              <a:graphicFrameLocks noChangeAspect="1"/>
            </wp:cNvGraphicFramePr>
            <a:graphic>
              <a:graphicData uri="http://schemas.openxmlformats.org/drawingml/2006/picture">
                <pic:pic>
                  <pic:nvPicPr>
                    <pic:cNvPr id="0" name="f2_annual.png"/>
                    <pic:cNvPicPr/>
                  </pic:nvPicPr>
                  <pic:blipFill>
                    <a:blip r:embed="rId11"/>
                    <a:stretch>
                      <a:fillRect/>
                    </a:stretch>
                  </pic:blipFill>
                  <pic:spPr>
                    <a:xfrm>
                      <a:off x="0" y="0"/>
                      <a:ext cx="5760000" cy="2611200"/>
                    </a:xfrm>
                    <a:prstGeom prst="rect"/>
                  </pic:spPr>
                </pic:pic>
              </a:graphicData>
            </a:graphic>
          </wp:inline>
        </w:drawing>
      </w:r>
    </w:p>
    <w:p>
      <w:pPr>
        <w:jc w:val="center"/>
      </w:pPr>
      <w:r>
        <w:rPr>
          <w:i/>
          <w:sz w:val="17"/>
        </w:rPr>
        <w:t>Figure 2. Annual consumption and 2025 growth by product.</w:t>
      </w:r>
    </w:p>
    <w:p>
      <w:pPr>
        <w:jc w:val="center"/>
      </w:pPr>
      <w:r>
        <w:drawing>
          <wp:inline xmlns:a="http://schemas.openxmlformats.org/drawingml/2006/main" xmlns:pic="http://schemas.openxmlformats.org/drawingml/2006/picture">
            <wp:extent cx="5760000" cy="2457600"/>
            <wp:docPr id="3" name="Picture 3"/>
            <wp:cNvGraphicFramePr>
              <a:graphicFrameLocks noChangeAspect="1"/>
            </wp:cNvGraphicFramePr>
            <a:graphic>
              <a:graphicData uri="http://schemas.openxmlformats.org/drawingml/2006/picture">
                <pic:pic>
                  <pic:nvPicPr>
                    <pic:cNvPr id="0" name="f3_yoy.png"/>
                    <pic:cNvPicPr/>
                  </pic:nvPicPr>
                  <pic:blipFill>
                    <a:blip r:embed="rId12"/>
                    <a:stretch>
                      <a:fillRect/>
                    </a:stretch>
                  </pic:blipFill>
                  <pic:spPr>
                    <a:xfrm>
                      <a:off x="0" y="0"/>
                      <a:ext cx="5760000" cy="2457600"/>
                    </a:xfrm>
                    <a:prstGeom prst="rect"/>
                  </pic:spPr>
                </pic:pic>
              </a:graphicData>
            </a:graphic>
          </wp:inline>
        </w:drawing>
      </w:r>
    </w:p>
    <w:p>
      <w:pPr>
        <w:jc w:val="center"/>
      </w:pPr>
      <w:r>
        <w:rPr>
          <w:i/>
          <w:sz w:val="17"/>
        </w:rPr>
        <w:t>Figure 3. Year-on-year growth by month, 2025–Feb 2026.</w:t>
      </w:r>
    </w:p>
    <w:p>
      <w:r>
        <w:rPr>
          <w:b w:val="0"/>
          <w:i w:val="0"/>
        </w:rPr>
        <w:t>Growth was broad-based and sustained through 2025: total demand grew between 6.1% and 16.7% year on year in every month from January 2025 to February 2026, peaking in April 2025 (+16.7%) and June 2025 (+16.1%). The two largest products grew in every one of those 14 months (diesel +1.4% to +18.9%; petrol +5.3% to +23.9%).</w:t>
      </w:r>
    </w:p>
    <w:p>
      <w:pPr>
        <w:pStyle w:val="Heading2"/>
      </w:pPr>
      <w:r>
        <w:t>4.2 Product profiles</w:t>
      </w:r>
    </w:p>
    <w:p>
      <w:r>
        <w:rPr>
          <w:b/>
          <w:i w:val="0"/>
        </w:rPr>
        <w:t>Diesel (AGO).</w:t>
      </w:r>
      <w:r>
        <w:rPr>
          <w:b w:val="0"/>
          <w:i w:val="0"/>
        </w:rPr>
        <w:t xml:space="preserve"> Diesel is the backbone of freight, public transport, agriculture and standby power. Monthly volumes ranged from 165.8 kt (June 2024) to 219.7 kt (October 2025). Year-on-year growth was positive in every comparable month. Its low volatility (CV 7.3%) and high share make it the most important single series for planning. The log-linear trend implies about 9% annual growth over the sample, close to the 10.3% annual-sum growth.</w:t>
      </w:r>
    </w:p>
    <w:p>
      <w:r>
        <w:rPr>
          <w:b/>
          <w:i w:val="0"/>
        </w:rPr>
        <w:t>Petrol (PMS).</w:t>
      </w:r>
      <w:r>
        <w:rPr>
          <w:b w:val="0"/>
          <w:i w:val="0"/>
        </w:rPr>
        <w:t xml:space="preserve"> Petrol demand peaked in December 2025 at 155.3 kt (December index 1.15) and troughed at 106.8 kt in June 2024. It grew faster than diesel (+12.5%), consistent with rising motorisation. It is also the most seasonal of the large products: June is 10% below the annual mean, December 15% above.</w:t>
      </w:r>
    </w:p>
    <w:p>
      <w:r>
        <w:rPr>
          <w:b/>
          <w:i w:val="0"/>
        </w:rPr>
        <w:t>LPG.</w:t>
      </w:r>
      <w:r>
        <w:rPr>
          <w:b w:val="0"/>
          <w:i w:val="0"/>
        </w:rPr>
        <w:t xml:space="preserve"> LPG reached a record 43.7 kt in January 2026. Annual growth of 14.7% is the highest of the large products and matches the PDP’s expectation that LPG would be the fastest-growing fuel (7.3% a year baseline). Only one month of the 14 comparable (March 2025, −1.7%) showed a decline. LPG stays priced at about KSh 3,140 per 13 kg cylinder.</w:t>
      </w:r>
    </w:p>
    <w:p>
      <w:r>
        <w:rPr>
          <w:b/>
          <w:i w:val="0"/>
        </w:rPr>
        <w:t>Jet fuel*.</w:t>
      </w:r>
      <w:r>
        <w:rPr>
          <w:b w:val="0"/>
          <w:i w:val="0"/>
        </w:rPr>
        <w:t xml:space="preserve"> Identified by magnitude only. Volumes were stable (54–67 kt a month) and fell year on year in 11 of 14 comparable months (−12.5% to +10.5%). A decline would be surprising for a growing aviation sector, which is one reason to treat the identification as unconfirmed.</w:t>
      </w:r>
    </w:p>
    <w:p>
      <w:r>
        <w:rPr>
          <w:b/>
          <w:i w:val="0"/>
        </w:rPr>
        <w:t>Fuel oil/other*.</w:t>
      </w:r>
      <w:r>
        <w:rPr>
          <w:b w:val="0"/>
          <w:i w:val="0"/>
        </w:rPr>
        <w:t xml:space="preserve"> The most volatile series (CV 32%): from 13.1 kt (June 2024) to 41.8 kt (November 2025). Fuel oil use in thermal power generation is hydrology-dependent and could explain such swings, but this has not been verified. The PDP expects fuel oil to rise to 2027 and then decline.</w:t>
      </w:r>
    </w:p>
    <w:p>
      <w:r>
        <w:rPr>
          <w:b/>
          <w:i w:val="0"/>
        </w:rPr>
        <w:t>Kerosene (IK).</w:t>
      </w:r>
      <w:r>
        <w:rPr>
          <w:b w:val="0"/>
          <w:i w:val="0"/>
        </w:rPr>
        <w:t xml:space="preserve"> Kerosene is under 1% of demand (3.5 kt a month on average) and was expected by the PDP to decline 4.6% a year. In 2025, volume rose 18.9% (37.1 → 44.1 kt), which is not consistent with a steady decline; the series is small and noisy (best month YoY +57.8%, worst −11.8%).</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701"/>
            <w:shd w:val="clear" w:color="auto" w:fill="1F4E79"/>
          </w:tcPr>
          <w:p>
            <w:pPr>
              <w:spacing w:after="20"/>
            </w:pPr>
            <w:r/>
            <w:r>
              <w:rPr>
                <w:b/>
                <w:color w:val="FFFFFF"/>
                <w:sz w:val="17"/>
              </w:rPr>
              <w:t>Product</w:t>
            </w:r>
          </w:p>
        </w:tc>
        <w:tc>
          <w:tcPr>
            <w:tcW w:type="dxa" w:w="1247"/>
            <w:shd w:val="clear" w:color="auto" w:fill="1F4E79"/>
          </w:tcPr>
          <w:p>
            <w:pPr>
              <w:spacing w:after="20"/>
            </w:pPr>
            <w:r/>
            <w:r>
              <w:rPr>
                <w:b/>
                <w:color w:val="FFFFFF"/>
                <w:sz w:val="17"/>
              </w:rPr>
              <w:t>Mean (kt/month)</w:t>
            </w:r>
          </w:p>
        </w:tc>
        <w:tc>
          <w:tcPr>
            <w:tcW w:type="dxa" w:w="1701"/>
            <w:shd w:val="clear" w:color="auto" w:fill="1F4E79"/>
          </w:tcPr>
          <w:p>
            <w:pPr>
              <w:spacing w:after="20"/>
            </w:pPr>
            <w:r/>
            <w:r>
              <w:rPr>
                <w:b/>
                <w:color w:val="FFFFFF"/>
                <w:sz w:val="17"/>
              </w:rPr>
              <w:t>Max (month)</w:t>
            </w:r>
          </w:p>
        </w:tc>
        <w:tc>
          <w:tcPr>
            <w:tcW w:type="dxa" w:w="1701"/>
            <w:shd w:val="clear" w:color="auto" w:fill="1F4E79"/>
          </w:tcPr>
          <w:p>
            <w:pPr>
              <w:spacing w:after="20"/>
            </w:pPr>
            <w:r/>
            <w:r>
              <w:rPr>
                <w:b/>
                <w:color w:val="FFFFFF"/>
                <w:sz w:val="17"/>
              </w:rPr>
              <w:t>Min (month)</w:t>
            </w:r>
          </w:p>
        </w:tc>
        <w:tc>
          <w:tcPr>
            <w:tcW w:type="dxa" w:w="1701"/>
            <w:shd w:val="clear" w:color="auto" w:fill="1F4E79"/>
          </w:tcPr>
          <w:p>
            <w:pPr>
              <w:spacing w:after="20"/>
            </w:pPr>
            <w:r/>
            <w:r>
              <w:rPr>
                <w:b/>
                <w:color w:val="FFFFFF"/>
                <w:sz w:val="17"/>
              </w:rPr>
              <w:t>YoY range</w:t>
            </w:r>
          </w:p>
        </w:tc>
        <w:tc>
          <w:tcPr>
            <w:tcW w:type="dxa" w:w="1361"/>
            <w:shd w:val="clear" w:color="auto" w:fill="1F4E79"/>
          </w:tcPr>
          <w:p>
            <w:pPr>
              <w:spacing w:after="20"/>
            </w:pPr>
            <w:r/>
            <w:r>
              <w:rPr>
                <w:b/>
                <w:color w:val="FFFFFF"/>
                <w:sz w:val="17"/>
              </w:rPr>
              <w:t>Months with YoY growth</w:t>
            </w:r>
          </w:p>
        </w:tc>
        <w:tc>
          <w:tcPr>
            <w:tcW w:type="dxa" w:w="1134"/>
            <w:shd w:val="clear" w:color="auto" w:fill="1F4E79"/>
          </w:tcPr>
          <w:p>
            <w:pPr>
              <w:spacing w:after="20"/>
            </w:pPr>
            <w:r/>
            <w:r>
              <w:rPr>
                <w:b/>
                <w:color w:val="FFFFFF"/>
                <w:sz w:val="17"/>
              </w:rPr>
              <w:t>Log-trend (% pa)</w:t>
            </w:r>
          </w:p>
        </w:tc>
      </w:tr>
      <w:tr>
        <w:trPr>
          <w:cantSplit/>
        </w:trPr>
        <w:tc>
          <w:tcPr>
            <w:tcW w:type="dxa" w:w="1701"/>
          </w:tcPr>
          <w:p>
            <w:pPr>
              <w:spacing w:after="20"/>
            </w:pPr>
            <w:r/>
            <w:r>
              <w:rPr>
                <w:b w:val="0"/>
                <w:i w:val="0"/>
                <w:sz w:val="17"/>
              </w:rPr>
              <w:t>Diesel (AGO)</w:t>
            </w:r>
          </w:p>
        </w:tc>
        <w:tc>
          <w:tcPr>
            <w:tcW w:type="dxa" w:w="1247"/>
          </w:tcPr>
          <w:p>
            <w:pPr>
              <w:spacing w:after="20"/>
              <w:jc w:val="right"/>
            </w:pPr>
            <w:r/>
            <w:r>
              <w:rPr>
                <w:b w:val="0"/>
                <w:i w:val="0"/>
                <w:sz w:val="17"/>
              </w:rPr>
              <w:t>193.3</w:t>
            </w:r>
          </w:p>
        </w:tc>
        <w:tc>
          <w:tcPr>
            <w:tcW w:type="dxa" w:w="1701"/>
          </w:tcPr>
          <w:p>
            <w:pPr>
              <w:spacing w:after="20"/>
            </w:pPr>
            <w:r/>
            <w:r>
              <w:rPr>
                <w:b w:val="0"/>
                <w:i w:val="0"/>
                <w:sz w:val="17"/>
              </w:rPr>
              <w:t>219.7 (Oct-25)</w:t>
            </w:r>
          </w:p>
        </w:tc>
        <w:tc>
          <w:tcPr>
            <w:tcW w:type="dxa" w:w="1701"/>
          </w:tcPr>
          <w:p>
            <w:pPr>
              <w:spacing w:after="20"/>
            </w:pPr>
            <w:r/>
            <w:r>
              <w:rPr>
                <w:b w:val="0"/>
                <w:i w:val="0"/>
                <w:sz w:val="17"/>
              </w:rPr>
              <w:t>165.8 (Jun-24)</w:t>
            </w:r>
          </w:p>
        </w:tc>
        <w:tc>
          <w:tcPr>
            <w:tcW w:type="dxa" w:w="1701"/>
          </w:tcPr>
          <w:p>
            <w:pPr>
              <w:spacing w:after="20"/>
            </w:pPr>
            <w:r/>
            <w:r>
              <w:rPr>
                <w:b w:val="0"/>
                <w:i w:val="0"/>
                <w:sz w:val="17"/>
              </w:rPr>
              <w:t>+1.4 to +18.9%</w:t>
            </w:r>
          </w:p>
        </w:tc>
        <w:tc>
          <w:tcPr>
            <w:tcW w:type="dxa" w:w="1361"/>
          </w:tcPr>
          <w:p>
            <w:pPr>
              <w:spacing w:after="20"/>
              <w:jc w:val="right"/>
            </w:pPr>
            <w:r/>
            <w:r>
              <w:rPr>
                <w:b w:val="0"/>
                <w:i w:val="0"/>
                <w:sz w:val="17"/>
              </w:rPr>
              <w:t>100%</w:t>
            </w:r>
          </w:p>
        </w:tc>
        <w:tc>
          <w:tcPr>
            <w:tcW w:type="dxa" w:w="1134"/>
          </w:tcPr>
          <w:p>
            <w:pPr>
              <w:spacing w:after="20"/>
              <w:jc w:val="right"/>
            </w:pPr>
            <w:r/>
            <w:r>
              <w:rPr>
                <w:b w:val="0"/>
                <w:i w:val="0"/>
                <w:sz w:val="17"/>
              </w:rPr>
              <w:t>+9.2</w:t>
            </w:r>
          </w:p>
        </w:tc>
      </w:tr>
      <w:tr>
        <w:trPr>
          <w:cantSplit/>
        </w:trPr>
        <w:tc>
          <w:tcPr>
            <w:tcW w:type="dxa" w:w="1701"/>
            <w:shd w:val="clear" w:color="auto" w:fill="EEF3F8"/>
          </w:tcPr>
          <w:p>
            <w:pPr>
              <w:spacing w:after="20"/>
            </w:pPr>
            <w:r/>
            <w:r>
              <w:rPr>
                <w:b w:val="0"/>
                <w:i w:val="0"/>
                <w:sz w:val="17"/>
              </w:rPr>
              <w:t>Petrol (PMS)</w:t>
            </w:r>
          </w:p>
        </w:tc>
        <w:tc>
          <w:tcPr>
            <w:tcW w:type="dxa" w:w="1247"/>
            <w:shd w:val="clear" w:color="auto" w:fill="EEF3F8"/>
          </w:tcPr>
          <w:p>
            <w:pPr>
              <w:spacing w:after="20"/>
              <w:jc w:val="right"/>
            </w:pPr>
            <w:r/>
            <w:r>
              <w:rPr>
                <w:b w:val="0"/>
                <w:i w:val="0"/>
                <w:sz w:val="17"/>
              </w:rPr>
              <w:t>131.6</w:t>
            </w:r>
          </w:p>
        </w:tc>
        <w:tc>
          <w:tcPr>
            <w:tcW w:type="dxa" w:w="1701"/>
            <w:shd w:val="clear" w:color="auto" w:fill="EEF3F8"/>
          </w:tcPr>
          <w:p>
            <w:pPr>
              <w:spacing w:after="20"/>
            </w:pPr>
            <w:r/>
            <w:r>
              <w:rPr>
                <w:b w:val="0"/>
                <w:i w:val="0"/>
                <w:sz w:val="17"/>
              </w:rPr>
              <w:t>155.3 (Dec-25)</w:t>
            </w:r>
          </w:p>
        </w:tc>
        <w:tc>
          <w:tcPr>
            <w:tcW w:type="dxa" w:w="1701"/>
            <w:shd w:val="clear" w:color="auto" w:fill="EEF3F8"/>
          </w:tcPr>
          <w:p>
            <w:pPr>
              <w:spacing w:after="20"/>
            </w:pPr>
            <w:r/>
            <w:r>
              <w:rPr>
                <w:b w:val="0"/>
                <w:i w:val="0"/>
                <w:sz w:val="17"/>
              </w:rPr>
              <w:t>106.8 (Jun-24)</w:t>
            </w:r>
          </w:p>
        </w:tc>
        <w:tc>
          <w:tcPr>
            <w:tcW w:type="dxa" w:w="1701"/>
            <w:shd w:val="clear" w:color="auto" w:fill="EEF3F8"/>
          </w:tcPr>
          <w:p>
            <w:pPr>
              <w:spacing w:after="20"/>
            </w:pPr>
            <w:r/>
            <w:r>
              <w:rPr>
                <w:b w:val="0"/>
                <w:i w:val="0"/>
                <w:sz w:val="17"/>
              </w:rPr>
              <w:t>+5.3 to +23.9%</w:t>
            </w:r>
          </w:p>
        </w:tc>
        <w:tc>
          <w:tcPr>
            <w:tcW w:type="dxa" w:w="1361"/>
            <w:shd w:val="clear" w:color="auto" w:fill="EEF3F8"/>
          </w:tcPr>
          <w:p>
            <w:pPr>
              <w:spacing w:after="20"/>
              <w:jc w:val="right"/>
            </w:pPr>
            <w:r/>
            <w:r>
              <w:rPr>
                <w:b w:val="0"/>
                <w:i w:val="0"/>
                <w:sz w:val="17"/>
              </w:rPr>
              <w:t>100%</w:t>
            </w:r>
          </w:p>
        </w:tc>
        <w:tc>
          <w:tcPr>
            <w:tcW w:type="dxa" w:w="1134"/>
            <w:shd w:val="clear" w:color="auto" w:fill="EEF3F8"/>
          </w:tcPr>
          <w:p>
            <w:pPr>
              <w:spacing w:after="20"/>
              <w:jc w:val="right"/>
            </w:pPr>
            <w:r/>
            <w:r>
              <w:rPr>
                <w:b w:val="0"/>
                <w:i w:val="0"/>
                <w:sz w:val="17"/>
              </w:rPr>
              <w:t>+12.8</w:t>
            </w:r>
          </w:p>
        </w:tc>
      </w:tr>
      <w:tr>
        <w:trPr>
          <w:cantSplit/>
        </w:trPr>
        <w:tc>
          <w:tcPr>
            <w:tcW w:type="dxa" w:w="1701"/>
          </w:tcPr>
          <w:p>
            <w:pPr>
              <w:spacing w:after="20"/>
            </w:pPr>
            <w:r/>
            <w:r>
              <w:rPr>
                <w:b w:val="0"/>
                <w:i w:val="0"/>
                <w:sz w:val="17"/>
              </w:rPr>
              <w:t>LPG</w:t>
            </w:r>
          </w:p>
        </w:tc>
        <w:tc>
          <w:tcPr>
            <w:tcW w:type="dxa" w:w="1247"/>
          </w:tcPr>
          <w:p>
            <w:pPr>
              <w:spacing w:after="20"/>
              <w:jc w:val="right"/>
            </w:pPr>
            <w:r/>
            <w:r>
              <w:rPr>
                <w:b w:val="0"/>
                <w:i w:val="0"/>
                <w:sz w:val="17"/>
              </w:rPr>
              <w:t>37.3</w:t>
            </w:r>
          </w:p>
        </w:tc>
        <w:tc>
          <w:tcPr>
            <w:tcW w:type="dxa" w:w="1701"/>
          </w:tcPr>
          <w:p>
            <w:pPr>
              <w:spacing w:after="20"/>
            </w:pPr>
            <w:r/>
            <w:r>
              <w:rPr>
                <w:b w:val="0"/>
                <w:i w:val="0"/>
                <w:sz w:val="17"/>
              </w:rPr>
              <w:t>43.7 (Jan-26)</w:t>
            </w:r>
          </w:p>
        </w:tc>
        <w:tc>
          <w:tcPr>
            <w:tcW w:type="dxa" w:w="1701"/>
          </w:tcPr>
          <w:p>
            <w:pPr>
              <w:spacing w:after="20"/>
            </w:pPr>
            <w:r/>
            <w:r>
              <w:rPr>
                <w:b w:val="0"/>
                <w:i w:val="0"/>
                <w:sz w:val="17"/>
              </w:rPr>
              <w:t>28.1 (Feb-24)</w:t>
            </w:r>
          </w:p>
        </w:tc>
        <w:tc>
          <w:tcPr>
            <w:tcW w:type="dxa" w:w="1701"/>
          </w:tcPr>
          <w:p>
            <w:pPr>
              <w:spacing w:after="20"/>
            </w:pPr>
            <w:r/>
            <w:r>
              <w:rPr>
                <w:b w:val="0"/>
                <w:i w:val="0"/>
                <w:sz w:val="17"/>
              </w:rPr>
              <w:t>-1.7 to +24.3%</w:t>
            </w:r>
          </w:p>
        </w:tc>
        <w:tc>
          <w:tcPr>
            <w:tcW w:type="dxa" w:w="1361"/>
          </w:tcPr>
          <w:p>
            <w:pPr>
              <w:spacing w:after="20"/>
              <w:jc w:val="right"/>
            </w:pPr>
            <w:r/>
            <w:r>
              <w:rPr>
                <w:b w:val="0"/>
                <w:i w:val="0"/>
                <w:sz w:val="17"/>
              </w:rPr>
              <w:t>93%</w:t>
            </w:r>
          </w:p>
        </w:tc>
        <w:tc>
          <w:tcPr>
            <w:tcW w:type="dxa" w:w="1134"/>
          </w:tcPr>
          <w:p>
            <w:pPr>
              <w:spacing w:after="20"/>
              <w:jc w:val="right"/>
            </w:pPr>
            <w:r/>
            <w:r>
              <w:rPr>
                <w:b w:val="0"/>
                <w:i w:val="0"/>
                <w:sz w:val="17"/>
              </w:rPr>
              <w:t>+14.7</w:t>
            </w:r>
          </w:p>
        </w:tc>
      </w:tr>
      <w:tr>
        <w:trPr>
          <w:cantSplit/>
        </w:trPr>
        <w:tc>
          <w:tcPr>
            <w:tcW w:type="dxa" w:w="1701"/>
            <w:shd w:val="clear" w:color="auto" w:fill="EEF3F8"/>
          </w:tcPr>
          <w:p>
            <w:pPr>
              <w:spacing w:after="20"/>
            </w:pPr>
            <w:r/>
            <w:r>
              <w:rPr>
                <w:b w:val="0"/>
                <w:i w:val="0"/>
                <w:sz w:val="17"/>
              </w:rPr>
              <w:t>Jet fuel*</w:t>
            </w:r>
          </w:p>
        </w:tc>
        <w:tc>
          <w:tcPr>
            <w:tcW w:type="dxa" w:w="1247"/>
            <w:shd w:val="clear" w:color="auto" w:fill="EEF3F8"/>
          </w:tcPr>
          <w:p>
            <w:pPr>
              <w:spacing w:after="20"/>
              <w:jc w:val="right"/>
            </w:pPr>
            <w:r/>
            <w:r>
              <w:rPr>
                <w:b w:val="0"/>
                <w:i w:val="0"/>
                <w:sz w:val="17"/>
              </w:rPr>
              <w:t>59.5</w:t>
            </w:r>
          </w:p>
        </w:tc>
        <w:tc>
          <w:tcPr>
            <w:tcW w:type="dxa" w:w="1701"/>
            <w:shd w:val="clear" w:color="auto" w:fill="EEF3F8"/>
          </w:tcPr>
          <w:p>
            <w:pPr>
              <w:spacing w:after="20"/>
            </w:pPr>
            <w:r/>
            <w:r>
              <w:rPr>
                <w:b w:val="0"/>
                <w:i w:val="0"/>
                <w:sz w:val="17"/>
              </w:rPr>
              <w:t>67.3 (Jan-25)</w:t>
            </w:r>
          </w:p>
        </w:tc>
        <w:tc>
          <w:tcPr>
            <w:tcW w:type="dxa" w:w="1701"/>
            <w:shd w:val="clear" w:color="auto" w:fill="EEF3F8"/>
          </w:tcPr>
          <w:p>
            <w:pPr>
              <w:spacing w:after="20"/>
            </w:pPr>
            <w:r/>
            <w:r>
              <w:rPr>
                <w:b w:val="0"/>
                <w:i w:val="0"/>
                <w:sz w:val="17"/>
              </w:rPr>
              <w:t>54.4 (Jun-25)</w:t>
            </w:r>
          </w:p>
        </w:tc>
        <w:tc>
          <w:tcPr>
            <w:tcW w:type="dxa" w:w="1701"/>
            <w:shd w:val="clear" w:color="auto" w:fill="EEF3F8"/>
          </w:tcPr>
          <w:p>
            <w:pPr>
              <w:spacing w:after="20"/>
            </w:pPr>
            <w:r/>
            <w:r>
              <w:rPr>
                <w:b w:val="0"/>
                <w:i w:val="0"/>
                <w:sz w:val="17"/>
              </w:rPr>
              <w:t>-12.5 to +10.5%</w:t>
            </w:r>
          </w:p>
        </w:tc>
        <w:tc>
          <w:tcPr>
            <w:tcW w:type="dxa" w:w="1361"/>
            <w:shd w:val="clear" w:color="auto" w:fill="EEF3F8"/>
          </w:tcPr>
          <w:p>
            <w:pPr>
              <w:spacing w:after="20"/>
              <w:jc w:val="right"/>
            </w:pPr>
            <w:r/>
            <w:r>
              <w:rPr>
                <w:b w:val="0"/>
                <w:i w:val="0"/>
                <w:sz w:val="17"/>
              </w:rPr>
              <w:t>21%</w:t>
            </w:r>
          </w:p>
        </w:tc>
        <w:tc>
          <w:tcPr>
            <w:tcW w:type="dxa" w:w="1134"/>
            <w:shd w:val="clear" w:color="auto" w:fill="EEF3F8"/>
          </w:tcPr>
          <w:p>
            <w:pPr>
              <w:spacing w:after="20"/>
              <w:jc w:val="right"/>
            </w:pPr>
            <w:r/>
            <w:r>
              <w:rPr>
                <w:b w:val="0"/>
                <w:i w:val="0"/>
                <w:sz w:val="17"/>
              </w:rPr>
              <w:t>-3.6</w:t>
            </w:r>
          </w:p>
        </w:tc>
      </w:tr>
      <w:tr>
        <w:trPr>
          <w:cantSplit/>
        </w:trPr>
        <w:tc>
          <w:tcPr>
            <w:tcW w:type="dxa" w:w="1701"/>
          </w:tcPr>
          <w:p>
            <w:pPr>
              <w:spacing w:after="20"/>
            </w:pPr>
            <w:r/>
            <w:r>
              <w:rPr>
                <w:b w:val="0"/>
                <w:i w:val="0"/>
                <w:sz w:val="17"/>
              </w:rPr>
              <w:t>Fuel oil/other*</w:t>
            </w:r>
          </w:p>
        </w:tc>
        <w:tc>
          <w:tcPr>
            <w:tcW w:type="dxa" w:w="1247"/>
          </w:tcPr>
          <w:p>
            <w:pPr>
              <w:spacing w:after="20"/>
              <w:jc w:val="right"/>
            </w:pPr>
            <w:r/>
            <w:r>
              <w:rPr>
                <w:b w:val="0"/>
                <w:i w:val="0"/>
                <w:sz w:val="17"/>
              </w:rPr>
              <w:t>27.5</w:t>
            </w:r>
          </w:p>
        </w:tc>
        <w:tc>
          <w:tcPr>
            <w:tcW w:type="dxa" w:w="1701"/>
          </w:tcPr>
          <w:p>
            <w:pPr>
              <w:spacing w:after="20"/>
            </w:pPr>
            <w:r/>
            <w:r>
              <w:rPr>
                <w:b w:val="0"/>
                <w:i w:val="0"/>
                <w:sz w:val="17"/>
              </w:rPr>
              <w:t>41.8 (Nov-25)</w:t>
            </w:r>
          </w:p>
        </w:tc>
        <w:tc>
          <w:tcPr>
            <w:tcW w:type="dxa" w:w="1701"/>
          </w:tcPr>
          <w:p>
            <w:pPr>
              <w:spacing w:after="20"/>
            </w:pPr>
            <w:r/>
            <w:r>
              <w:rPr>
                <w:b w:val="0"/>
                <w:i w:val="0"/>
                <w:sz w:val="17"/>
              </w:rPr>
              <w:t>13.1 (Jun-24)</w:t>
            </w:r>
          </w:p>
        </w:tc>
        <w:tc>
          <w:tcPr>
            <w:tcW w:type="dxa" w:w="1701"/>
          </w:tcPr>
          <w:p>
            <w:pPr>
              <w:spacing w:after="20"/>
            </w:pPr>
            <w:r/>
            <w:r>
              <w:rPr>
                <w:b w:val="0"/>
                <w:i w:val="0"/>
                <w:sz w:val="17"/>
              </w:rPr>
              <w:t>-15.5 to +167.3%</w:t>
            </w:r>
          </w:p>
        </w:tc>
        <w:tc>
          <w:tcPr>
            <w:tcW w:type="dxa" w:w="1361"/>
          </w:tcPr>
          <w:p>
            <w:pPr>
              <w:spacing w:after="20"/>
              <w:jc w:val="right"/>
            </w:pPr>
            <w:r/>
            <w:r>
              <w:rPr>
                <w:b w:val="0"/>
                <w:i w:val="0"/>
                <w:sz w:val="17"/>
              </w:rPr>
              <w:t>93%</w:t>
            </w:r>
          </w:p>
        </w:tc>
        <w:tc>
          <w:tcPr>
            <w:tcW w:type="dxa" w:w="1134"/>
          </w:tcPr>
          <w:p>
            <w:pPr>
              <w:spacing w:after="20"/>
              <w:jc w:val="right"/>
            </w:pPr>
            <w:r/>
            <w:r>
              <w:rPr>
                <w:b w:val="0"/>
                <w:i w:val="0"/>
                <w:sz w:val="17"/>
              </w:rPr>
              <w:t>+44.6</w:t>
            </w:r>
          </w:p>
        </w:tc>
      </w:tr>
      <w:tr>
        <w:trPr>
          <w:cantSplit/>
        </w:trPr>
        <w:tc>
          <w:tcPr>
            <w:tcW w:type="dxa" w:w="1701"/>
            <w:shd w:val="clear" w:color="auto" w:fill="EEF3F8"/>
          </w:tcPr>
          <w:p>
            <w:pPr>
              <w:spacing w:after="20"/>
            </w:pPr>
            <w:r/>
            <w:r>
              <w:rPr>
                <w:b w:val="0"/>
                <w:i w:val="0"/>
                <w:sz w:val="17"/>
              </w:rPr>
              <w:t>Kerosene (IK)</w:t>
            </w:r>
          </w:p>
        </w:tc>
        <w:tc>
          <w:tcPr>
            <w:tcW w:type="dxa" w:w="1247"/>
            <w:shd w:val="clear" w:color="auto" w:fill="EEF3F8"/>
          </w:tcPr>
          <w:p>
            <w:pPr>
              <w:spacing w:after="20"/>
              <w:jc w:val="right"/>
            </w:pPr>
            <w:r/>
            <w:r>
              <w:rPr>
                <w:b w:val="0"/>
                <w:i w:val="0"/>
                <w:sz w:val="17"/>
              </w:rPr>
              <w:t>3.5</w:t>
            </w:r>
          </w:p>
        </w:tc>
        <w:tc>
          <w:tcPr>
            <w:tcW w:type="dxa" w:w="1701"/>
            <w:shd w:val="clear" w:color="auto" w:fill="EEF3F8"/>
          </w:tcPr>
          <w:p>
            <w:pPr>
              <w:spacing w:after="20"/>
            </w:pPr>
            <w:r/>
            <w:r>
              <w:rPr>
                <w:b w:val="0"/>
                <w:i w:val="0"/>
                <w:sz w:val="17"/>
              </w:rPr>
              <w:t>4.6 (Jan-26)</w:t>
            </w:r>
          </w:p>
        </w:tc>
        <w:tc>
          <w:tcPr>
            <w:tcW w:type="dxa" w:w="1701"/>
            <w:shd w:val="clear" w:color="auto" w:fill="EEF3F8"/>
          </w:tcPr>
          <w:p>
            <w:pPr>
              <w:spacing w:after="20"/>
            </w:pPr>
            <w:r/>
            <w:r>
              <w:rPr>
                <w:b w:val="0"/>
                <w:i w:val="0"/>
                <w:sz w:val="17"/>
              </w:rPr>
              <w:t>2.5 (Mar-24)</w:t>
            </w:r>
          </w:p>
        </w:tc>
        <w:tc>
          <w:tcPr>
            <w:tcW w:type="dxa" w:w="1701"/>
            <w:shd w:val="clear" w:color="auto" w:fill="EEF3F8"/>
          </w:tcPr>
          <w:p>
            <w:pPr>
              <w:spacing w:after="20"/>
            </w:pPr>
            <w:r/>
            <w:r>
              <w:rPr>
                <w:b w:val="0"/>
                <w:i w:val="0"/>
                <w:sz w:val="17"/>
              </w:rPr>
              <w:t>-11.8 to +57.8%</w:t>
            </w:r>
          </w:p>
        </w:tc>
        <w:tc>
          <w:tcPr>
            <w:tcW w:type="dxa" w:w="1361"/>
            <w:shd w:val="clear" w:color="auto" w:fill="EEF3F8"/>
          </w:tcPr>
          <w:p>
            <w:pPr>
              <w:spacing w:after="20"/>
              <w:jc w:val="right"/>
            </w:pPr>
            <w:r/>
            <w:r>
              <w:rPr>
                <w:b w:val="0"/>
                <w:i w:val="0"/>
                <w:sz w:val="17"/>
              </w:rPr>
              <w:t>93%</w:t>
            </w:r>
          </w:p>
        </w:tc>
        <w:tc>
          <w:tcPr>
            <w:tcW w:type="dxa" w:w="1134"/>
            <w:shd w:val="clear" w:color="auto" w:fill="EEF3F8"/>
          </w:tcPr>
          <w:p>
            <w:pPr>
              <w:spacing w:after="20"/>
              <w:jc w:val="right"/>
            </w:pPr>
            <w:r/>
            <w:r>
              <w:rPr>
                <w:b w:val="0"/>
                <w:i w:val="0"/>
                <w:sz w:val="17"/>
              </w:rPr>
              <w:t>+17.9</w:t>
            </w:r>
          </w:p>
        </w:tc>
      </w:tr>
    </w:tbl>
    <w:p>
      <w:r>
        <w:rPr>
          <w:i/>
          <w:sz w:val="16"/>
        </w:rPr>
        <w:t>Computed on 26 months (Jan 2024–Feb 2026); YoY on the 14 months from Jan 2025.</w:t>
      </w:r>
    </w:p>
    <w:p>
      <w:pPr>
        <w:pStyle w:val="Heading2"/>
      </w:pPr>
      <w:r>
        <w:t>4.3 Seasonality</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134"/>
            <w:shd w:val="clear" w:color="auto" w:fill="1F4E79"/>
          </w:tcPr>
          <w:p>
            <w:pPr>
              <w:spacing w:after="20"/>
            </w:pPr>
            <w:r/>
            <w:r>
              <w:rPr>
                <w:b/>
                <w:color w:val="FFFFFF"/>
                <w:sz w:val="17"/>
              </w:rPr>
              <w:t>Month</w:t>
            </w:r>
          </w:p>
        </w:tc>
        <w:tc>
          <w:tcPr>
            <w:tcW w:type="dxa" w:w="1247"/>
            <w:shd w:val="clear" w:color="auto" w:fill="1F4E79"/>
          </w:tcPr>
          <w:p>
            <w:pPr>
              <w:spacing w:after="20"/>
            </w:pPr>
            <w:r/>
            <w:r>
              <w:rPr>
                <w:b/>
                <w:color w:val="FFFFFF"/>
                <w:sz w:val="17"/>
              </w:rPr>
              <w:t>Diesel</w:t>
            </w:r>
          </w:p>
        </w:tc>
        <w:tc>
          <w:tcPr>
            <w:tcW w:type="dxa" w:w="1247"/>
            <w:shd w:val="clear" w:color="auto" w:fill="1F4E79"/>
          </w:tcPr>
          <w:p>
            <w:pPr>
              <w:spacing w:after="20"/>
            </w:pPr>
            <w:r/>
            <w:r>
              <w:rPr>
                <w:b/>
                <w:color w:val="FFFFFF"/>
                <w:sz w:val="17"/>
              </w:rPr>
              <w:t>Petrol</w:t>
            </w:r>
          </w:p>
        </w:tc>
        <w:tc>
          <w:tcPr>
            <w:tcW w:type="dxa" w:w="1247"/>
            <w:shd w:val="clear" w:color="auto" w:fill="1F4E79"/>
          </w:tcPr>
          <w:p>
            <w:pPr>
              <w:spacing w:after="20"/>
            </w:pPr>
            <w:r/>
            <w:r>
              <w:rPr>
                <w:b/>
                <w:color w:val="FFFFFF"/>
                <w:sz w:val="17"/>
              </w:rPr>
              <w:t>LPG</w:t>
            </w:r>
          </w:p>
        </w:tc>
        <w:tc>
          <w:tcPr>
            <w:tcW w:type="dxa" w:w="1247"/>
            <w:shd w:val="clear" w:color="auto" w:fill="1F4E79"/>
          </w:tcPr>
          <w:p>
            <w:pPr>
              <w:spacing w:after="20"/>
            </w:pPr>
            <w:r/>
            <w:r>
              <w:rPr>
                <w:b/>
                <w:color w:val="FFFFFF"/>
                <w:sz w:val="17"/>
              </w:rPr>
              <w:t>Jet*</w:t>
            </w:r>
          </w:p>
        </w:tc>
        <w:tc>
          <w:tcPr>
            <w:tcW w:type="dxa" w:w="1247"/>
            <w:shd w:val="clear" w:color="auto" w:fill="1F4E79"/>
          </w:tcPr>
          <w:p>
            <w:pPr>
              <w:spacing w:after="20"/>
            </w:pPr>
            <w:r/>
            <w:r>
              <w:rPr>
                <w:b/>
                <w:color w:val="FFFFFF"/>
                <w:sz w:val="17"/>
              </w:rPr>
              <w:t>Total</w:t>
            </w:r>
          </w:p>
        </w:tc>
      </w:tr>
      <w:tr>
        <w:trPr>
          <w:cantSplit/>
        </w:trPr>
        <w:tc>
          <w:tcPr>
            <w:tcW w:type="dxa" w:w="1134"/>
          </w:tcPr>
          <w:p>
            <w:pPr>
              <w:spacing w:after="20"/>
            </w:pPr>
            <w:r/>
            <w:r>
              <w:rPr>
                <w:b w:val="0"/>
                <w:i w:val="0"/>
                <w:sz w:val="17"/>
              </w:rPr>
              <w:t>Jan</w:t>
            </w:r>
          </w:p>
        </w:tc>
        <w:tc>
          <w:tcPr>
            <w:tcW w:type="dxa" w:w="1247"/>
          </w:tcPr>
          <w:p>
            <w:pPr>
              <w:spacing w:after="20"/>
              <w:jc w:val="right"/>
            </w:pPr>
            <w:r/>
            <w:r>
              <w:rPr>
                <w:b w:val="0"/>
                <w:i w:val="0"/>
                <w:sz w:val="17"/>
              </w:rPr>
              <w:t>0.97</w:t>
            </w:r>
          </w:p>
        </w:tc>
        <w:tc>
          <w:tcPr>
            <w:tcW w:type="dxa" w:w="1247"/>
          </w:tcPr>
          <w:p>
            <w:pPr>
              <w:spacing w:after="20"/>
              <w:jc w:val="right"/>
            </w:pPr>
            <w:r/>
            <w:r>
              <w:rPr>
                <w:b w:val="0"/>
                <w:i w:val="0"/>
                <w:sz w:val="17"/>
              </w:rPr>
              <w:t>0.99</w:t>
            </w:r>
          </w:p>
        </w:tc>
        <w:tc>
          <w:tcPr>
            <w:tcW w:type="dxa" w:w="1247"/>
          </w:tcPr>
          <w:p>
            <w:pPr>
              <w:spacing w:after="20"/>
              <w:jc w:val="right"/>
            </w:pPr>
            <w:r/>
            <w:r>
              <w:rPr>
                <w:b w:val="0"/>
                <w:i w:val="0"/>
                <w:sz w:val="17"/>
              </w:rPr>
              <w:t>0.95</w:t>
            </w:r>
          </w:p>
        </w:tc>
        <w:tc>
          <w:tcPr>
            <w:tcW w:type="dxa" w:w="1247"/>
          </w:tcPr>
          <w:p>
            <w:pPr>
              <w:spacing w:after="20"/>
              <w:jc w:val="right"/>
            </w:pPr>
            <w:r/>
            <w:r>
              <w:rPr>
                <w:b w:val="0"/>
                <w:i w:val="0"/>
                <w:sz w:val="17"/>
              </w:rPr>
              <w:t>1.07</w:t>
            </w:r>
          </w:p>
        </w:tc>
        <w:tc>
          <w:tcPr>
            <w:tcW w:type="dxa" w:w="1247"/>
          </w:tcPr>
          <w:p>
            <w:pPr>
              <w:spacing w:after="20"/>
              <w:jc w:val="right"/>
            </w:pPr>
            <w:r/>
            <w:r>
              <w:rPr>
                <w:b w:val="0"/>
                <w:i w:val="0"/>
                <w:sz w:val="17"/>
              </w:rPr>
              <w:t>0.97</w:t>
            </w:r>
          </w:p>
        </w:tc>
      </w:tr>
      <w:tr>
        <w:trPr>
          <w:cantSplit/>
        </w:trPr>
        <w:tc>
          <w:tcPr>
            <w:tcW w:type="dxa" w:w="1134"/>
            <w:shd w:val="clear" w:color="auto" w:fill="EEF3F8"/>
          </w:tcPr>
          <w:p>
            <w:pPr>
              <w:spacing w:after="20"/>
            </w:pPr>
            <w:r/>
            <w:r>
              <w:rPr>
                <w:b w:val="0"/>
                <w:i w:val="0"/>
                <w:sz w:val="17"/>
              </w:rPr>
              <w:t>Feb</w:t>
            </w:r>
          </w:p>
        </w:tc>
        <w:tc>
          <w:tcPr>
            <w:tcW w:type="dxa" w:w="1247"/>
            <w:shd w:val="clear" w:color="auto" w:fill="EEF3F8"/>
          </w:tcPr>
          <w:p>
            <w:pPr>
              <w:spacing w:after="20"/>
              <w:jc w:val="right"/>
            </w:pPr>
            <w:r/>
            <w:r>
              <w:rPr>
                <w:b w:val="0"/>
                <w:i w:val="0"/>
                <w:sz w:val="17"/>
              </w:rPr>
              <w:t>0.94</w:t>
            </w:r>
          </w:p>
        </w:tc>
        <w:tc>
          <w:tcPr>
            <w:tcW w:type="dxa" w:w="1247"/>
            <w:shd w:val="clear" w:color="auto" w:fill="EEF3F8"/>
          </w:tcPr>
          <w:p>
            <w:pPr>
              <w:spacing w:after="20"/>
              <w:jc w:val="right"/>
            </w:pPr>
            <w:r/>
            <w:r>
              <w:rPr>
                <w:b w:val="0"/>
                <w:i w:val="0"/>
                <w:sz w:val="17"/>
              </w:rPr>
              <w:t>0.92</w:t>
            </w:r>
          </w:p>
        </w:tc>
        <w:tc>
          <w:tcPr>
            <w:tcW w:type="dxa" w:w="1247"/>
            <w:shd w:val="clear" w:color="auto" w:fill="EEF3F8"/>
          </w:tcPr>
          <w:p>
            <w:pPr>
              <w:spacing w:after="20"/>
              <w:jc w:val="right"/>
            </w:pPr>
            <w:r/>
            <w:r>
              <w:rPr>
                <w:b w:val="0"/>
                <w:i w:val="0"/>
                <w:sz w:val="17"/>
              </w:rPr>
              <w:t>0.84</w:t>
            </w:r>
          </w:p>
        </w:tc>
        <w:tc>
          <w:tcPr>
            <w:tcW w:type="dxa" w:w="1247"/>
            <w:shd w:val="clear" w:color="auto" w:fill="EEF3F8"/>
          </w:tcPr>
          <w:p>
            <w:pPr>
              <w:spacing w:after="20"/>
              <w:jc w:val="right"/>
            </w:pPr>
            <w:r/>
            <w:r>
              <w:rPr>
                <w:b w:val="0"/>
                <w:i w:val="0"/>
                <w:sz w:val="17"/>
              </w:rPr>
              <w:t>1.00</w:t>
            </w:r>
          </w:p>
        </w:tc>
        <w:tc>
          <w:tcPr>
            <w:tcW w:type="dxa" w:w="1247"/>
            <w:shd w:val="clear" w:color="auto" w:fill="EEF3F8"/>
          </w:tcPr>
          <w:p>
            <w:pPr>
              <w:spacing w:after="20"/>
              <w:jc w:val="right"/>
            </w:pPr>
            <w:r/>
            <w:r>
              <w:rPr>
                <w:b w:val="0"/>
                <w:i w:val="0"/>
                <w:sz w:val="17"/>
              </w:rPr>
              <w:t>0.93</w:t>
            </w:r>
          </w:p>
        </w:tc>
      </w:tr>
      <w:tr>
        <w:trPr>
          <w:cantSplit/>
        </w:trPr>
        <w:tc>
          <w:tcPr>
            <w:tcW w:type="dxa" w:w="1134"/>
          </w:tcPr>
          <w:p>
            <w:pPr>
              <w:spacing w:after="20"/>
            </w:pPr>
            <w:r/>
            <w:r>
              <w:rPr>
                <w:b w:val="0"/>
                <w:i w:val="0"/>
                <w:sz w:val="17"/>
              </w:rPr>
              <w:t>Mar</w:t>
            </w:r>
          </w:p>
        </w:tc>
        <w:tc>
          <w:tcPr>
            <w:tcW w:type="dxa" w:w="1247"/>
          </w:tcPr>
          <w:p>
            <w:pPr>
              <w:spacing w:after="20"/>
              <w:jc w:val="right"/>
            </w:pPr>
            <w:r/>
            <w:r>
              <w:rPr>
                <w:b w:val="0"/>
                <w:i w:val="0"/>
                <w:sz w:val="17"/>
              </w:rPr>
              <w:t>1.01</w:t>
            </w:r>
          </w:p>
        </w:tc>
        <w:tc>
          <w:tcPr>
            <w:tcW w:type="dxa" w:w="1247"/>
          </w:tcPr>
          <w:p>
            <w:pPr>
              <w:spacing w:after="20"/>
              <w:jc w:val="right"/>
            </w:pPr>
            <w:r/>
            <w:r>
              <w:rPr>
                <w:b w:val="0"/>
                <w:i w:val="0"/>
                <w:sz w:val="17"/>
              </w:rPr>
              <w:t>0.96</w:t>
            </w:r>
          </w:p>
        </w:tc>
        <w:tc>
          <w:tcPr>
            <w:tcW w:type="dxa" w:w="1247"/>
          </w:tcPr>
          <w:p>
            <w:pPr>
              <w:spacing w:after="20"/>
              <w:jc w:val="right"/>
            </w:pPr>
            <w:r/>
            <w:r>
              <w:rPr>
                <w:b w:val="0"/>
                <w:i w:val="0"/>
                <w:sz w:val="17"/>
              </w:rPr>
              <w:t>0.90</w:t>
            </w:r>
          </w:p>
        </w:tc>
        <w:tc>
          <w:tcPr>
            <w:tcW w:type="dxa" w:w="1247"/>
          </w:tcPr>
          <w:p>
            <w:pPr>
              <w:spacing w:after="20"/>
              <w:jc w:val="right"/>
            </w:pPr>
            <w:r/>
            <w:r>
              <w:rPr>
                <w:b w:val="0"/>
                <w:i w:val="0"/>
                <w:sz w:val="17"/>
              </w:rPr>
              <w:t>1.00</w:t>
            </w:r>
          </w:p>
        </w:tc>
        <w:tc>
          <w:tcPr>
            <w:tcW w:type="dxa" w:w="1247"/>
          </w:tcPr>
          <w:p>
            <w:pPr>
              <w:spacing w:after="20"/>
              <w:jc w:val="right"/>
            </w:pPr>
            <w:r/>
            <w:r>
              <w:rPr>
                <w:b w:val="0"/>
                <w:i w:val="0"/>
                <w:sz w:val="17"/>
              </w:rPr>
              <w:t>0.98</w:t>
            </w:r>
          </w:p>
        </w:tc>
      </w:tr>
      <w:tr>
        <w:trPr>
          <w:cantSplit/>
        </w:trPr>
        <w:tc>
          <w:tcPr>
            <w:tcW w:type="dxa" w:w="1134"/>
            <w:shd w:val="clear" w:color="auto" w:fill="EEF3F8"/>
          </w:tcPr>
          <w:p>
            <w:pPr>
              <w:spacing w:after="20"/>
            </w:pPr>
            <w:r/>
            <w:r>
              <w:rPr>
                <w:b w:val="0"/>
                <w:i w:val="0"/>
                <w:sz w:val="17"/>
              </w:rPr>
              <w:t>Apr</w:t>
            </w:r>
          </w:p>
        </w:tc>
        <w:tc>
          <w:tcPr>
            <w:tcW w:type="dxa" w:w="1247"/>
            <w:shd w:val="clear" w:color="auto" w:fill="EEF3F8"/>
          </w:tcPr>
          <w:p>
            <w:pPr>
              <w:spacing w:after="20"/>
              <w:jc w:val="right"/>
            </w:pPr>
            <w:r/>
            <w:r>
              <w:rPr>
                <w:b w:val="0"/>
                <w:i w:val="0"/>
                <w:sz w:val="17"/>
              </w:rPr>
              <w:t>0.96</w:t>
            </w:r>
          </w:p>
        </w:tc>
        <w:tc>
          <w:tcPr>
            <w:tcW w:type="dxa" w:w="1247"/>
            <w:shd w:val="clear" w:color="auto" w:fill="EEF3F8"/>
          </w:tcPr>
          <w:p>
            <w:pPr>
              <w:spacing w:after="20"/>
              <w:jc w:val="right"/>
            </w:pPr>
            <w:r/>
            <w:r>
              <w:rPr>
                <w:b w:val="0"/>
                <w:i w:val="0"/>
                <w:sz w:val="17"/>
              </w:rPr>
              <w:t>0.97</w:t>
            </w:r>
          </w:p>
        </w:tc>
        <w:tc>
          <w:tcPr>
            <w:tcW w:type="dxa" w:w="1247"/>
            <w:shd w:val="clear" w:color="auto" w:fill="EEF3F8"/>
          </w:tcPr>
          <w:p>
            <w:pPr>
              <w:spacing w:after="20"/>
              <w:jc w:val="right"/>
            </w:pPr>
            <w:r/>
            <w:r>
              <w:rPr>
                <w:b w:val="0"/>
                <w:i w:val="0"/>
                <w:sz w:val="17"/>
              </w:rPr>
              <w:t>0.95</w:t>
            </w:r>
          </w:p>
        </w:tc>
        <w:tc>
          <w:tcPr>
            <w:tcW w:type="dxa" w:w="1247"/>
            <w:shd w:val="clear" w:color="auto" w:fill="EEF3F8"/>
          </w:tcPr>
          <w:p>
            <w:pPr>
              <w:spacing w:after="20"/>
              <w:jc w:val="right"/>
            </w:pPr>
            <w:r/>
            <w:r>
              <w:rPr>
                <w:b w:val="0"/>
                <w:i w:val="0"/>
                <w:sz w:val="17"/>
              </w:rPr>
              <w:t>0.95</w:t>
            </w:r>
          </w:p>
        </w:tc>
        <w:tc>
          <w:tcPr>
            <w:tcW w:type="dxa" w:w="1247"/>
            <w:shd w:val="clear" w:color="auto" w:fill="EEF3F8"/>
          </w:tcPr>
          <w:p>
            <w:pPr>
              <w:spacing w:after="20"/>
              <w:jc w:val="right"/>
            </w:pPr>
            <w:r/>
            <w:r>
              <w:rPr>
                <w:b w:val="0"/>
                <w:i w:val="0"/>
                <w:sz w:val="17"/>
              </w:rPr>
              <w:t>0.96</w:t>
            </w:r>
          </w:p>
        </w:tc>
      </w:tr>
      <w:tr>
        <w:trPr>
          <w:cantSplit/>
        </w:trPr>
        <w:tc>
          <w:tcPr>
            <w:tcW w:type="dxa" w:w="1134"/>
          </w:tcPr>
          <w:p>
            <w:pPr>
              <w:spacing w:after="20"/>
            </w:pPr>
            <w:r/>
            <w:r>
              <w:rPr>
                <w:b w:val="0"/>
                <w:i w:val="0"/>
                <w:sz w:val="17"/>
              </w:rPr>
              <w:t>May</w:t>
            </w:r>
          </w:p>
        </w:tc>
        <w:tc>
          <w:tcPr>
            <w:tcW w:type="dxa" w:w="1247"/>
          </w:tcPr>
          <w:p>
            <w:pPr>
              <w:spacing w:after="20"/>
              <w:jc w:val="right"/>
            </w:pPr>
            <w:r/>
            <w:r>
              <w:rPr>
                <w:b w:val="0"/>
                <w:i w:val="0"/>
                <w:sz w:val="17"/>
              </w:rPr>
              <w:t>0.99</w:t>
            </w:r>
          </w:p>
        </w:tc>
        <w:tc>
          <w:tcPr>
            <w:tcW w:type="dxa" w:w="1247"/>
          </w:tcPr>
          <w:p>
            <w:pPr>
              <w:spacing w:after="20"/>
              <w:jc w:val="right"/>
            </w:pPr>
            <w:r/>
            <w:r>
              <w:rPr>
                <w:b w:val="0"/>
                <w:i w:val="0"/>
                <w:sz w:val="17"/>
              </w:rPr>
              <w:t>0.98</w:t>
            </w:r>
          </w:p>
        </w:tc>
        <w:tc>
          <w:tcPr>
            <w:tcW w:type="dxa" w:w="1247"/>
          </w:tcPr>
          <w:p>
            <w:pPr>
              <w:spacing w:after="20"/>
              <w:jc w:val="right"/>
            </w:pPr>
            <w:r/>
            <w:r>
              <w:rPr>
                <w:b w:val="0"/>
                <w:i w:val="0"/>
                <w:sz w:val="17"/>
              </w:rPr>
              <w:t>1.03</w:t>
            </w:r>
          </w:p>
        </w:tc>
        <w:tc>
          <w:tcPr>
            <w:tcW w:type="dxa" w:w="1247"/>
          </w:tcPr>
          <w:p>
            <w:pPr>
              <w:spacing w:after="20"/>
              <w:jc w:val="right"/>
            </w:pPr>
            <w:r/>
            <w:r>
              <w:rPr>
                <w:b w:val="0"/>
                <w:i w:val="0"/>
                <w:sz w:val="17"/>
              </w:rPr>
              <w:t>0.96</w:t>
            </w:r>
          </w:p>
        </w:tc>
        <w:tc>
          <w:tcPr>
            <w:tcW w:type="dxa" w:w="1247"/>
          </w:tcPr>
          <w:p>
            <w:pPr>
              <w:spacing w:after="20"/>
              <w:jc w:val="right"/>
            </w:pPr>
            <w:r/>
            <w:r>
              <w:rPr>
                <w:b w:val="0"/>
                <w:i w:val="0"/>
                <w:sz w:val="17"/>
              </w:rPr>
              <w:t>1.00</w:t>
            </w:r>
          </w:p>
        </w:tc>
      </w:tr>
      <w:tr>
        <w:trPr>
          <w:cantSplit/>
        </w:trPr>
        <w:tc>
          <w:tcPr>
            <w:tcW w:type="dxa" w:w="1134"/>
            <w:shd w:val="clear" w:color="auto" w:fill="EEF3F8"/>
          </w:tcPr>
          <w:p>
            <w:pPr>
              <w:spacing w:after="20"/>
            </w:pPr>
            <w:r/>
            <w:r>
              <w:rPr>
                <w:b w:val="0"/>
                <w:i w:val="0"/>
                <w:sz w:val="17"/>
              </w:rPr>
              <w:t>Jun</w:t>
            </w:r>
          </w:p>
        </w:tc>
        <w:tc>
          <w:tcPr>
            <w:tcW w:type="dxa" w:w="1247"/>
            <w:shd w:val="clear" w:color="auto" w:fill="EEF3F8"/>
          </w:tcPr>
          <w:p>
            <w:pPr>
              <w:spacing w:after="20"/>
              <w:jc w:val="right"/>
            </w:pPr>
            <w:r/>
            <w:r>
              <w:rPr>
                <w:b w:val="0"/>
                <w:i w:val="0"/>
                <w:sz w:val="17"/>
              </w:rPr>
              <w:t>0.92</w:t>
            </w:r>
          </w:p>
        </w:tc>
        <w:tc>
          <w:tcPr>
            <w:tcW w:type="dxa" w:w="1247"/>
            <w:shd w:val="clear" w:color="auto" w:fill="EEF3F8"/>
          </w:tcPr>
          <w:p>
            <w:pPr>
              <w:spacing w:after="20"/>
              <w:jc w:val="right"/>
            </w:pPr>
            <w:r/>
            <w:r>
              <w:rPr>
                <w:b w:val="0"/>
                <w:i w:val="0"/>
                <w:sz w:val="17"/>
              </w:rPr>
              <w:t>0.90</w:t>
            </w:r>
          </w:p>
        </w:tc>
        <w:tc>
          <w:tcPr>
            <w:tcW w:type="dxa" w:w="1247"/>
            <w:shd w:val="clear" w:color="auto" w:fill="EEF3F8"/>
          </w:tcPr>
          <w:p>
            <w:pPr>
              <w:spacing w:after="20"/>
              <w:jc w:val="right"/>
            </w:pPr>
            <w:r/>
            <w:r>
              <w:rPr>
                <w:b w:val="0"/>
                <w:i w:val="0"/>
                <w:sz w:val="17"/>
              </w:rPr>
              <w:t>0.98</w:t>
            </w:r>
          </w:p>
        </w:tc>
        <w:tc>
          <w:tcPr>
            <w:tcW w:type="dxa" w:w="1247"/>
            <w:shd w:val="clear" w:color="auto" w:fill="EEF3F8"/>
          </w:tcPr>
          <w:p>
            <w:pPr>
              <w:spacing w:after="20"/>
              <w:jc w:val="right"/>
            </w:pPr>
            <w:r/>
            <w:r>
              <w:rPr>
                <w:b w:val="0"/>
                <w:i w:val="0"/>
                <w:sz w:val="17"/>
              </w:rPr>
              <w:t>0.96</w:t>
            </w:r>
          </w:p>
        </w:tc>
        <w:tc>
          <w:tcPr>
            <w:tcW w:type="dxa" w:w="1247"/>
            <w:shd w:val="clear" w:color="auto" w:fill="EEF3F8"/>
          </w:tcPr>
          <w:p>
            <w:pPr>
              <w:spacing w:after="20"/>
              <w:jc w:val="right"/>
            </w:pPr>
            <w:r/>
            <w:r>
              <w:rPr>
                <w:b w:val="0"/>
                <w:i w:val="0"/>
                <w:sz w:val="17"/>
              </w:rPr>
              <w:t>0.92</w:t>
            </w:r>
          </w:p>
        </w:tc>
      </w:tr>
      <w:tr>
        <w:trPr>
          <w:cantSplit/>
        </w:trPr>
        <w:tc>
          <w:tcPr>
            <w:tcW w:type="dxa" w:w="1134"/>
          </w:tcPr>
          <w:p>
            <w:pPr>
              <w:spacing w:after="20"/>
            </w:pPr>
            <w:r/>
            <w:r>
              <w:rPr>
                <w:b w:val="0"/>
                <w:i w:val="0"/>
                <w:sz w:val="17"/>
              </w:rPr>
              <w:t>Jul</w:t>
            </w:r>
          </w:p>
        </w:tc>
        <w:tc>
          <w:tcPr>
            <w:tcW w:type="dxa" w:w="1247"/>
          </w:tcPr>
          <w:p>
            <w:pPr>
              <w:spacing w:after="20"/>
              <w:jc w:val="right"/>
            </w:pPr>
            <w:r/>
            <w:r>
              <w:rPr>
                <w:b w:val="0"/>
                <w:i w:val="0"/>
                <w:sz w:val="17"/>
              </w:rPr>
              <w:t>1.06</w:t>
            </w:r>
          </w:p>
        </w:tc>
        <w:tc>
          <w:tcPr>
            <w:tcW w:type="dxa" w:w="1247"/>
          </w:tcPr>
          <w:p>
            <w:pPr>
              <w:spacing w:after="20"/>
              <w:jc w:val="right"/>
            </w:pPr>
            <w:r/>
            <w:r>
              <w:rPr>
                <w:b w:val="0"/>
                <w:i w:val="0"/>
                <w:sz w:val="17"/>
              </w:rPr>
              <w:t>1.04</w:t>
            </w:r>
          </w:p>
        </w:tc>
        <w:tc>
          <w:tcPr>
            <w:tcW w:type="dxa" w:w="1247"/>
          </w:tcPr>
          <w:p>
            <w:pPr>
              <w:spacing w:after="20"/>
              <w:jc w:val="right"/>
            </w:pPr>
            <w:r/>
            <w:r>
              <w:rPr>
                <w:b w:val="0"/>
                <w:i w:val="0"/>
                <w:sz w:val="17"/>
              </w:rPr>
              <w:t>1.06</w:t>
            </w:r>
          </w:p>
        </w:tc>
        <w:tc>
          <w:tcPr>
            <w:tcW w:type="dxa" w:w="1247"/>
          </w:tcPr>
          <w:p>
            <w:pPr>
              <w:spacing w:after="20"/>
              <w:jc w:val="right"/>
            </w:pPr>
            <w:r/>
            <w:r>
              <w:rPr>
                <w:b w:val="0"/>
                <w:i w:val="0"/>
                <w:sz w:val="17"/>
              </w:rPr>
              <w:t>1.04</w:t>
            </w:r>
          </w:p>
        </w:tc>
        <w:tc>
          <w:tcPr>
            <w:tcW w:type="dxa" w:w="1247"/>
          </w:tcPr>
          <w:p>
            <w:pPr>
              <w:spacing w:after="20"/>
              <w:jc w:val="right"/>
            </w:pPr>
            <w:r/>
            <w:r>
              <w:rPr>
                <w:b w:val="0"/>
                <w:i w:val="0"/>
                <w:sz w:val="17"/>
              </w:rPr>
              <w:t>1.05</w:t>
            </w:r>
          </w:p>
        </w:tc>
      </w:tr>
      <w:tr>
        <w:trPr>
          <w:cantSplit/>
        </w:trPr>
        <w:tc>
          <w:tcPr>
            <w:tcW w:type="dxa" w:w="1134"/>
            <w:shd w:val="clear" w:color="auto" w:fill="EEF3F8"/>
          </w:tcPr>
          <w:p>
            <w:pPr>
              <w:spacing w:after="20"/>
            </w:pPr>
            <w:r/>
            <w:r>
              <w:rPr>
                <w:b w:val="0"/>
                <w:i w:val="0"/>
                <w:sz w:val="17"/>
              </w:rPr>
              <w:t>Aug</w:t>
            </w:r>
          </w:p>
        </w:tc>
        <w:tc>
          <w:tcPr>
            <w:tcW w:type="dxa" w:w="1247"/>
            <w:shd w:val="clear" w:color="auto" w:fill="EEF3F8"/>
          </w:tcPr>
          <w:p>
            <w:pPr>
              <w:spacing w:after="20"/>
              <w:jc w:val="right"/>
            </w:pPr>
            <w:r/>
            <w:r>
              <w:rPr>
                <w:b w:val="0"/>
                <w:i w:val="0"/>
                <w:sz w:val="17"/>
              </w:rPr>
              <w:t>1.06</w:t>
            </w:r>
          </w:p>
        </w:tc>
        <w:tc>
          <w:tcPr>
            <w:tcW w:type="dxa" w:w="1247"/>
            <w:shd w:val="clear" w:color="auto" w:fill="EEF3F8"/>
          </w:tcPr>
          <w:p>
            <w:pPr>
              <w:spacing w:after="20"/>
              <w:jc w:val="right"/>
            </w:pPr>
            <w:r/>
            <w:r>
              <w:rPr>
                <w:b w:val="0"/>
                <w:i w:val="0"/>
                <w:sz w:val="17"/>
              </w:rPr>
              <w:t>1.03</w:t>
            </w:r>
          </w:p>
        </w:tc>
        <w:tc>
          <w:tcPr>
            <w:tcW w:type="dxa" w:w="1247"/>
            <w:shd w:val="clear" w:color="auto" w:fill="EEF3F8"/>
          </w:tcPr>
          <w:p>
            <w:pPr>
              <w:spacing w:after="20"/>
              <w:jc w:val="right"/>
            </w:pPr>
            <w:r/>
            <w:r>
              <w:rPr>
                <w:b w:val="0"/>
                <w:i w:val="0"/>
                <w:sz w:val="17"/>
              </w:rPr>
              <w:t>1.09</w:t>
            </w:r>
          </w:p>
        </w:tc>
        <w:tc>
          <w:tcPr>
            <w:tcW w:type="dxa" w:w="1247"/>
            <w:shd w:val="clear" w:color="auto" w:fill="EEF3F8"/>
          </w:tcPr>
          <w:p>
            <w:pPr>
              <w:spacing w:after="20"/>
              <w:jc w:val="right"/>
            </w:pPr>
            <w:r/>
            <w:r>
              <w:rPr>
                <w:b w:val="0"/>
                <w:i w:val="0"/>
                <w:sz w:val="17"/>
              </w:rPr>
              <w:t>1.00</w:t>
            </w:r>
          </w:p>
        </w:tc>
        <w:tc>
          <w:tcPr>
            <w:tcW w:type="dxa" w:w="1247"/>
            <w:shd w:val="clear" w:color="auto" w:fill="EEF3F8"/>
          </w:tcPr>
          <w:p>
            <w:pPr>
              <w:spacing w:after="20"/>
              <w:jc w:val="right"/>
            </w:pPr>
            <w:r/>
            <w:r>
              <w:rPr>
                <w:b w:val="0"/>
                <w:i w:val="0"/>
                <w:sz w:val="17"/>
              </w:rPr>
              <w:t>1.06</w:t>
            </w:r>
          </w:p>
        </w:tc>
      </w:tr>
      <w:tr>
        <w:trPr>
          <w:cantSplit/>
        </w:trPr>
        <w:tc>
          <w:tcPr>
            <w:tcW w:type="dxa" w:w="1134"/>
          </w:tcPr>
          <w:p>
            <w:pPr>
              <w:spacing w:after="20"/>
            </w:pPr>
            <w:r/>
            <w:r>
              <w:rPr>
                <w:b w:val="0"/>
                <w:i w:val="0"/>
                <w:sz w:val="17"/>
              </w:rPr>
              <w:t>Sep</w:t>
            </w:r>
          </w:p>
        </w:tc>
        <w:tc>
          <w:tcPr>
            <w:tcW w:type="dxa" w:w="1247"/>
          </w:tcPr>
          <w:p>
            <w:pPr>
              <w:spacing w:after="20"/>
              <w:jc w:val="right"/>
            </w:pPr>
            <w:r/>
            <w:r>
              <w:rPr>
                <w:b w:val="0"/>
                <w:i w:val="0"/>
                <w:sz w:val="17"/>
              </w:rPr>
              <w:t>1.02</w:t>
            </w:r>
          </w:p>
        </w:tc>
        <w:tc>
          <w:tcPr>
            <w:tcW w:type="dxa" w:w="1247"/>
          </w:tcPr>
          <w:p>
            <w:pPr>
              <w:spacing w:after="20"/>
              <w:jc w:val="right"/>
            </w:pPr>
            <w:r/>
            <w:r>
              <w:rPr>
                <w:b w:val="0"/>
                <w:i w:val="0"/>
                <w:sz w:val="17"/>
              </w:rPr>
              <w:t>1.02</w:t>
            </w:r>
          </w:p>
        </w:tc>
        <w:tc>
          <w:tcPr>
            <w:tcW w:type="dxa" w:w="1247"/>
          </w:tcPr>
          <w:p>
            <w:pPr>
              <w:spacing w:after="20"/>
              <w:jc w:val="right"/>
            </w:pPr>
            <w:r/>
            <w:r>
              <w:rPr>
                <w:b w:val="0"/>
                <w:i w:val="0"/>
                <w:sz w:val="17"/>
              </w:rPr>
              <w:t>1.02</w:t>
            </w:r>
          </w:p>
        </w:tc>
        <w:tc>
          <w:tcPr>
            <w:tcW w:type="dxa" w:w="1247"/>
          </w:tcPr>
          <w:p>
            <w:pPr>
              <w:spacing w:after="20"/>
              <w:jc w:val="right"/>
            </w:pPr>
            <w:r/>
            <w:r>
              <w:rPr>
                <w:b w:val="0"/>
                <w:i w:val="0"/>
                <w:sz w:val="17"/>
              </w:rPr>
              <w:t>0.99</w:t>
            </w:r>
          </w:p>
        </w:tc>
        <w:tc>
          <w:tcPr>
            <w:tcW w:type="dxa" w:w="1247"/>
          </w:tcPr>
          <w:p>
            <w:pPr>
              <w:spacing w:after="20"/>
              <w:jc w:val="right"/>
            </w:pPr>
            <w:r/>
            <w:r>
              <w:rPr>
                <w:b w:val="0"/>
                <w:i w:val="0"/>
                <w:sz w:val="17"/>
              </w:rPr>
              <w:t>1.01</w:t>
            </w:r>
          </w:p>
        </w:tc>
      </w:tr>
      <w:tr>
        <w:trPr>
          <w:cantSplit/>
        </w:trPr>
        <w:tc>
          <w:tcPr>
            <w:tcW w:type="dxa" w:w="1134"/>
            <w:shd w:val="clear" w:color="auto" w:fill="EEF3F8"/>
          </w:tcPr>
          <w:p>
            <w:pPr>
              <w:spacing w:after="20"/>
            </w:pPr>
            <w:r/>
            <w:r>
              <w:rPr>
                <w:b w:val="0"/>
                <w:i w:val="0"/>
                <w:sz w:val="17"/>
              </w:rPr>
              <w:t>Oct</w:t>
            </w:r>
          </w:p>
        </w:tc>
        <w:tc>
          <w:tcPr>
            <w:tcW w:type="dxa" w:w="1247"/>
            <w:shd w:val="clear" w:color="auto" w:fill="EEF3F8"/>
          </w:tcPr>
          <w:p>
            <w:pPr>
              <w:spacing w:after="20"/>
              <w:jc w:val="right"/>
            </w:pPr>
            <w:r/>
            <w:r>
              <w:rPr>
                <w:b w:val="0"/>
                <w:i w:val="0"/>
                <w:sz w:val="17"/>
              </w:rPr>
              <w:t>1.08</w:t>
            </w:r>
          </w:p>
        </w:tc>
        <w:tc>
          <w:tcPr>
            <w:tcW w:type="dxa" w:w="1247"/>
            <w:shd w:val="clear" w:color="auto" w:fill="EEF3F8"/>
          </w:tcPr>
          <w:p>
            <w:pPr>
              <w:spacing w:after="20"/>
              <w:jc w:val="right"/>
            </w:pPr>
            <w:r/>
            <w:r>
              <w:rPr>
                <w:b w:val="0"/>
                <w:i w:val="0"/>
                <w:sz w:val="17"/>
              </w:rPr>
              <w:t>1.07</w:t>
            </w:r>
          </w:p>
        </w:tc>
        <w:tc>
          <w:tcPr>
            <w:tcW w:type="dxa" w:w="1247"/>
            <w:shd w:val="clear" w:color="auto" w:fill="EEF3F8"/>
          </w:tcPr>
          <w:p>
            <w:pPr>
              <w:spacing w:after="20"/>
              <w:jc w:val="right"/>
            </w:pPr>
            <w:r/>
            <w:r>
              <w:rPr>
                <w:b w:val="0"/>
                <w:i w:val="0"/>
                <w:sz w:val="17"/>
              </w:rPr>
              <w:t>1.05</w:t>
            </w:r>
          </w:p>
        </w:tc>
        <w:tc>
          <w:tcPr>
            <w:tcW w:type="dxa" w:w="1247"/>
            <w:shd w:val="clear" w:color="auto" w:fill="EEF3F8"/>
          </w:tcPr>
          <w:p>
            <w:pPr>
              <w:spacing w:after="20"/>
              <w:jc w:val="right"/>
            </w:pPr>
            <w:r/>
            <w:r>
              <w:rPr>
                <w:b w:val="0"/>
                <w:i w:val="0"/>
                <w:sz w:val="17"/>
              </w:rPr>
              <w:t>0.99</w:t>
            </w:r>
          </w:p>
        </w:tc>
        <w:tc>
          <w:tcPr>
            <w:tcW w:type="dxa" w:w="1247"/>
            <w:shd w:val="clear" w:color="auto" w:fill="EEF3F8"/>
          </w:tcPr>
          <w:p>
            <w:pPr>
              <w:spacing w:after="20"/>
              <w:jc w:val="right"/>
            </w:pPr>
            <w:r/>
            <w:r>
              <w:rPr>
                <w:b w:val="0"/>
                <w:i w:val="0"/>
                <w:sz w:val="17"/>
              </w:rPr>
              <w:t>1.07</w:t>
            </w:r>
          </w:p>
        </w:tc>
      </w:tr>
      <w:tr>
        <w:trPr>
          <w:cantSplit/>
        </w:trPr>
        <w:tc>
          <w:tcPr>
            <w:tcW w:type="dxa" w:w="1134"/>
          </w:tcPr>
          <w:p>
            <w:pPr>
              <w:spacing w:after="20"/>
            </w:pPr>
            <w:r/>
            <w:r>
              <w:rPr>
                <w:b w:val="0"/>
                <w:i w:val="0"/>
                <w:sz w:val="17"/>
              </w:rPr>
              <w:t>Nov</w:t>
            </w:r>
          </w:p>
        </w:tc>
        <w:tc>
          <w:tcPr>
            <w:tcW w:type="dxa" w:w="1247"/>
          </w:tcPr>
          <w:p>
            <w:pPr>
              <w:spacing w:after="20"/>
              <w:jc w:val="right"/>
            </w:pPr>
            <w:r/>
            <w:r>
              <w:rPr>
                <w:b w:val="0"/>
                <w:i w:val="0"/>
                <w:sz w:val="17"/>
              </w:rPr>
              <w:t>0.98</w:t>
            </w:r>
          </w:p>
        </w:tc>
        <w:tc>
          <w:tcPr>
            <w:tcW w:type="dxa" w:w="1247"/>
          </w:tcPr>
          <w:p>
            <w:pPr>
              <w:spacing w:after="20"/>
              <w:jc w:val="right"/>
            </w:pPr>
            <w:r/>
            <w:r>
              <w:rPr>
                <w:b w:val="0"/>
                <w:i w:val="0"/>
                <w:sz w:val="17"/>
              </w:rPr>
              <w:t>0.96</w:t>
            </w:r>
          </w:p>
        </w:tc>
        <w:tc>
          <w:tcPr>
            <w:tcW w:type="dxa" w:w="1247"/>
          </w:tcPr>
          <w:p>
            <w:pPr>
              <w:spacing w:after="20"/>
              <w:jc w:val="right"/>
            </w:pPr>
            <w:r/>
            <w:r>
              <w:rPr>
                <w:b w:val="0"/>
                <w:i w:val="0"/>
                <w:sz w:val="17"/>
              </w:rPr>
              <w:t>1.04</w:t>
            </w:r>
          </w:p>
        </w:tc>
        <w:tc>
          <w:tcPr>
            <w:tcW w:type="dxa" w:w="1247"/>
          </w:tcPr>
          <w:p>
            <w:pPr>
              <w:spacing w:after="20"/>
              <w:jc w:val="right"/>
            </w:pPr>
            <w:r/>
            <w:r>
              <w:rPr>
                <w:b w:val="0"/>
                <w:i w:val="0"/>
                <w:sz w:val="17"/>
              </w:rPr>
              <w:t>1.00</w:t>
            </w:r>
          </w:p>
        </w:tc>
        <w:tc>
          <w:tcPr>
            <w:tcW w:type="dxa" w:w="1247"/>
          </w:tcPr>
          <w:p>
            <w:pPr>
              <w:spacing w:after="20"/>
              <w:jc w:val="right"/>
            </w:pPr>
            <w:r/>
            <w:r>
              <w:rPr>
                <w:b w:val="0"/>
                <w:i w:val="0"/>
                <w:sz w:val="17"/>
              </w:rPr>
              <w:t>0.99</w:t>
            </w:r>
          </w:p>
        </w:tc>
      </w:tr>
      <w:tr>
        <w:trPr>
          <w:cantSplit/>
        </w:trPr>
        <w:tc>
          <w:tcPr>
            <w:tcW w:type="dxa" w:w="1134"/>
            <w:shd w:val="clear" w:color="auto" w:fill="EEF3F8"/>
          </w:tcPr>
          <w:p>
            <w:pPr>
              <w:spacing w:after="20"/>
            </w:pPr>
            <w:r/>
            <w:r>
              <w:rPr>
                <w:b w:val="0"/>
                <w:i w:val="0"/>
                <w:sz w:val="17"/>
              </w:rPr>
              <w:t>Dec</w:t>
            </w:r>
          </w:p>
        </w:tc>
        <w:tc>
          <w:tcPr>
            <w:tcW w:type="dxa" w:w="1247"/>
            <w:shd w:val="clear" w:color="auto" w:fill="EEF3F8"/>
          </w:tcPr>
          <w:p>
            <w:pPr>
              <w:spacing w:after="20"/>
              <w:jc w:val="right"/>
            </w:pPr>
            <w:r/>
            <w:r>
              <w:rPr>
                <w:b w:val="0"/>
                <w:i w:val="0"/>
                <w:sz w:val="17"/>
              </w:rPr>
              <w:t>1.02</w:t>
            </w:r>
          </w:p>
        </w:tc>
        <w:tc>
          <w:tcPr>
            <w:tcW w:type="dxa" w:w="1247"/>
            <w:shd w:val="clear" w:color="auto" w:fill="EEF3F8"/>
          </w:tcPr>
          <w:p>
            <w:pPr>
              <w:spacing w:after="20"/>
              <w:jc w:val="right"/>
            </w:pPr>
            <w:r/>
            <w:r>
              <w:rPr>
                <w:b w:val="0"/>
                <w:i w:val="0"/>
                <w:sz w:val="17"/>
              </w:rPr>
              <w:t>1.15</w:t>
            </w:r>
          </w:p>
        </w:tc>
        <w:tc>
          <w:tcPr>
            <w:tcW w:type="dxa" w:w="1247"/>
            <w:shd w:val="clear" w:color="auto" w:fill="EEF3F8"/>
          </w:tcPr>
          <w:p>
            <w:pPr>
              <w:spacing w:after="20"/>
              <w:jc w:val="right"/>
            </w:pPr>
            <w:r/>
            <w:r>
              <w:rPr>
                <w:b w:val="0"/>
                <w:i w:val="0"/>
                <w:sz w:val="17"/>
              </w:rPr>
              <w:t>1.08</w:t>
            </w:r>
          </w:p>
        </w:tc>
        <w:tc>
          <w:tcPr>
            <w:tcW w:type="dxa" w:w="1247"/>
            <w:shd w:val="clear" w:color="auto" w:fill="EEF3F8"/>
          </w:tcPr>
          <w:p>
            <w:pPr>
              <w:spacing w:after="20"/>
              <w:jc w:val="right"/>
            </w:pPr>
            <w:r/>
            <w:r>
              <w:rPr>
                <w:b w:val="0"/>
                <w:i w:val="0"/>
                <w:sz w:val="17"/>
              </w:rPr>
              <w:t>1.03</w:t>
            </w:r>
          </w:p>
        </w:tc>
        <w:tc>
          <w:tcPr>
            <w:tcW w:type="dxa" w:w="1247"/>
            <w:shd w:val="clear" w:color="auto" w:fill="EEF3F8"/>
          </w:tcPr>
          <w:p>
            <w:pPr>
              <w:spacing w:after="20"/>
              <w:jc w:val="right"/>
            </w:pPr>
            <w:r/>
            <w:r>
              <w:rPr>
                <w:b w:val="0"/>
                <w:i w:val="0"/>
                <w:sz w:val="17"/>
              </w:rPr>
              <w:t>1.06</w:t>
            </w:r>
          </w:p>
        </w:tc>
      </w:tr>
    </w:tbl>
    <w:p>
      <w:r>
        <w:rPr>
          <w:i/>
          <w:sz w:val="16"/>
        </w:rPr>
        <w:t>Seasonal index = month ÷ calendar-year mean, averaged over 2024 and 2025 (two observations per month; indicative only).</w:t>
      </w:r>
    </w:p>
    <w:p>
      <w:pPr>
        <w:jc w:val="center"/>
      </w:pPr>
      <w:r>
        <w:drawing>
          <wp:inline xmlns:a="http://schemas.openxmlformats.org/drawingml/2006/main" xmlns:pic="http://schemas.openxmlformats.org/drawingml/2006/picture">
            <wp:extent cx="5760000" cy="2611200"/>
            <wp:docPr id="4" name="Picture 4"/>
            <wp:cNvGraphicFramePr>
              <a:graphicFrameLocks noChangeAspect="1"/>
            </wp:cNvGraphicFramePr>
            <a:graphic>
              <a:graphicData uri="http://schemas.openxmlformats.org/drawingml/2006/picture">
                <pic:pic>
                  <pic:nvPicPr>
                    <pic:cNvPr id="0" name="f13_seasonal_overlay.png"/>
                    <pic:cNvPicPr/>
                  </pic:nvPicPr>
                  <pic:blipFill>
                    <a:blip r:embed="rId13"/>
                    <a:stretch>
                      <a:fillRect/>
                    </a:stretch>
                  </pic:blipFill>
                  <pic:spPr>
                    <a:xfrm>
                      <a:off x="0" y="0"/>
                      <a:ext cx="5760000" cy="2611200"/>
                    </a:xfrm>
                    <a:prstGeom prst="rect"/>
                  </pic:spPr>
                </pic:pic>
              </a:graphicData>
            </a:graphic>
          </wp:inline>
        </w:drawing>
      </w:r>
    </w:p>
    <w:p>
      <w:pPr>
        <w:jc w:val="center"/>
      </w:pPr>
      <w:r>
        <w:rPr>
          <w:i/>
          <w:sz w:val="17"/>
        </w:rPr>
        <w:t>Figure 4. Diesel and petrol by calendar month, 2024 (dotted) and 2025 (solid).</w:t>
      </w:r>
    </w:p>
    <w:p>
      <w:r>
        <w:rPr>
          <w:b w:val="0"/>
          <w:i w:val="0"/>
        </w:rPr>
        <w:t>Demand is lowest in February and June (indices 0.90–0.94) and highest in July–October and December. The June trough is common to all large products. Because only two observations exist per month, the forecasting models shrink the seasonal component by half.</w:t>
      </w:r>
    </w:p>
    <w:p>
      <w:pPr>
        <w:pStyle w:val="Heading2"/>
      </w:pPr>
      <w:r>
        <w:t>4.4 Drivers</w:t>
      </w:r>
    </w:p>
    <w:p>
      <w:r>
        <w:rPr>
          <w:b w:val="0"/>
          <w:i w:val="0"/>
        </w:rPr>
        <w:t>The literature and the PDP identify price, income (GDP per capita), exchange rate, vehicle population, population and urbanisation, and substitute prices as drivers. Macroeconomic series (GDP, CPI) were not available monthly here, so the driver analysis is qualitative: 2025’s growth coincided with falling international crude prices, stable pump prices (diesel average KSh 169 per litre, a 1.9% coefficient of variation), 4.1% inflation, and expanding vehicle imports; transport inflation eased to 3.2%. The PDP’s own demand equations use fuel price, lagged demand and economic activity as drivers (Section 7).</w:t>
      </w:r>
    </w:p>
    <w:p>
      <w:pPr>
        <w:pStyle w:val="Heading2"/>
      </w:pPr>
      <w:r>
        <w:t>4.5 Substitution: LPG and kerosene</w:t>
      </w:r>
    </w:p>
    <w:p>
      <w:r>
        <w:rPr>
          <w:b w:val="0"/>
          <w:i w:val="0"/>
        </w:rPr>
        <w:t>The research question “is Kenya moving structurally away from kerosene?” cannot be answered from this window. Both fuels grew: LPG +14.7%, kerosene +18.9% (from a tiny 37 kt base, 0.8% of demand). The month-level year-on-year correlation is −0.28; the level correlation is +0.59 (common trend). The PDP projects kerosene falling 4.6% a year; the 2025 uptick is a reason to monitor, not evidence against the long-run decline.</w:t>
      </w:r>
    </w:p>
    <w:p>
      <w:r>
        <w:rPr>
          <w:b/>
          <w:i w:val="0"/>
        </w:rPr>
        <w:t>LPG versus charcoal.</w:t>
      </w:r>
      <w:r>
        <w:rPr>
          <w:b w:val="0"/>
          <w:i w:val="0"/>
        </w:rPr>
        <w:t xml:space="preserve"> The LPG-to-charcoal price ratio (per kg) fell 9.4% from January 2025 to March 2026 because charcoal prices rose 10.7% while LPG stayed flat. The cost of delivered cooking energy, under stated stove-efficiency assumptions, is below:</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928"/>
            <w:shd w:val="clear" w:color="auto" w:fill="1F4E79"/>
          </w:tcPr>
          <w:p>
            <w:pPr>
              <w:spacing w:after="20"/>
            </w:pPr>
            <w:r/>
            <w:r>
              <w:rPr>
                <w:b/>
                <w:color w:val="FFFFFF"/>
                <w:sz w:val="17"/>
              </w:rPr>
              <w:t>LPG stove efficiency</w:t>
            </w:r>
          </w:p>
        </w:tc>
        <w:tc>
          <w:tcPr>
            <w:tcW w:type="dxa" w:w="2041"/>
            <w:shd w:val="clear" w:color="auto" w:fill="1F4E79"/>
          </w:tcPr>
          <w:p>
            <w:pPr>
              <w:spacing w:after="20"/>
            </w:pPr>
            <w:r/>
            <w:r>
              <w:rPr>
                <w:b/>
                <w:color w:val="FFFFFF"/>
                <w:sz w:val="17"/>
              </w:rPr>
              <w:t>Charcoal stove efficiency</w:t>
            </w:r>
          </w:p>
        </w:tc>
        <w:tc>
          <w:tcPr>
            <w:tcW w:type="dxa" w:w="1928"/>
            <w:shd w:val="clear" w:color="auto" w:fill="1F4E79"/>
          </w:tcPr>
          <w:p>
            <w:pPr>
              <w:spacing w:after="20"/>
            </w:pPr>
            <w:r/>
            <w:r>
              <w:rPr>
                <w:b/>
                <w:color w:val="FFFFFF"/>
                <w:sz w:val="17"/>
              </w:rPr>
              <w:t>LPG, KSh per useful MJ</w:t>
            </w:r>
          </w:p>
        </w:tc>
        <w:tc>
          <w:tcPr>
            <w:tcW w:type="dxa" w:w="2154"/>
            <w:shd w:val="clear" w:color="auto" w:fill="1F4E79"/>
          </w:tcPr>
          <w:p>
            <w:pPr>
              <w:spacing w:after="20"/>
            </w:pPr>
            <w:r/>
            <w:r>
              <w:rPr>
                <w:b/>
                <w:color w:val="FFFFFF"/>
                <w:sz w:val="17"/>
              </w:rPr>
              <w:t>Charcoal, KSh per useful MJ</w:t>
            </w:r>
          </w:p>
        </w:tc>
        <w:tc>
          <w:tcPr>
            <w:tcW w:type="dxa" w:w="1361"/>
            <w:shd w:val="clear" w:color="auto" w:fill="1F4E79"/>
          </w:tcPr>
          <w:p>
            <w:pPr>
              <w:spacing w:after="20"/>
            </w:pPr>
            <w:r/>
            <w:r>
              <w:rPr>
                <w:b/>
                <w:color w:val="FFFFFF"/>
                <w:sz w:val="17"/>
              </w:rPr>
              <w:t>LPG ÷ charcoal</w:t>
            </w:r>
          </w:p>
        </w:tc>
      </w:tr>
      <w:tr>
        <w:trPr>
          <w:cantSplit/>
        </w:trPr>
        <w:tc>
          <w:tcPr>
            <w:tcW w:type="dxa" w:w="1928"/>
          </w:tcPr>
          <w:p>
            <w:pPr>
              <w:spacing w:after="20"/>
            </w:pPr>
            <w:r/>
            <w:r>
              <w:rPr>
                <w:b w:val="0"/>
                <w:i w:val="0"/>
                <w:sz w:val="17"/>
              </w:rPr>
              <w:t>55%</w:t>
            </w:r>
          </w:p>
        </w:tc>
        <w:tc>
          <w:tcPr>
            <w:tcW w:type="dxa" w:w="2041"/>
          </w:tcPr>
          <w:p>
            <w:pPr>
              <w:spacing w:after="20"/>
              <w:jc w:val="right"/>
            </w:pPr>
            <w:r/>
            <w:r>
              <w:rPr>
                <w:b w:val="0"/>
                <w:i w:val="0"/>
                <w:sz w:val="17"/>
              </w:rPr>
              <w:t>20%</w:t>
            </w:r>
          </w:p>
        </w:tc>
        <w:tc>
          <w:tcPr>
            <w:tcW w:type="dxa" w:w="1928"/>
          </w:tcPr>
          <w:p>
            <w:pPr>
              <w:spacing w:after="20"/>
              <w:jc w:val="right"/>
            </w:pPr>
            <w:r/>
            <w:r>
              <w:rPr>
                <w:b w:val="0"/>
                <w:i w:val="0"/>
                <w:sz w:val="17"/>
              </w:rPr>
              <w:t>9.5</w:t>
            </w:r>
          </w:p>
        </w:tc>
        <w:tc>
          <w:tcPr>
            <w:tcW w:type="dxa" w:w="2154"/>
          </w:tcPr>
          <w:p>
            <w:pPr>
              <w:spacing w:after="20"/>
              <w:jc w:val="right"/>
            </w:pPr>
            <w:r/>
            <w:r>
              <w:rPr>
                <w:b w:val="0"/>
                <w:i w:val="0"/>
                <w:sz w:val="17"/>
              </w:rPr>
              <w:t>16.5</w:t>
            </w:r>
          </w:p>
        </w:tc>
        <w:tc>
          <w:tcPr>
            <w:tcW w:type="dxa" w:w="1361"/>
          </w:tcPr>
          <w:p>
            <w:pPr>
              <w:spacing w:after="20"/>
              <w:jc w:val="right"/>
            </w:pPr>
            <w:r/>
            <w:r>
              <w:rPr>
                <w:b w:val="0"/>
                <w:i w:val="0"/>
                <w:sz w:val="17"/>
              </w:rPr>
              <w:t>0.58</w:t>
            </w:r>
          </w:p>
        </w:tc>
      </w:tr>
      <w:tr>
        <w:trPr>
          <w:cantSplit/>
        </w:trPr>
        <w:tc>
          <w:tcPr>
            <w:tcW w:type="dxa" w:w="1928"/>
            <w:shd w:val="clear" w:color="auto" w:fill="EEF3F8"/>
          </w:tcPr>
          <w:p>
            <w:pPr>
              <w:spacing w:after="20"/>
            </w:pPr>
            <w:r/>
            <w:r>
              <w:rPr>
                <w:b w:val="0"/>
                <w:i w:val="0"/>
                <w:sz w:val="17"/>
              </w:rPr>
              <w:t>55%</w:t>
            </w:r>
          </w:p>
        </w:tc>
        <w:tc>
          <w:tcPr>
            <w:tcW w:type="dxa" w:w="2041"/>
            <w:shd w:val="clear" w:color="auto" w:fill="EEF3F8"/>
          </w:tcPr>
          <w:p>
            <w:pPr>
              <w:spacing w:after="20"/>
              <w:jc w:val="right"/>
            </w:pPr>
            <w:r/>
            <w:r>
              <w:rPr>
                <w:b w:val="0"/>
                <w:i w:val="0"/>
                <w:sz w:val="17"/>
              </w:rPr>
              <w:t>25%</w:t>
            </w:r>
          </w:p>
        </w:tc>
        <w:tc>
          <w:tcPr>
            <w:tcW w:type="dxa" w:w="1928"/>
            <w:shd w:val="clear" w:color="auto" w:fill="EEF3F8"/>
          </w:tcPr>
          <w:p>
            <w:pPr>
              <w:spacing w:after="20"/>
              <w:jc w:val="right"/>
            </w:pPr>
            <w:r/>
            <w:r>
              <w:rPr>
                <w:b w:val="0"/>
                <w:i w:val="0"/>
                <w:sz w:val="17"/>
              </w:rPr>
              <w:t>9.5</w:t>
            </w:r>
          </w:p>
        </w:tc>
        <w:tc>
          <w:tcPr>
            <w:tcW w:type="dxa" w:w="2154"/>
            <w:shd w:val="clear" w:color="auto" w:fill="EEF3F8"/>
          </w:tcPr>
          <w:p>
            <w:pPr>
              <w:spacing w:after="20"/>
              <w:jc w:val="right"/>
            </w:pPr>
            <w:r/>
            <w:r>
              <w:rPr>
                <w:b w:val="0"/>
                <w:i w:val="0"/>
                <w:sz w:val="17"/>
              </w:rPr>
              <w:t>13.2</w:t>
            </w:r>
          </w:p>
        </w:tc>
        <w:tc>
          <w:tcPr>
            <w:tcW w:type="dxa" w:w="1361"/>
            <w:shd w:val="clear" w:color="auto" w:fill="EEF3F8"/>
          </w:tcPr>
          <w:p>
            <w:pPr>
              <w:spacing w:after="20"/>
              <w:jc w:val="right"/>
            </w:pPr>
            <w:r/>
            <w:r>
              <w:rPr>
                <w:b w:val="0"/>
                <w:i w:val="0"/>
                <w:sz w:val="17"/>
              </w:rPr>
              <w:t>0.72</w:t>
            </w:r>
          </w:p>
        </w:tc>
      </w:tr>
      <w:tr>
        <w:trPr>
          <w:cantSplit/>
        </w:trPr>
        <w:tc>
          <w:tcPr>
            <w:tcW w:type="dxa" w:w="1928"/>
          </w:tcPr>
          <w:p>
            <w:pPr>
              <w:spacing w:after="20"/>
            </w:pPr>
            <w:r/>
            <w:r>
              <w:rPr>
                <w:b w:val="0"/>
                <w:i w:val="0"/>
                <w:sz w:val="17"/>
              </w:rPr>
              <w:t>55%</w:t>
            </w:r>
          </w:p>
        </w:tc>
        <w:tc>
          <w:tcPr>
            <w:tcW w:type="dxa" w:w="2041"/>
          </w:tcPr>
          <w:p>
            <w:pPr>
              <w:spacing w:after="20"/>
              <w:jc w:val="right"/>
            </w:pPr>
            <w:r/>
            <w:r>
              <w:rPr>
                <w:b w:val="0"/>
                <w:i w:val="0"/>
                <w:sz w:val="17"/>
              </w:rPr>
              <w:t>30%</w:t>
            </w:r>
          </w:p>
        </w:tc>
        <w:tc>
          <w:tcPr>
            <w:tcW w:type="dxa" w:w="1928"/>
          </w:tcPr>
          <w:p>
            <w:pPr>
              <w:spacing w:after="20"/>
              <w:jc w:val="right"/>
            </w:pPr>
            <w:r/>
            <w:r>
              <w:rPr>
                <w:b w:val="0"/>
                <w:i w:val="0"/>
                <w:sz w:val="17"/>
              </w:rPr>
              <w:t>9.5</w:t>
            </w:r>
          </w:p>
        </w:tc>
        <w:tc>
          <w:tcPr>
            <w:tcW w:type="dxa" w:w="2154"/>
          </w:tcPr>
          <w:p>
            <w:pPr>
              <w:spacing w:after="20"/>
              <w:jc w:val="right"/>
            </w:pPr>
            <w:r/>
            <w:r>
              <w:rPr>
                <w:b w:val="0"/>
                <w:i w:val="0"/>
                <w:sz w:val="17"/>
              </w:rPr>
              <w:t>11.0</w:t>
            </w:r>
          </w:p>
        </w:tc>
        <w:tc>
          <w:tcPr>
            <w:tcW w:type="dxa" w:w="1361"/>
          </w:tcPr>
          <w:p>
            <w:pPr>
              <w:spacing w:after="20"/>
              <w:jc w:val="right"/>
            </w:pPr>
            <w:r/>
            <w:r>
              <w:rPr>
                <w:b w:val="0"/>
                <w:i w:val="0"/>
                <w:sz w:val="17"/>
              </w:rPr>
              <w:t>0.87</w:t>
            </w:r>
          </w:p>
        </w:tc>
      </w:tr>
      <w:tr>
        <w:trPr>
          <w:cantSplit/>
        </w:trPr>
        <w:tc>
          <w:tcPr>
            <w:tcW w:type="dxa" w:w="1928"/>
            <w:shd w:val="clear" w:color="auto" w:fill="EEF3F8"/>
          </w:tcPr>
          <w:p>
            <w:pPr>
              <w:spacing w:after="20"/>
            </w:pPr>
            <w:r/>
            <w:r>
              <w:rPr>
                <w:b w:val="0"/>
                <w:i w:val="0"/>
                <w:sz w:val="17"/>
              </w:rPr>
              <w:t>45%</w:t>
            </w:r>
          </w:p>
        </w:tc>
        <w:tc>
          <w:tcPr>
            <w:tcW w:type="dxa" w:w="2041"/>
            <w:shd w:val="clear" w:color="auto" w:fill="EEF3F8"/>
          </w:tcPr>
          <w:p>
            <w:pPr>
              <w:spacing w:after="20"/>
              <w:jc w:val="right"/>
            </w:pPr>
            <w:r/>
            <w:r>
              <w:rPr>
                <w:b w:val="0"/>
                <w:i w:val="0"/>
                <w:sz w:val="17"/>
              </w:rPr>
              <w:t>30%</w:t>
            </w:r>
          </w:p>
        </w:tc>
        <w:tc>
          <w:tcPr>
            <w:tcW w:type="dxa" w:w="1928"/>
            <w:shd w:val="clear" w:color="auto" w:fill="EEF3F8"/>
          </w:tcPr>
          <w:p>
            <w:pPr>
              <w:spacing w:after="20"/>
              <w:jc w:val="right"/>
            </w:pPr>
            <w:r/>
            <w:r>
              <w:rPr>
                <w:b w:val="0"/>
                <w:i w:val="0"/>
                <w:sz w:val="17"/>
              </w:rPr>
              <w:t>11.6</w:t>
            </w:r>
          </w:p>
        </w:tc>
        <w:tc>
          <w:tcPr>
            <w:tcW w:type="dxa" w:w="2154"/>
            <w:shd w:val="clear" w:color="auto" w:fill="EEF3F8"/>
          </w:tcPr>
          <w:p>
            <w:pPr>
              <w:spacing w:after="20"/>
              <w:jc w:val="right"/>
            </w:pPr>
            <w:r/>
            <w:r>
              <w:rPr>
                <w:b w:val="0"/>
                <w:i w:val="0"/>
                <w:sz w:val="17"/>
              </w:rPr>
              <w:t>11.0</w:t>
            </w:r>
          </w:p>
        </w:tc>
        <w:tc>
          <w:tcPr>
            <w:tcW w:type="dxa" w:w="1361"/>
            <w:shd w:val="clear" w:color="auto" w:fill="EEF3F8"/>
          </w:tcPr>
          <w:p>
            <w:pPr>
              <w:spacing w:after="20"/>
              <w:jc w:val="right"/>
            </w:pPr>
            <w:r/>
            <w:r>
              <w:rPr>
                <w:b w:val="0"/>
                <w:i w:val="0"/>
                <w:sz w:val="17"/>
              </w:rPr>
              <w:t>1.06</w:t>
            </w:r>
          </w:p>
        </w:tc>
      </w:tr>
    </w:tbl>
    <w:p>
      <w:r>
        <w:rPr>
          <w:i/>
          <w:sz w:val="16"/>
        </w:rPr>
        <w:t>March 2026 prices: LPG KSh 3,134.75 per 13 kg (KSh 241/kg); charcoal KSh 94/kg. Energy content assumed 46 MJ/kg (LPG) and 29 MJ/kg (charcoal); efficiencies are the author’s illustrative assumptions, not measured values.</w:t>
      </w:r>
    </w:p>
    <w:p>
      <w:r>
        <w:rPr>
          <w:b w:val="0"/>
          <w:i w:val="0"/>
        </w:rPr>
        <w:t>LPG is cheaper per unit of useful energy than charcoal unless the charcoal stove is efficient (30%) and the LPG stove is inefficient (45%). This supports the continued relative-price case for adoption but should not be read as a precise cost estimate; the 2026 shock, for which no LPG price data exist, may have moved the ratio.</w:t>
      </w:r>
    </w:p>
    <w:p>
      <w:r>
        <w:br w:type="page"/>
      </w:r>
    </w:p>
    <w:p>
      <w:pPr>
        <w:pStyle w:val="Heading1"/>
      </w:pPr>
      <w:r>
        <w:t>5. Price dynamics</w:t>
      </w:r>
    </w:p>
    <w:p>
      <w:pPr>
        <w:pStyle w:val="Heading2"/>
      </w:pPr>
      <w:r>
        <w:t>5.1 National prices to March 2026</w:t>
      </w:r>
    </w:p>
    <w:p>
      <w:pPr>
        <w:jc w:val="center"/>
      </w:pPr>
      <w:r>
        <w:drawing>
          <wp:inline xmlns:a="http://schemas.openxmlformats.org/drawingml/2006/main" xmlns:pic="http://schemas.openxmlformats.org/drawingml/2006/picture">
            <wp:extent cx="5760000" cy="2611200"/>
            <wp:docPr id="5" name="Picture 5"/>
            <wp:cNvGraphicFramePr>
              <a:graphicFrameLocks noChangeAspect="1"/>
            </wp:cNvGraphicFramePr>
            <a:graphic>
              <a:graphicData uri="http://schemas.openxmlformats.org/drawingml/2006/picture">
                <pic:pic>
                  <pic:nvPicPr>
                    <pic:cNvPr id="0" name="f5_prices.png"/>
                    <pic:cNvPicPr/>
                  </pic:nvPicPr>
                  <pic:blipFill>
                    <a:blip r:embed="rId14"/>
                    <a:stretch>
                      <a:fillRect/>
                    </a:stretch>
                  </pic:blipFill>
                  <pic:spPr>
                    <a:xfrm>
                      <a:off x="0" y="0"/>
                      <a:ext cx="5760000" cy="2611200"/>
                    </a:xfrm>
                    <a:prstGeom prst="rect"/>
                  </pic:spPr>
                </pic:pic>
              </a:graphicData>
            </a:graphic>
          </wp:inline>
        </w:drawing>
      </w:r>
    </w:p>
    <w:p>
      <w:pPr>
        <w:jc w:val="center"/>
      </w:pPr>
      <w:r>
        <w:rPr>
          <w:i/>
          <w:sz w:val="17"/>
        </w:rPr>
        <w:t>Figure 5. Pump prices: LeadAfrik national averages to March 2026 and EPRA Nairobi maxima (via press reports) thereafter.</w:t>
      </w:r>
    </w:p>
    <w:p>
      <w:r>
        <w:rPr>
          <w:b w:val="0"/>
          <w:i w:val="0"/>
        </w:rPr>
        <w:t>Through March 2026, administered prices were remarkably flat: petrol ranged KSh 175.30–187.37 per litre and diesel KSh 163.89–172.75 (CV below 2.5%); LPG ranged KSh 3,122–3,158 per 13 kg (CV 0.3%). Over the 15 months the changes are +1.2% (petrol), −0.1% (diesel), +0.3% (LPG), +10.7% (charcoal). Prices took only 7–8 distinct values: administered pricing means demand sees price changes in steps rather than as a continuous signal.</w:t>
      </w:r>
    </w:p>
    <w:p>
      <w:pPr>
        <w:jc w:val="center"/>
      </w:pPr>
      <w:r>
        <w:drawing>
          <wp:inline xmlns:a="http://schemas.openxmlformats.org/drawingml/2006/main" xmlns:pic="http://schemas.openxmlformats.org/drawingml/2006/picture">
            <wp:extent cx="5760000" cy="2457600"/>
            <wp:docPr id="6" name="Picture 6"/>
            <wp:cNvGraphicFramePr>
              <a:graphicFrameLocks noChangeAspect="1"/>
            </wp:cNvGraphicFramePr>
            <a:graphic>
              <a:graphicData uri="http://schemas.openxmlformats.org/drawingml/2006/picture">
                <pic:pic>
                  <pic:nvPicPr>
                    <pic:cNvPr id="0" name="f12_price_index.png"/>
                    <pic:cNvPicPr/>
                  </pic:nvPicPr>
                  <pic:blipFill>
                    <a:blip r:embed="rId15"/>
                    <a:stretch>
                      <a:fillRect/>
                    </a:stretch>
                  </pic:blipFill>
                  <pic:spPr>
                    <a:xfrm>
                      <a:off x="0" y="0"/>
                      <a:ext cx="5760000" cy="2457600"/>
                    </a:xfrm>
                    <a:prstGeom prst="rect"/>
                  </pic:spPr>
                </pic:pic>
              </a:graphicData>
            </a:graphic>
          </wp:inline>
        </w:drawing>
      </w:r>
    </w:p>
    <w:p>
      <w:pPr>
        <w:jc w:val="center"/>
      </w:pPr>
      <w:r>
        <w:rPr>
          <w:i/>
          <w:sz w:val="17"/>
        </w:rPr>
        <w:t>Figure 6. Price indices, January 2025 = 100.</w:t>
      </w:r>
    </w:p>
    <w:p>
      <w:r>
        <w:rPr>
          <w:b w:val="0"/>
          <w:i w:val="0"/>
        </w:rPr>
        <w:t>Real versus nominal: monthly CPI was not available in this environment, so prices are nominal. With 2025 inflation reported at 4.1%, flat nominal prices imply a real decline of roughly 4% in 2025, which is consistent with strong volume growth, but this cannot be tested here.</w:t>
      </w:r>
    </w:p>
    <w:p>
      <w:pPr>
        <w:pStyle w:val="Heading2"/>
      </w:pPr>
      <w:r>
        <w:t>5.2 The 2026 price path</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2608"/>
            <w:shd w:val="clear" w:color="auto" w:fill="1F4E79"/>
          </w:tcPr>
          <w:p>
            <w:pPr>
              <w:spacing w:after="20"/>
            </w:pPr>
            <w:r/>
            <w:r>
              <w:rPr>
                <w:b/>
                <w:color w:val="FFFFFF"/>
                <w:sz w:val="17"/>
              </w:rPr>
              <w:t>EPRA cycle (Nairobi max)</w:t>
            </w:r>
          </w:p>
        </w:tc>
        <w:tc>
          <w:tcPr>
            <w:tcW w:type="dxa" w:w="1474"/>
            <w:shd w:val="clear" w:color="auto" w:fill="1F4E79"/>
          </w:tcPr>
          <w:p>
            <w:pPr>
              <w:spacing w:after="20"/>
            </w:pPr>
            <w:r/>
            <w:r>
              <w:rPr>
                <w:b/>
                <w:color w:val="FFFFFF"/>
                <w:sz w:val="17"/>
              </w:rPr>
              <w:t>Petrol KSh/L</w:t>
            </w:r>
          </w:p>
        </w:tc>
        <w:tc>
          <w:tcPr>
            <w:tcW w:type="dxa" w:w="1474"/>
            <w:shd w:val="clear" w:color="auto" w:fill="1F4E79"/>
          </w:tcPr>
          <w:p>
            <w:pPr>
              <w:spacing w:after="20"/>
            </w:pPr>
            <w:r/>
            <w:r>
              <w:rPr>
                <w:b/>
                <w:color w:val="FFFFFF"/>
                <w:sz w:val="17"/>
              </w:rPr>
              <w:t>Diesel KSh/L</w:t>
            </w:r>
          </w:p>
        </w:tc>
        <w:tc>
          <w:tcPr>
            <w:tcW w:type="dxa" w:w="1587"/>
            <w:shd w:val="clear" w:color="auto" w:fill="1F4E79"/>
          </w:tcPr>
          <w:p>
            <w:pPr>
              <w:spacing w:after="20"/>
            </w:pPr>
            <w:r/>
            <w:r>
              <w:rPr>
                <w:b/>
                <w:color w:val="FFFFFF"/>
                <w:sz w:val="17"/>
              </w:rPr>
              <w:t>Kerosene KSh/L</w:t>
            </w:r>
          </w:p>
        </w:tc>
        <w:tc>
          <w:tcPr>
            <w:tcW w:type="dxa" w:w="2041"/>
            <w:shd w:val="clear" w:color="auto" w:fill="1F4E79"/>
          </w:tcPr>
          <w:p>
            <w:pPr>
              <w:spacing w:after="20"/>
            </w:pPr>
            <w:r/>
            <w:r>
              <w:rPr>
                <w:b/>
                <w:color w:val="FFFFFF"/>
                <w:sz w:val="17"/>
              </w:rPr>
              <w:t>Diesel vs Mar-26 cycle</w:t>
            </w:r>
          </w:p>
        </w:tc>
      </w:tr>
      <w:tr>
        <w:trPr>
          <w:cantSplit/>
        </w:trPr>
        <w:tc>
          <w:tcPr>
            <w:tcW w:type="dxa" w:w="2608"/>
          </w:tcPr>
          <w:p>
            <w:pPr>
              <w:spacing w:after="20"/>
            </w:pPr>
            <w:r/>
            <w:r>
              <w:rPr>
                <w:b w:val="0"/>
                <w:i w:val="0"/>
                <w:sz w:val="17"/>
              </w:rPr>
              <w:t>15 Mar–14 Apr 2026</w:t>
            </w:r>
          </w:p>
        </w:tc>
        <w:tc>
          <w:tcPr>
            <w:tcW w:type="dxa" w:w="1474"/>
          </w:tcPr>
          <w:p>
            <w:pPr>
              <w:spacing w:after="20"/>
              <w:jc w:val="right"/>
            </w:pPr>
            <w:r/>
            <w:r>
              <w:rPr>
                <w:b w:val="0"/>
                <w:i w:val="0"/>
                <w:sz w:val="17"/>
              </w:rPr>
              <w:t>178.28</w:t>
            </w:r>
          </w:p>
        </w:tc>
        <w:tc>
          <w:tcPr>
            <w:tcW w:type="dxa" w:w="1474"/>
          </w:tcPr>
          <w:p>
            <w:pPr>
              <w:spacing w:after="20"/>
              <w:jc w:val="right"/>
            </w:pPr>
            <w:r/>
            <w:r>
              <w:rPr>
                <w:b w:val="0"/>
                <w:i w:val="0"/>
                <w:sz w:val="17"/>
              </w:rPr>
              <w:t>166.54</w:t>
            </w:r>
          </w:p>
        </w:tc>
        <w:tc>
          <w:tcPr>
            <w:tcW w:type="dxa" w:w="1587"/>
          </w:tcPr>
          <w:p>
            <w:pPr>
              <w:spacing w:after="20"/>
              <w:jc w:val="right"/>
            </w:pPr>
            <w:r/>
            <w:r>
              <w:rPr>
                <w:b w:val="0"/>
                <w:i w:val="0"/>
                <w:sz w:val="17"/>
              </w:rPr>
              <w:t>152.78</w:t>
            </w:r>
          </w:p>
        </w:tc>
        <w:tc>
          <w:tcPr>
            <w:tcW w:type="dxa" w:w="2041"/>
          </w:tcPr>
          <w:p>
            <w:pPr>
              <w:spacing w:after="20"/>
            </w:pPr>
            <w:r/>
            <w:r>
              <w:rPr>
                <w:b w:val="0"/>
                <w:i w:val="0"/>
                <w:sz w:val="17"/>
              </w:rPr>
              <w:t>—</w:t>
            </w:r>
          </w:p>
        </w:tc>
      </w:tr>
      <w:tr>
        <w:trPr>
          <w:cantSplit/>
        </w:trPr>
        <w:tc>
          <w:tcPr>
            <w:tcW w:type="dxa" w:w="2608"/>
            <w:shd w:val="clear" w:color="auto" w:fill="EEF3F8"/>
          </w:tcPr>
          <w:p>
            <w:pPr>
              <w:spacing w:after="20"/>
            </w:pPr>
            <w:r/>
            <w:r>
              <w:rPr>
                <w:b w:val="0"/>
                <w:i w:val="0"/>
                <w:sz w:val="17"/>
              </w:rPr>
              <w:t>15 May–14 Jun 2026</w:t>
            </w:r>
          </w:p>
        </w:tc>
        <w:tc>
          <w:tcPr>
            <w:tcW w:type="dxa" w:w="1474"/>
            <w:shd w:val="clear" w:color="auto" w:fill="EEF3F8"/>
          </w:tcPr>
          <w:p>
            <w:pPr>
              <w:spacing w:after="20"/>
              <w:jc w:val="right"/>
            </w:pPr>
            <w:r/>
            <w:r>
              <w:rPr>
                <w:b w:val="0"/>
                <w:i w:val="0"/>
                <w:sz w:val="17"/>
              </w:rPr>
              <w:t>214.25</w:t>
            </w:r>
          </w:p>
        </w:tc>
        <w:tc>
          <w:tcPr>
            <w:tcW w:type="dxa" w:w="1474"/>
            <w:shd w:val="clear" w:color="auto" w:fill="EEF3F8"/>
          </w:tcPr>
          <w:p>
            <w:pPr>
              <w:spacing w:after="20"/>
              <w:jc w:val="right"/>
            </w:pPr>
            <w:r/>
            <w:r>
              <w:rPr>
                <w:b w:val="0"/>
                <w:i w:val="0"/>
                <w:sz w:val="17"/>
              </w:rPr>
              <w:t>242.92</w:t>
            </w:r>
          </w:p>
        </w:tc>
        <w:tc>
          <w:tcPr>
            <w:tcW w:type="dxa" w:w="1587"/>
            <w:shd w:val="clear" w:color="auto" w:fill="EEF3F8"/>
          </w:tcPr>
          <w:p>
            <w:pPr>
              <w:spacing w:after="20"/>
              <w:jc w:val="right"/>
            </w:pPr>
            <w:r/>
            <w:r>
              <w:rPr>
                <w:b w:val="0"/>
                <w:i w:val="0"/>
                <w:sz w:val="17"/>
              </w:rPr>
              <w:t>152.78</w:t>
            </w:r>
          </w:p>
        </w:tc>
        <w:tc>
          <w:tcPr>
            <w:tcW w:type="dxa" w:w="2041"/>
            <w:shd w:val="clear" w:color="auto" w:fill="EEF3F8"/>
          </w:tcPr>
          <w:p>
            <w:pPr>
              <w:spacing w:after="20"/>
              <w:jc w:val="right"/>
            </w:pPr>
            <w:r/>
            <w:r>
              <w:rPr>
                <w:b w:val="0"/>
                <w:i w:val="0"/>
                <w:sz w:val="17"/>
              </w:rPr>
              <w:t>+45.9%</w:t>
            </w:r>
          </w:p>
        </w:tc>
      </w:tr>
      <w:tr>
        <w:trPr>
          <w:cantSplit/>
        </w:trPr>
        <w:tc>
          <w:tcPr>
            <w:tcW w:type="dxa" w:w="2608"/>
          </w:tcPr>
          <w:p>
            <w:pPr>
              <w:spacing w:after="20"/>
            </w:pPr>
            <w:r/>
            <w:r>
              <w:rPr>
                <w:b w:val="0"/>
                <w:i w:val="0"/>
                <w:sz w:val="17"/>
              </w:rPr>
              <w:t>15 Jul–14 Aug 2026</w:t>
            </w:r>
          </w:p>
        </w:tc>
        <w:tc>
          <w:tcPr>
            <w:tcW w:type="dxa" w:w="1474"/>
          </w:tcPr>
          <w:p>
            <w:pPr>
              <w:spacing w:after="20"/>
              <w:jc w:val="right"/>
            </w:pPr>
            <w:r/>
            <w:r>
              <w:rPr>
                <w:b w:val="0"/>
                <w:i w:val="0"/>
                <w:sz w:val="17"/>
              </w:rPr>
              <w:t>214.03</w:t>
            </w:r>
          </w:p>
        </w:tc>
        <w:tc>
          <w:tcPr>
            <w:tcW w:type="dxa" w:w="1474"/>
          </w:tcPr>
          <w:p>
            <w:pPr>
              <w:spacing w:after="20"/>
              <w:jc w:val="right"/>
            </w:pPr>
            <w:r/>
            <w:r>
              <w:rPr>
                <w:b w:val="0"/>
                <w:i w:val="0"/>
                <w:sz w:val="17"/>
              </w:rPr>
              <w:t>222.86</w:t>
            </w:r>
          </w:p>
        </w:tc>
        <w:tc>
          <w:tcPr>
            <w:tcW w:type="dxa" w:w="1587"/>
          </w:tcPr>
          <w:p>
            <w:pPr>
              <w:spacing w:after="20"/>
              <w:jc w:val="right"/>
            </w:pPr>
            <w:r/>
            <w:r>
              <w:rPr>
                <w:b w:val="0"/>
                <w:i w:val="0"/>
                <w:sz w:val="17"/>
              </w:rPr>
              <w:t>191.38</w:t>
            </w:r>
          </w:p>
        </w:tc>
        <w:tc>
          <w:tcPr>
            <w:tcW w:type="dxa" w:w="2041"/>
          </w:tcPr>
          <w:p>
            <w:pPr>
              <w:spacing w:after="20"/>
              <w:jc w:val="right"/>
            </w:pPr>
            <w:r/>
            <w:r>
              <w:rPr>
                <w:b w:val="0"/>
                <w:i w:val="0"/>
                <w:sz w:val="17"/>
              </w:rPr>
              <w:t>+33.8%</w:t>
            </w:r>
          </w:p>
        </w:tc>
      </w:tr>
      <w:tr>
        <w:trPr>
          <w:cantSplit/>
        </w:trPr>
        <w:tc>
          <w:tcPr>
            <w:tcW w:type="dxa" w:w="2608"/>
            <w:shd w:val="clear" w:color="auto" w:fill="EEF3F8"/>
          </w:tcPr>
          <w:p>
            <w:pPr>
              <w:spacing w:after="20"/>
            </w:pPr>
            <w:r/>
            <w:r>
              <w:rPr>
                <w:b w:val="0"/>
                <w:i w:val="0"/>
                <w:sz w:val="17"/>
              </w:rPr>
              <w:t>15 Aug–14 Sep 2026</w:t>
            </w:r>
          </w:p>
        </w:tc>
        <w:tc>
          <w:tcPr>
            <w:tcW w:type="dxa" w:w="1474"/>
            <w:shd w:val="clear" w:color="auto" w:fill="EEF3F8"/>
          </w:tcPr>
          <w:p>
            <w:pPr>
              <w:spacing w:after="20"/>
              <w:jc w:val="right"/>
            </w:pPr>
            <w:r/>
            <w:r>
              <w:rPr>
                <w:b w:val="0"/>
                <w:i w:val="0"/>
                <w:sz w:val="17"/>
              </w:rPr>
              <w:t>214.03</w:t>
            </w:r>
          </w:p>
        </w:tc>
        <w:tc>
          <w:tcPr>
            <w:tcW w:type="dxa" w:w="1474"/>
            <w:shd w:val="clear" w:color="auto" w:fill="EEF3F8"/>
          </w:tcPr>
          <w:p>
            <w:pPr>
              <w:spacing w:after="20"/>
              <w:jc w:val="right"/>
            </w:pPr>
            <w:r/>
            <w:r>
              <w:rPr>
                <w:b w:val="0"/>
                <w:i w:val="0"/>
                <w:sz w:val="17"/>
              </w:rPr>
              <w:t>217.86</w:t>
            </w:r>
          </w:p>
        </w:tc>
        <w:tc>
          <w:tcPr>
            <w:tcW w:type="dxa" w:w="1587"/>
            <w:shd w:val="clear" w:color="auto" w:fill="EEF3F8"/>
          </w:tcPr>
          <w:p>
            <w:pPr>
              <w:spacing w:after="20"/>
              <w:jc w:val="right"/>
            </w:pPr>
            <w:r/>
            <w:r>
              <w:rPr>
                <w:b w:val="0"/>
                <w:i w:val="0"/>
                <w:sz w:val="17"/>
              </w:rPr>
              <w:t>191.38</w:t>
            </w:r>
          </w:p>
        </w:tc>
        <w:tc>
          <w:tcPr>
            <w:tcW w:type="dxa" w:w="2041"/>
            <w:shd w:val="clear" w:color="auto" w:fill="EEF3F8"/>
          </w:tcPr>
          <w:p>
            <w:pPr>
              <w:spacing w:after="20"/>
              <w:jc w:val="right"/>
            </w:pPr>
            <w:r/>
            <w:r>
              <w:rPr>
                <w:b w:val="0"/>
                <w:i w:val="0"/>
                <w:sz w:val="17"/>
              </w:rPr>
              <w:t>+30.8%</w:t>
            </w:r>
          </w:p>
        </w:tc>
      </w:tr>
      <w:tr>
        <w:trPr>
          <w:cantSplit/>
        </w:trPr>
        <w:tc>
          <w:tcPr>
            <w:tcW w:type="dxa" w:w="2608"/>
          </w:tcPr>
          <w:p>
            <w:pPr>
              <w:spacing w:after="20"/>
            </w:pPr>
            <w:r/>
            <w:r>
              <w:rPr>
                <w:b w:val="0"/>
                <w:i w:val="0"/>
                <w:sz w:val="17"/>
              </w:rPr>
              <w:t>15 Sep–14 Oct 2026</w:t>
            </w:r>
          </w:p>
        </w:tc>
        <w:tc>
          <w:tcPr>
            <w:tcW w:type="dxa" w:w="1474"/>
          </w:tcPr>
          <w:p>
            <w:pPr>
              <w:spacing w:after="20"/>
              <w:jc w:val="right"/>
            </w:pPr>
            <w:r/>
            <w:r>
              <w:rPr>
                <w:b w:val="0"/>
                <w:i w:val="0"/>
                <w:sz w:val="17"/>
              </w:rPr>
              <w:t>214.03</w:t>
            </w:r>
          </w:p>
        </w:tc>
        <w:tc>
          <w:tcPr>
            <w:tcW w:type="dxa" w:w="1474"/>
          </w:tcPr>
          <w:p>
            <w:pPr>
              <w:spacing w:after="20"/>
              <w:jc w:val="right"/>
            </w:pPr>
            <w:r/>
            <w:r>
              <w:rPr>
                <w:b w:val="0"/>
                <w:i w:val="0"/>
                <w:sz w:val="17"/>
              </w:rPr>
              <w:t>217.86</w:t>
            </w:r>
          </w:p>
        </w:tc>
        <w:tc>
          <w:tcPr>
            <w:tcW w:type="dxa" w:w="1587"/>
          </w:tcPr>
          <w:p>
            <w:pPr>
              <w:spacing w:after="20"/>
              <w:jc w:val="right"/>
            </w:pPr>
            <w:r/>
            <w:r>
              <w:rPr>
                <w:b w:val="0"/>
                <w:i w:val="0"/>
                <w:sz w:val="17"/>
              </w:rPr>
              <w:t>191.38</w:t>
            </w:r>
          </w:p>
        </w:tc>
        <w:tc>
          <w:tcPr>
            <w:tcW w:type="dxa" w:w="2041"/>
          </w:tcPr>
          <w:p>
            <w:pPr>
              <w:spacing w:after="20"/>
              <w:jc w:val="right"/>
            </w:pPr>
            <w:r/>
            <w:r>
              <w:rPr>
                <w:b w:val="0"/>
                <w:i w:val="0"/>
                <w:sz w:val="17"/>
              </w:rPr>
              <w:t>+30.8%</w:t>
            </w:r>
          </w:p>
        </w:tc>
      </w:tr>
    </w:tbl>
    <w:p>
      <w:r>
        <w:rPr>
          <w:i/>
          <w:sz w:val="16"/>
        </w:rPr>
        <w:t>Source: EPRA announcements as reported in the press. The April and June cycles were not retrieved. Nairobi maxima are not identical to the LeadAfrik national averages.</w:t>
      </w:r>
    </w:p>
    <w:p>
      <w:r>
        <w:rPr>
          <w:b w:val="0"/>
          <w:i w:val="0"/>
        </w:rPr>
        <w:t>Relative to the March 2026 cycle, by September 2026 petrol was 20.1% higher, diesel 30.8% and kerosene 25.3%. Diesel peaked at 45.9% above March in May. Because diesel feeds transport and freight costs, its larger rise matters more for inflation than the petrol rise suggests.</w:t>
      </w:r>
    </w:p>
    <w:p>
      <w:pPr>
        <w:pStyle w:val="Heading2"/>
      </w:pPr>
      <w:r>
        <w:t>5.3 Regional price spreads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928"/>
            <w:shd w:val="clear" w:color="auto" w:fill="1F4E79"/>
          </w:tcPr>
          <w:p>
            <w:pPr>
              <w:spacing w:after="20"/>
            </w:pPr>
            <w:r/>
            <w:r>
              <w:rPr>
                <w:b/>
                <w:color w:val="FFFFFF"/>
                <w:sz w:val="17"/>
              </w:rPr>
              <w:t>Town (May-26 cycle)</w:t>
            </w:r>
          </w:p>
        </w:tc>
        <w:tc>
          <w:tcPr>
            <w:tcW w:type="dxa" w:w="1417"/>
            <w:shd w:val="clear" w:color="auto" w:fill="1F4E79"/>
          </w:tcPr>
          <w:p>
            <w:pPr>
              <w:spacing w:after="20"/>
            </w:pPr>
            <w:r/>
            <w:r>
              <w:rPr>
                <w:b/>
                <w:color w:val="FFFFFF"/>
                <w:sz w:val="17"/>
              </w:rPr>
              <w:t>Petrol KSh/L</w:t>
            </w:r>
          </w:p>
        </w:tc>
        <w:tc>
          <w:tcPr>
            <w:tcW w:type="dxa" w:w="1417"/>
            <w:shd w:val="clear" w:color="auto" w:fill="1F4E79"/>
          </w:tcPr>
          <w:p>
            <w:pPr>
              <w:spacing w:after="20"/>
            </w:pPr>
            <w:r/>
            <w:r>
              <w:rPr>
                <w:b/>
                <w:color w:val="FFFFFF"/>
                <w:sz w:val="17"/>
              </w:rPr>
              <w:t>Diesel KSh/L</w:t>
            </w:r>
          </w:p>
        </w:tc>
        <w:tc>
          <w:tcPr>
            <w:tcW w:type="dxa" w:w="1531"/>
            <w:shd w:val="clear" w:color="auto" w:fill="1F4E79"/>
          </w:tcPr>
          <w:p>
            <w:pPr>
              <w:spacing w:after="20"/>
            </w:pPr>
            <w:r/>
            <w:r>
              <w:rPr>
                <w:b/>
                <w:color w:val="FFFFFF"/>
                <w:sz w:val="17"/>
              </w:rPr>
              <w:t>Kerosene KSh/L</w:t>
            </w:r>
          </w:p>
        </w:tc>
        <w:tc>
          <w:tcPr>
            <w:tcW w:type="dxa" w:w="2041"/>
            <w:shd w:val="clear" w:color="auto" w:fill="1F4E79"/>
          </w:tcPr>
          <w:p>
            <w:pPr>
              <w:spacing w:after="20"/>
            </w:pPr>
            <w:r/>
            <w:r>
              <w:rPr>
                <w:b/>
                <w:color w:val="FFFFFF"/>
                <w:sz w:val="17"/>
              </w:rPr>
              <w:t>Petrol premium over Mombasa</w:t>
            </w:r>
          </w:p>
        </w:tc>
        <w:tc>
          <w:tcPr>
            <w:tcW w:type="dxa" w:w="907"/>
            <w:shd w:val="clear" w:color="auto" w:fill="1F4E79"/>
          </w:tcPr>
          <w:p>
            <w:pPr>
              <w:spacing w:after="20"/>
            </w:pPr>
            <w:r/>
            <w:r>
              <w:rPr>
                <w:b/>
                <w:color w:val="FFFFFF"/>
                <w:sz w:val="17"/>
              </w:rPr>
              <w:t>%</w:t>
            </w:r>
          </w:p>
        </w:tc>
      </w:tr>
      <w:tr>
        <w:trPr>
          <w:cantSplit/>
        </w:trPr>
        <w:tc>
          <w:tcPr>
            <w:tcW w:type="dxa" w:w="1928"/>
          </w:tcPr>
          <w:p>
            <w:pPr>
              <w:spacing w:after="20"/>
            </w:pPr>
            <w:r/>
            <w:r>
              <w:rPr>
                <w:b w:val="0"/>
                <w:i w:val="0"/>
                <w:sz w:val="17"/>
              </w:rPr>
              <w:t>Nairobi</w:t>
            </w:r>
          </w:p>
        </w:tc>
        <w:tc>
          <w:tcPr>
            <w:tcW w:type="dxa" w:w="1417"/>
          </w:tcPr>
          <w:p>
            <w:pPr>
              <w:spacing w:after="20"/>
              <w:jc w:val="right"/>
            </w:pPr>
            <w:r/>
            <w:r>
              <w:rPr>
                <w:b w:val="0"/>
                <w:i w:val="0"/>
                <w:sz w:val="17"/>
              </w:rPr>
              <w:t>214.25</w:t>
            </w:r>
          </w:p>
        </w:tc>
        <w:tc>
          <w:tcPr>
            <w:tcW w:type="dxa" w:w="1417"/>
          </w:tcPr>
          <w:p>
            <w:pPr>
              <w:spacing w:after="20"/>
              <w:jc w:val="right"/>
            </w:pPr>
            <w:r/>
            <w:r>
              <w:rPr>
                <w:b w:val="0"/>
                <w:i w:val="0"/>
                <w:sz w:val="17"/>
              </w:rPr>
              <w:t>242.92</w:t>
            </w:r>
          </w:p>
        </w:tc>
        <w:tc>
          <w:tcPr>
            <w:tcW w:type="dxa" w:w="1531"/>
          </w:tcPr>
          <w:p>
            <w:pPr>
              <w:spacing w:after="20"/>
              <w:jc w:val="right"/>
            </w:pPr>
            <w:r/>
            <w:r>
              <w:rPr>
                <w:b w:val="0"/>
                <w:i w:val="0"/>
                <w:sz w:val="17"/>
              </w:rPr>
              <w:t>152.78</w:t>
            </w:r>
          </w:p>
        </w:tc>
        <w:tc>
          <w:tcPr>
            <w:tcW w:type="dxa" w:w="2041"/>
          </w:tcPr>
          <w:p>
            <w:pPr>
              <w:spacing w:after="20"/>
              <w:jc w:val="right"/>
            </w:pPr>
            <w:r/>
            <w:r>
              <w:rPr>
                <w:b w:val="0"/>
                <w:i w:val="0"/>
                <w:sz w:val="17"/>
              </w:rPr>
              <w:t>+3.16</w:t>
            </w:r>
          </w:p>
        </w:tc>
        <w:tc>
          <w:tcPr>
            <w:tcW w:type="dxa" w:w="907"/>
          </w:tcPr>
          <w:p>
            <w:pPr>
              <w:spacing w:after="20"/>
              <w:jc w:val="right"/>
            </w:pPr>
            <w:r/>
            <w:r>
              <w:rPr>
                <w:b w:val="0"/>
                <w:i w:val="0"/>
                <w:sz w:val="17"/>
              </w:rPr>
              <w:t>+1.5%</w:t>
            </w:r>
          </w:p>
        </w:tc>
      </w:tr>
      <w:tr>
        <w:trPr>
          <w:cantSplit/>
        </w:trPr>
        <w:tc>
          <w:tcPr>
            <w:tcW w:type="dxa" w:w="1928"/>
            <w:shd w:val="clear" w:color="auto" w:fill="EEF3F8"/>
          </w:tcPr>
          <w:p>
            <w:pPr>
              <w:spacing w:after="20"/>
            </w:pPr>
            <w:r/>
            <w:r>
              <w:rPr>
                <w:b w:val="0"/>
                <w:i w:val="0"/>
                <w:sz w:val="17"/>
              </w:rPr>
              <w:t>Mombasa</w:t>
            </w:r>
          </w:p>
        </w:tc>
        <w:tc>
          <w:tcPr>
            <w:tcW w:type="dxa" w:w="1417"/>
            <w:shd w:val="clear" w:color="auto" w:fill="EEF3F8"/>
          </w:tcPr>
          <w:p>
            <w:pPr>
              <w:spacing w:after="20"/>
              <w:jc w:val="right"/>
            </w:pPr>
            <w:r/>
            <w:r>
              <w:rPr>
                <w:b w:val="0"/>
                <w:i w:val="0"/>
                <w:sz w:val="17"/>
              </w:rPr>
              <w:t>211.09</w:t>
            </w:r>
          </w:p>
        </w:tc>
        <w:tc>
          <w:tcPr>
            <w:tcW w:type="dxa" w:w="1417"/>
            <w:shd w:val="clear" w:color="auto" w:fill="EEF3F8"/>
          </w:tcPr>
          <w:p>
            <w:pPr>
              <w:spacing w:after="20"/>
              <w:jc w:val="right"/>
            </w:pPr>
            <w:r/>
            <w:r>
              <w:rPr>
                <w:b w:val="0"/>
                <w:i w:val="0"/>
                <w:sz w:val="17"/>
              </w:rPr>
              <w:t>239.64</w:t>
            </w:r>
          </w:p>
        </w:tc>
        <w:tc>
          <w:tcPr>
            <w:tcW w:type="dxa" w:w="1531"/>
            <w:shd w:val="clear" w:color="auto" w:fill="EEF3F8"/>
          </w:tcPr>
          <w:p>
            <w:pPr>
              <w:spacing w:after="20"/>
              <w:jc w:val="right"/>
            </w:pPr>
            <w:r/>
            <w:r>
              <w:rPr>
                <w:b w:val="0"/>
                <w:i w:val="0"/>
                <w:sz w:val="17"/>
              </w:rPr>
              <w:t>149.49</w:t>
            </w:r>
          </w:p>
        </w:tc>
        <w:tc>
          <w:tcPr>
            <w:tcW w:type="dxa" w:w="2041"/>
            <w:shd w:val="clear" w:color="auto" w:fill="EEF3F8"/>
          </w:tcPr>
          <w:p>
            <w:pPr>
              <w:spacing w:after="20"/>
              <w:jc w:val="right"/>
            </w:pPr>
            <w:r/>
            <w:r>
              <w:rPr>
                <w:b w:val="0"/>
                <w:i w:val="0"/>
                <w:sz w:val="17"/>
              </w:rPr>
              <w:t>+0.00</w:t>
            </w:r>
          </w:p>
        </w:tc>
        <w:tc>
          <w:tcPr>
            <w:tcW w:type="dxa" w:w="907"/>
            <w:shd w:val="clear" w:color="auto" w:fill="EEF3F8"/>
          </w:tcPr>
          <w:p>
            <w:pPr>
              <w:spacing w:after="20"/>
              <w:jc w:val="right"/>
            </w:pPr>
            <w:r/>
            <w:r>
              <w:rPr>
                <w:b w:val="0"/>
                <w:i w:val="0"/>
                <w:sz w:val="17"/>
              </w:rPr>
              <w:t>+0.0%</w:t>
            </w:r>
          </w:p>
        </w:tc>
      </w:tr>
      <w:tr>
        <w:trPr>
          <w:cantSplit/>
        </w:trPr>
        <w:tc>
          <w:tcPr>
            <w:tcW w:type="dxa" w:w="1928"/>
          </w:tcPr>
          <w:p>
            <w:pPr>
              <w:spacing w:after="20"/>
            </w:pPr>
            <w:r/>
            <w:r>
              <w:rPr>
                <w:b w:val="0"/>
                <w:i w:val="0"/>
                <w:sz w:val="17"/>
              </w:rPr>
              <w:t>Mandera</w:t>
            </w:r>
          </w:p>
        </w:tc>
        <w:tc>
          <w:tcPr>
            <w:tcW w:type="dxa" w:w="1417"/>
          </w:tcPr>
          <w:p>
            <w:pPr>
              <w:spacing w:after="20"/>
              <w:jc w:val="right"/>
            </w:pPr>
            <w:r/>
            <w:r>
              <w:rPr>
                <w:b w:val="0"/>
                <w:i w:val="0"/>
                <w:sz w:val="17"/>
              </w:rPr>
              <w:t>234.90</w:t>
            </w:r>
          </w:p>
        </w:tc>
        <w:tc>
          <w:tcPr>
            <w:tcW w:type="dxa" w:w="1417"/>
          </w:tcPr>
          <w:p>
            <w:pPr>
              <w:spacing w:after="20"/>
              <w:jc w:val="right"/>
            </w:pPr>
            <w:r/>
            <w:r>
              <w:rPr>
                <w:b w:val="0"/>
                <w:i w:val="0"/>
                <w:sz w:val="17"/>
              </w:rPr>
              <w:t>265.10</w:t>
            </w:r>
          </w:p>
        </w:tc>
        <w:tc>
          <w:tcPr>
            <w:tcW w:type="dxa" w:w="1531"/>
          </w:tcPr>
          <w:p>
            <w:pPr>
              <w:spacing w:after="20"/>
              <w:jc w:val="right"/>
            </w:pPr>
            <w:r/>
            <w:r>
              <w:rPr>
                <w:b w:val="0"/>
                <w:i w:val="0"/>
                <w:sz w:val="17"/>
              </w:rPr>
              <w:t>174.96</w:t>
            </w:r>
          </w:p>
        </w:tc>
        <w:tc>
          <w:tcPr>
            <w:tcW w:type="dxa" w:w="2041"/>
          </w:tcPr>
          <w:p>
            <w:pPr>
              <w:spacing w:after="20"/>
              <w:jc w:val="right"/>
            </w:pPr>
            <w:r/>
            <w:r>
              <w:rPr>
                <w:b w:val="0"/>
                <w:i w:val="0"/>
                <w:sz w:val="17"/>
              </w:rPr>
              <w:t>+23.81</w:t>
            </w:r>
          </w:p>
        </w:tc>
        <w:tc>
          <w:tcPr>
            <w:tcW w:type="dxa" w:w="907"/>
          </w:tcPr>
          <w:p>
            <w:pPr>
              <w:spacing w:after="20"/>
              <w:jc w:val="right"/>
            </w:pPr>
            <w:r/>
            <w:r>
              <w:rPr>
                <w:b w:val="0"/>
                <w:i w:val="0"/>
                <w:sz w:val="17"/>
              </w:rPr>
              <w:t>+11.3%</w:t>
            </w:r>
          </w:p>
        </w:tc>
      </w:tr>
      <w:tr>
        <w:trPr>
          <w:cantSplit/>
        </w:trPr>
        <w:tc>
          <w:tcPr>
            <w:tcW w:type="dxa" w:w="1928"/>
            <w:shd w:val="clear" w:color="auto" w:fill="EEF3F8"/>
          </w:tcPr>
          <w:p>
            <w:pPr>
              <w:spacing w:after="20"/>
            </w:pPr>
            <w:r/>
            <w:r>
              <w:rPr>
                <w:b w:val="0"/>
                <w:i w:val="0"/>
                <w:sz w:val="17"/>
              </w:rPr>
              <w:t>Nyeri</w:t>
            </w:r>
          </w:p>
        </w:tc>
        <w:tc>
          <w:tcPr>
            <w:tcW w:type="dxa" w:w="1417"/>
            <w:shd w:val="clear" w:color="auto" w:fill="EEF3F8"/>
          </w:tcPr>
          <w:p>
            <w:pPr>
              <w:spacing w:after="20"/>
              <w:jc w:val="right"/>
            </w:pPr>
            <w:r/>
            <w:r>
              <w:rPr>
                <w:b w:val="0"/>
                <w:i w:val="0"/>
                <w:sz w:val="17"/>
              </w:rPr>
              <w:t>216.12</w:t>
            </w:r>
          </w:p>
        </w:tc>
        <w:tc>
          <w:tcPr>
            <w:tcW w:type="dxa" w:w="1417"/>
            <w:shd w:val="clear" w:color="auto" w:fill="EEF3F8"/>
          </w:tcPr>
          <w:p>
            <w:pPr>
              <w:spacing w:after="20"/>
              <w:jc w:val="right"/>
            </w:pPr>
            <w:r/>
            <w:r>
              <w:rPr>
                <w:b w:val="0"/>
                <w:i w:val="0"/>
                <w:sz w:val="17"/>
              </w:rPr>
              <w:t>244.93</w:t>
            </w:r>
          </w:p>
        </w:tc>
        <w:tc>
          <w:tcPr>
            <w:tcW w:type="dxa" w:w="1531"/>
            <w:shd w:val="clear" w:color="auto" w:fill="EEF3F8"/>
          </w:tcPr>
          <w:p>
            <w:pPr>
              <w:spacing w:after="20"/>
            </w:pPr>
            <w:r/>
          </w:p>
        </w:tc>
        <w:tc>
          <w:tcPr>
            <w:tcW w:type="dxa" w:w="2041"/>
            <w:shd w:val="clear" w:color="auto" w:fill="EEF3F8"/>
          </w:tcPr>
          <w:p>
            <w:pPr>
              <w:spacing w:after="20"/>
              <w:jc w:val="right"/>
            </w:pPr>
            <w:r/>
            <w:r>
              <w:rPr>
                <w:b w:val="0"/>
                <w:i w:val="0"/>
                <w:sz w:val="17"/>
              </w:rPr>
              <w:t>+5.03</w:t>
            </w:r>
          </w:p>
        </w:tc>
        <w:tc>
          <w:tcPr>
            <w:tcW w:type="dxa" w:w="907"/>
            <w:shd w:val="clear" w:color="auto" w:fill="EEF3F8"/>
          </w:tcPr>
          <w:p>
            <w:pPr>
              <w:spacing w:after="20"/>
              <w:jc w:val="right"/>
            </w:pPr>
            <w:r/>
            <w:r>
              <w:rPr>
                <w:b w:val="0"/>
                <w:i w:val="0"/>
                <w:sz w:val="17"/>
              </w:rPr>
              <w:t>+2.4%</w:t>
            </w:r>
          </w:p>
        </w:tc>
      </w:tr>
      <w:tr>
        <w:trPr>
          <w:cantSplit/>
        </w:trPr>
        <w:tc>
          <w:tcPr>
            <w:tcW w:type="dxa" w:w="1928"/>
          </w:tcPr>
          <w:p>
            <w:pPr>
              <w:spacing w:after="20"/>
            </w:pPr>
            <w:r/>
            <w:r>
              <w:rPr>
                <w:b w:val="0"/>
                <w:i w:val="0"/>
                <w:sz w:val="17"/>
              </w:rPr>
              <w:t>Embu</w:t>
            </w:r>
          </w:p>
        </w:tc>
        <w:tc>
          <w:tcPr>
            <w:tcW w:type="dxa" w:w="1417"/>
          </w:tcPr>
          <w:p>
            <w:pPr>
              <w:spacing w:after="20"/>
              <w:jc w:val="right"/>
            </w:pPr>
            <w:r/>
            <w:r>
              <w:rPr>
                <w:b w:val="0"/>
                <w:i w:val="0"/>
                <w:sz w:val="17"/>
              </w:rPr>
              <w:t>215.69</w:t>
            </w:r>
          </w:p>
        </w:tc>
        <w:tc>
          <w:tcPr>
            <w:tcW w:type="dxa" w:w="1417"/>
          </w:tcPr>
          <w:p>
            <w:pPr>
              <w:spacing w:after="20"/>
              <w:jc w:val="right"/>
            </w:pPr>
            <w:r/>
            <w:r>
              <w:rPr>
                <w:b w:val="0"/>
                <w:i w:val="0"/>
                <w:sz w:val="17"/>
              </w:rPr>
              <w:t>244.46</w:t>
            </w:r>
          </w:p>
        </w:tc>
        <w:tc>
          <w:tcPr>
            <w:tcW w:type="dxa" w:w="1531"/>
          </w:tcPr>
          <w:p>
            <w:pPr>
              <w:spacing w:after="20"/>
              <w:jc w:val="right"/>
            </w:pPr>
            <w:r/>
            <w:r>
              <w:rPr>
                <w:b w:val="0"/>
                <w:i w:val="0"/>
                <w:sz w:val="17"/>
              </w:rPr>
              <w:t>154.31</w:t>
            </w:r>
          </w:p>
        </w:tc>
        <w:tc>
          <w:tcPr>
            <w:tcW w:type="dxa" w:w="2041"/>
          </w:tcPr>
          <w:p>
            <w:pPr>
              <w:spacing w:after="20"/>
              <w:jc w:val="right"/>
            </w:pPr>
            <w:r/>
            <w:r>
              <w:rPr>
                <w:b w:val="0"/>
                <w:i w:val="0"/>
                <w:sz w:val="17"/>
              </w:rPr>
              <w:t>+4.60</w:t>
            </w:r>
          </w:p>
        </w:tc>
        <w:tc>
          <w:tcPr>
            <w:tcW w:type="dxa" w:w="907"/>
          </w:tcPr>
          <w:p>
            <w:pPr>
              <w:spacing w:after="20"/>
              <w:jc w:val="right"/>
            </w:pPr>
            <w:r/>
            <w:r>
              <w:rPr>
                <w:b w:val="0"/>
                <w:i w:val="0"/>
                <w:sz w:val="17"/>
              </w:rPr>
              <w:t>+2.2%</w:t>
            </w:r>
          </w:p>
        </w:tc>
      </w:tr>
      <w:tr>
        <w:trPr>
          <w:cantSplit/>
        </w:trPr>
        <w:tc>
          <w:tcPr>
            <w:tcW w:type="dxa" w:w="1928"/>
            <w:shd w:val="clear" w:color="auto" w:fill="EEF3F8"/>
          </w:tcPr>
          <w:p>
            <w:pPr>
              <w:spacing w:after="20"/>
            </w:pPr>
            <w:r/>
            <w:r>
              <w:rPr>
                <w:b w:val="0"/>
                <w:i w:val="0"/>
                <w:sz w:val="17"/>
              </w:rPr>
              <w:t>Moyale</w:t>
            </w:r>
          </w:p>
        </w:tc>
        <w:tc>
          <w:tcPr>
            <w:tcW w:type="dxa" w:w="1417"/>
            <w:shd w:val="clear" w:color="auto" w:fill="EEF3F8"/>
          </w:tcPr>
          <w:p>
            <w:pPr>
              <w:spacing w:after="20"/>
              <w:jc w:val="right"/>
            </w:pPr>
            <w:r/>
            <w:r>
              <w:rPr>
                <w:b w:val="0"/>
                <w:i w:val="0"/>
                <w:sz w:val="17"/>
              </w:rPr>
              <w:t>229.10</w:t>
            </w:r>
          </w:p>
        </w:tc>
        <w:tc>
          <w:tcPr>
            <w:tcW w:type="dxa" w:w="1417"/>
            <w:shd w:val="clear" w:color="auto" w:fill="EEF3F8"/>
          </w:tcPr>
          <w:p>
            <w:pPr>
              <w:spacing w:after="20"/>
              <w:jc w:val="right"/>
            </w:pPr>
            <w:r/>
            <w:r>
              <w:rPr>
                <w:b w:val="0"/>
                <w:i w:val="0"/>
                <w:sz w:val="17"/>
              </w:rPr>
              <w:t>258.86</w:t>
            </w:r>
          </w:p>
        </w:tc>
        <w:tc>
          <w:tcPr>
            <w:tcW w:type="dxa" w:w="1531"/>
            <w:shd w:val="clear" w:color="auto" w:fill="EEF3F8"/>
          </w:tcPr>
          <w:p>
            <w:pPr>
              <w:spacing w:after="20"/>
            </w:pPr>
            <w:r/>
          </w:p>
        </w:tc>
        <w:tc>
          <w:tcPr>
            <w:tcW w:type="dxa" w:w="2041"/>
            <w:shd w:val="clear" w:color="auto" w:fill="EEF3F8"/>
          </w:tcPr>
          <w:p>
            <w:pPr>
              <w:spacing w:after="20"/>
              <w:jc w:val="right"/>
            </w:pPr>
            <w:r/>
            <w:r>
              <w:rPr>
                <w:b w:val="0"/>
                <w:i w:val="0"/>
                <w:sz w:val="17"/>
              </w:rPr>
              <w:t>+18.01</w:t>
            </w:r>
          </w:p>
        </w:tc>
        <w:tc>
          <w:tcPr>
            <w:tcW w:type="dxa" w:w="907"/>
            <w:shd w:val="clear" w:color="auto" w:fill="EEF3F8"/>
          </w:tcPr>
          <w:p>
            <w:pPr>
              <w:spacing w:after="20"/>
              <w:jc w:val="right"/>
            </w:pPr>
            <w:r/>
            <w:r>
              <w:rPr>
                <w:b w:val="0"/>
                <w:i w:val="0"/>
                <w:sz w:val="17"/>
              </w:rPr>
              <w:t>+8.5%</w:t>
            </w:r>
          </w:p>
        </w:tc>
      </w:tr>
    </w:tbl>
    <w:p>
      <w:r>
        <w:rPr>
          <w:i/>
          <w:sz w:val="16"/>
        </w:rPr>
        <w:t>Source: EPRA maxima as reported in the press. Mombasa (the import point) is the lowest-price reference. In the September cycle, Mandera petrol was KSh 234.68 versus KSh 210.87 in Mombasa (+KSh 23.81, +11.3%).</w:t>
      </w:r>
    </w:p>
    <w:p>
      <w:r>
        <w:rPr>
          <w:b w:val="0"/>
          <w:i w:val="0"/>
        </w:rPr>
        <w:t>The regulated price structure embeds a transport gradient: prices rise with distance from Mombasa, from +1.5% in Nairobi to +11.3% in Mandera for petrol (unchanged between the May and September cycles at about KSh 24 per litre). The north-eastern border towns therefore face the highest absolute pump prices and the highest exposure to shocks, a distributional point for any stabilisation design. The Mombasa–Nairobi gap (about KSh 3 per litre) is small relative to the 2026 price movements (KSh 36–76 per litre).</w:t>
      </w:r>
    </w:p>
    <w:p>
      <w:pPr>
        <w:pStyle w:val="Heading2"/>
      </w:pPr>
      <w:r>
        <w:t>5.4 Pass-through from international prices to the pump</w:t>
      </w:r>
    </w:p>
    <w:p>
      <w:r>
        <w:rPr>
          <w:b w:val="0"/>
          <w:i w:val="0"/>
        </w:rPr>
        <w:t>A formal regression of Kenyan pump prices on Brent and USD/KES could not be run: monthly Brent and exchange-rate series were not available in this environment, and administered pump prices change in steps. Instead, EPRA’s own landed-cost statements give a transparent two-point calculation for petrol: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814"/>
            <w:shd w:val="clear" w:color="auto" w:fill="1F4E79"/>
          </w:tcPr>
          <w:p>
            <w:pPr>
              <w:spacing w:after="20"/>
            </w:pPr>
            <w:r/>
            <w:r>
              <w:rPr>
                <w:b/>
                <w:color w:val="FFFFFF"/>
                <w:sz w:val="17"/>
              </w:rPr>
              <w:t>Exchange-rate assumption</w:t>
            </w:r>
          </w:p>
        </w:tc>
        <w:tc>
          <w:tcPr>
            <w:tcW w:type="dxa" w:w="1701"/>
            <w:shd w:val="clear" w:color="auto" w:fill="1F4E79"/>
          </w:tcPr>
          <w:p>
            <w:pPr>
              <w:spacing w:after="20"/>
            </w:pPr>
            <w:r/>
            <w:r>
              <w:rPr>
                <w:b/>
                <w:color w:val="FFFFFF"/>
                <w:sz w:val="17"/>
              </w:rPr>
              <w:t>Landed-cost rise (KSh/L)</w:t>
            </w:r>
          </w:p>
        </w:tc>
        <w:tc>
          <w:tcPr>
            <w:tcW w:type="dxa" w:w="1361"/>
            <w:shd w:val="clear" w:color="auto" w:fill="1F4E79"/>
          </w:tcPr>
          <w:p>
            <w:pPr>
              <w:spacing w:after="20"/>
            </w:pPr>
            <w:r/>
            <w:r>
              <w:rPr>
                <w:b/>
                <w:color w:val="FFFFFF"/>
                <w:sz w:val="17"/>
              </w:rPr>
              <w:t>Incl. 16% VAT</w:t>
            </w:r>
          </w:p>
        </w:tc>
        <w:tc>
          <w:tcPr>
            <w:tcW w:type="dxa" w:w="1701"/>
            <w:shd w:val="clear" w:color="auto" w:fill="1F4E79"/>
          </w:tcPr>
          <w:p>
            <w:pPr>
              <w:spacing w:after="20"/>
            </w:pPr>
            <w:r/>
            <w:r>
              <w:rPr>
                <w:b/>
                <w:color w:val="FFFFFF"/>
                <w:sz w:val="17"/>
              </w:rPr>
              <w:t>Pump-price rise (KSh/L)</w:t>
            </w:r>
          </w:p>
        </w:tc>
        <w:tc>
          <w:tcPr>
            <w:tcW w:type="dxa" w:w="1474"/>
            <w:shd w:val="clear" w:color="auto" w:fill="1F4E79"/>
          </w:tcPr>
          <w:p>
            <w:pPr>
              <w:spacing w:after="20"/>
            </w:pPr>
            <w:r/>
            <w:r>
              <w:rPr>
                <w:b/>
                <w:color w:val="FFFFFF"/>
                <w:sz w:val="17"/>
              </w:rPr>
              <w:t>Pass-through (ex-VAT)</w:t>
            </w:r>
          </w:p>
        </w:tc>
        <w:tc>
          <w:tcPr>
            <w:tcW w:type="dxa" w:w="1701"/>
            <w:shd w:val="clear" w:color="auto" w:fill="1F4E79"/>
          </w:tcPr>
          <w:p>
            <w:pPr>
              <w:spacing w:after="20"/>
            </w:pPr>
            <w:r/>
            <w:r>
              <w:rPr>
                <w:b/>
                <w:color w:val="FFFFFF"/>
                <w:sz w:val="17"/>
              </w:rPr>
              <w:t>Pass-through (vs VAT-incl.)</w:t>
            </w:r>
          </w:p>
        </w:tc>
      </w:tr>
      <w:tr>
        <w:trPr>
          <w:cantSplit/>
        </w:trPr>
        <w:tc>
          <w:tcPr>
            <w:tcW w:type="dxa" w:w="1814"/>
          </w:tcPr>
          <w:p>
            <w:pPr>
              <w:spacing w:after="20"/>
            </w:pPr>
            <w:r/>
            <w:r>
              <w:rPr>
                <w:b w:val="0"/>
                <w:i w:val="0"/>
                <w:sz w:val="17"/>
              </w:rPr>
              <w:t>125</w:t>
            </w:r>
          </w:p>
        </w:tc>
        <w:tc>
          <w:tcPr>
            <w:tcW w:type="dxa" w:w="1701"/>
          </w:tcPr>
          <w:p>
            <w:pPr>
              <w:spacing w:after="20"/>
              <w:jc w:val="right"/>
            </w:pPr>
            <w:r/>
            <w:r>
              <w:rPr>
                <w:b w:val="0"/>
                <w:i w:val="0"/>
                <w:sz w:val="17"/>
              </w:rPr>
              <w:t>36.52</w:t>
            </w:r>
          </w:p>
        </w:tc>
        <w:tc>
          <w:tcPr>
            <w:tcW w:type="dxa" w:w="1361"/>
          </w:tcPr>
          <w:p>
            <w:pPr>
              <w:spacing w:after="20"/>
              <w:jc w:val="right"/>
            </w:pPr>
            <w:r/>
            <w:r>
              <w:rPr>
                <w:b w:val="0"/>
                <w:i w:val="0"/>
                <w:sz w:val="17"/>
              </w:rPr>
              <w:t>42.36</w:t>
            </w:r>
          </w:p>
        </w:tc>
        <w:tc>
          <w:tcPr>
            <w:tcW w:type="dxa" w:w="1701"/>
          </w:tcPr>
          <w:p>
            <w:pPr>
              <w:spacing w:after="20"/>
              <w:jc w:val="right"/>
            </w:pPr>
            <w:r/>
            <w:r>
              <w:rPr>
                <w:b w:val="0"/>
                <w:i w:val="0"/>
                <w:sz w:val="17"/>
              </w:rPr>
              <w:t>35.75</w:t>
            </w:r>
          </w:p>
        </w:tc>
        <w:tc>
          <w:tcPr>
            <w:tcW w:type="dxa" w:w="1474"/>
          </w:tcPr>
          <w:p>
            <w:pPr>
              <w:spacing w:after="20"/>
              <w:jc w:val="right"/>
            </w:pPr>
            <w:r/>
            <w:r>
              <w:rPr>
                <w:b w:val="0"/>
                <w:i w:val="0"/>
                <w:sz w:val="17"/>
              </w:rPr>
              <w:t>0.98</w:t>
            </w:r>
          </w:p>
        </w:tc>
        <w:tc>
          <w:tcPr>
            <w:tcW w:type="dxa" w:w="1701"/>
          </w:tcPr>
          <w:p>
            <w:pPr>
              <w:spacing w:after="20"/>
              <w:jc w:val="right"/>
            </w:pPr>
            <w:r/>
            <w:r>
              <w:rPr>
                <w:b w:val="0"/>
                <w:i w:val="0"/>
                <w:sz w:val="17"/>
              </w:rPr>
              <w:t>0.84</w:t>
            </w:r>
          </w:p>
        </w:tc>
      </w:tr>
      <w:tr>
        <w:trPr>
          <w:cantSplit/>
        </w:trPr>
        <w:tc>
          <w:tcPr>
            <w:tcW w:type="dxa" w:w="1814"/>
            <w:shd w:val="clear" w:color="auto" w:fill="EEF3F8"/>
          </w:tcPr>
          <w:p>
            <w:pPr>
              <w:spacing w:after="20"/>
            </w:pPr>
            <w:r/>
            <w:r>
              <w:rPr>
                <w:b w:val="0"/>
                <w:i w:val="0"/>
                <w:sz w:val="17"/>
              </w:rPr>
              <w:t>129.2 (central)</w:t>
            </w:r>
          </w:p>
        </w:tc>
        <w:tc>
          <w:tcPr>
            <w:tcW w:type="dxa" w:w="1701"/>
            <w:shd w:val="clear" w:color="auto" w:fill="EEF3F8"/>
          </w:tcPr>
          <w:p>
            <w:pPr>
              <w:spacing w:after="20"/>
              <w:jc w:val="right"/>
            </w:pPr>
            <w:r/>
            <w:r>
              <w:rPr>
                <w:b w:val="0"/>
                <w:i w:val="0"/>
                <w:sz w:val="17"/>
              </w:rPr>
              <w:t>37.75</w:t>
            </w:r>
          </w:p>
        </w:tc>
        <w:tc>
          <w:tcPr>
            <w:tcW w:type="dxa" w:w="1361"/>
            <w:shd w:val="clear" w:color="auto" w:fill="EEF3F8"/>
          </w:tcPr>
          <w:p>
            <w:pPr>
              <w:spacing w:after="20"/>
              <w:jc w:val="right"/>
            </w:pPr>
            <w:r/>
            <w:r>
              <w:rPr>
                <w:b w:val="0"/>
                <w:i w:val="0"/>
                <w:sz w:val="17"/>
              </w:rPr>
              <w:t>43.79</w:t>
            </w:r>
          </w:p>
        </w:tc>
        <w:tc>
          <w:tcPr>
            <w:tcW w:type="dxa" w:w="1701"/>
            <w:shd w:val="clear" w:color="auto" w:fill="EEF3F8"/>
          </w:tcPr>
          <w:p>
            <w:pPr>
              <w:spacing w:after="20"/>
              <w:jc w:val="right"/>
            </w:pPr>
            <w:r/>
            <w:r>
              <w:rPr>
                <w:b w:val="0"/>
                <w:i w:val="0"/>
                <w:sz w:val="17"/>
              </w:rPr>
              <w:t>35.75</w:t>
            </w:r>
          </w:p>
        </w:tc>
        <w:tc>
          <w:tcPr>
            <w:tcW w:type="dxa" w:w="1474"/>
            <w:shd w:val="clear" w:color="auto" w:fill="EEF3F8"/>
          </w:tcPr>
          <w:p>
            <w:pPr>
              <w:spacing w:after="20"/>
              <w:jc w:val="right"/>
            </w:pPr>
            <w:r/>
            <w:r>
              <w:rPr>
                <w:b w:val="0"/>
                <w:i w:val="0"/>
                <w:sz w:val="17"/>
              </w:rPr>
              <w:t>0.95</w:t>
            </w:r>
          </w:p>
        </w:tc>
        <w:tc>
          <w:tcPr>
            <w:tcW w:type="dxa" w:w="1701"/>
            <w:shd w:val="clear" w:color="auto" w:fill="EEF3F8"/>
          </w:tcPr>
          <w:p>
            <w:pPr>
              <w:spacing w:after="20"/>
              <w:jc w:val="right"/>
            </w:pPr>
            <w:r/>
            <w:r>
              <w:rPr>
                <w:b w:val="0"/>
                <w:i w:val="0"/>
                <w:sz w:val="17"/>
              </w:rPr>
              <w:t>0.82</w:t>
            </w:r>
          </w:p>
        </w:tc>
      </w:tr>
      <w:tr>
        <w:trPr>
          <w:cantSplit/>
        </w:trPr>
        <w:tc>
          <w:tcPr>
            <w:tcW w:type="dxa" w:w="1814"/>
          </w:tcPr>
          <w:p>
            <w:pPr>
              <w:spacing w:after="20"/>
            </w:pPr>
            <w:r/>
            <w:r>
              <w:rPr>
                <w:b w:val="0"/>
                <w:i w:val="0"/>
                <w:sz w:val="17"/>
              </w:rPr>
              <w:t>135</w:t>
            </w:r>
          </w:p>
        </w:tc>
        <w:tc>
          <w:tcPr>
            <w:tcW w:type="dxa" w:w="1701"/>
          </w:tcPr>
          <w:p>
            <w:pPr>
              <w:spacing w:after="20"/>
              <w:jc w:val="right"/>
            </w:pPr>
            <w:r/>
            <w:r>
              <w:rPr>
                <w:b w:val="0"/>
                <w:i w:val="0"/>
                <w:sz w:val="17"/>
              </w:rPr>
              <w:t>39.44</w:t>
            </w:r>
          </w:p>
        </w:tc>
        <w:tc>
          <w:tcPr>
            <w:tcW w:type="dxa" w:w="1361"/>
          </w:tcPr>
          <w:p>
            <w:pPr>
              <w:spacing w:after="20"/>
              <w:jc w:val="right"/>
            </w:pPr>
            <w:r/>
            <w:r>
              <w:rPr>
                <w:b w:val="0"/>
                <w:i w:val="0"/>
                <w:sz w:val="17"/>
              </w:rPr>
              <w:t>45.75</w:t>
            </w:r>
          </w:p>
        </w:tc>
        <w:tc>
          <w:tcPr>
            <w:tcW w:type="dxa" w:w="1701"/>
          </w:tcPr>
          <w:p>
            <w:pPr>
              <w:spacing w:after="20"/>
              <w:jc w:val="right"/>
            </w:pPr>
            <w:r/>
            <w:r>
              <w:rPr>
                <w:b w:val="0"/>
                <w:i w:val="0"/>
                <w:sz w:val="17"/>
              </w:rPr>
              <w:t>35.75</w:t>
            </w:r>
          </w:p>
        </w:tc>
        <w:tc>
          <w:tcPr>
            <w:tcW w:type="dxa" w:w="1474"/>
          </w:tcPr>
          <w:p>
            <w:pPr>
              <w:spacing w:after="20"/>
              <w:jc w:val="right"/>
            </w:pPr>
            <w:r/>
            <w:r>
              <w:rPr>
                <w:b w:val="0"/>
                <w:i w:val="0"/>
                <w:sz w:val="17"/>
              </w:rPr>
              <w:t>0.91</w:t>
            </w:r>
          </w:p>
        </w:tc>
        <w:tc>
          <w:tcPr>
            <w:tcW w:type="dxa" w:w="1701"/>
          </w:tcPr>
          <w:p>
            <w:pPr>
              <w:spacing w:after="20"/>
              <w:jc w:val="right"/>
            </w:pPr>
            <w:r/>
            <w:r>
              <w:rPr>
                <w:b w:val="0"/>
                <w:i w:val="0"/>
                <w:sz w:val="17"/>
              </w:rPr>
              <w:t>0.78</w:t>
            </w:r>
          </w:p>
        </w:tc>
      </w:tr>
    </w:tbl>
    <w:p>
      <w:r>
        <w:rPr>
          <w:i/>
          <w:sz w:val="16"/>
        </w:rPr>
        <w:t>Landed cost US$582.11/m³ (Feb-2026) → US$874.26/m³ (Aug-2026); Nairobi petrol KSh 178.28 → 214.03. Exchange rate is an assumption (flat); excise and margins are treated as fixed.</w:t>
      </w:r>
    </w:p>
    <w:p>
      <w:r>
        <w:rPr>
          <w:b w:val="0"/>
          <w:i w:val="0"/>
        </w:rPr>
        <w:t>Petrol’s landed cost rose 50% while the pump price rose 20%. In absolute shilling terms about 82% of the VAT-inclusive increase was passed on; the difference is consistent with government stabilisation support (for example, a KSh 938 million allocation in the August cycle and per-litre subsidies of KSh 6.53 on diesel in the March cycle). Percentage pass-through is low because taxes and margins are fixed-per-litre components. The 2025 landed costs reported by EPRA (about US$620/m³ in September–October 2025) show that the price level before the shock was already about 6% above February 2026.</w:t>
      </w:r>
    </w:p>
    <w:p>
      <w:pPr>
        <w:pStyle w:val="Heading1"/>
      </w:pPr>
      <w:r>
        <w:t>6. Import dependence and the landed-cost bill</w:t>
      </w:r>
    </w:p>
    <w:p>
      <w:r>
        <w:rPr>
          <w:b w:val="0"/>
          <w:i w:val="0"/>
        </w:rPr>
        <w:t xml:space="preserve">Kenya imports </w:t>
      </w:r>
      <w:r>
        <w:rPr>
          <w:b/>
          <w:i w:val="0"/>
        </w:rPr>
        <w:t>100%</w:t>
      </w:r>
      <w:r>
        <w:rPr>
          <w:b w:val="0"/>
          <w:i w:val="0"/>
        </w:rPr>
        <w:t xml:space="preserve"> of its refined petroleum: the Mombasa refinery (KPRL) is mothballed and there is no commercial crude production. Because dependence is structural, a ratio of imports to demand adds little at product level. What does differentiate products is source concentration and logistics. Petrol, diesel and kerosene are procured through G-to-G contracts with Gulf suppliers, which is why the Hormuz closure transmitted directly to Kenya.</w:t>
      </w:r>
    </w:p>
    <w:p>
      <w:pPr>
        <w:pStyle w:val="ListBullet"/>
        <w:spacing w:after="40"/>
      </w:pPr>
      <w:r>
        <w:rPr>
          <w:b/>
          <w:i w:val="0"/>
        </w:rPr>
        <w:t>Volumes (KNBS Economic Survey 2026, via press):</w:t>
      </w:r>
      <w:r>
        <w:rPr>
          <w:b w:val="0"/>
          <w:i w:val="0"/>
        </w:rPr>
        <w:t xml:space="preserve"> imports 5.5 Mt in 2025 (+12.2%); exports 983.5 kt, of which re-exports 940.6 kt; net imports about 4.5 Mt; domestic demand 5.7 Mt.</w:t>
      </w:r>
    </w:p>
    <w:p>
      <w:pPr>
        <w:pStyle w:val="ListBullet"/>
        <w:spacing w:after="40"/>
      </w:pPr>
      <w:r>
        <w:rPr>
          <w:b/>
          <w:i w:val="0"/>
        </w:rPr>
        <w:t>An unreconciled gap.</w:t>
      </w:r>
      <w:r>
        <w:rPr>
          <w:b w:val="0"/>
          <w:i w:val="0"/>
        </w:rPr>
        <w:t xml:space="preserve"> Net imports (4.5 Mt) are about 1.2 Mt below domestic demand (5.7 Mt). Stock drawdown, LPG channels, and category definitions could explain part; the Survey tables should be checked directly before relying on a ratio.</w:t>
      </w:r>
    </w:p>
    <w:p>
      <w:pPr>
        <w:pStyle w:val="ListBullet"/>
        <w:spacing w:after="40"/>
      </w:pPr>
      <w:r>
        <w:rPr>
          <w:b/>
          <w:i w:val="0"/>
        </w:rPr>
        <w:t>Import bill.</w:t>
      </w:r>
      <w:r>
        <w:rPr>
          <w:b w:val="0"/>
          <w:i w:val="0"/>
        </w:rPr>
        <w:t xml:space="preserve"> Press reports for 2025 differ (about KSh 511–529 billion), so no figure is used.</w:t>
      </w:r>
    </w:p>
    <w:p>
      <w:pPr>
        <w:pStyle w:val="Heading2"/>
      </w:pPr>
      <w:r>
        <w:t>6.1 What the 2026 landed-cost increase means for the import bill</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61"/>
            <w:shd w:val="clear" w:color="auto" w:fill="1F4E79"/>
          </w:tcPr>
          <w:p>
            <w:pPr>
              <w:spacing w:after="20"/>
            </w:pPr>
            <w:r/>
            <w:r>
              <w:rPr>
                <w:b/>
                <w:color w:val="FFFFFF"/>
                <w:sz w:val="17"/>
              </w:rPr>
              <w:t>Product</w:t>
            </w:r>
          </w:p>
        </w:tc>
        <w:tc>
          <w:tcPr>
            <w:tcW w:type="dxa" w:w="1474"/>
            <w:shd w:val="clear" w:color="auto" w:fill="1F4E79"/>
          </w:tcPr>
          <w:p>
            <w:pPr>
              <w:spacing w:after="20"/>
            </w:pPr>
            <w:r/>
            <w:r>
              <w:rPr>
                <w:b/>
                <w:color w:val="FFFFFF"/>
                <w:sz w:val="17"/>
              </w:rPr>
              <w:t>2026 baseline volume (ML)</w:t>
            </w:r>
          </w:p>
        </w:tc>
        <w:tc>
          <w:tcPr>
            <w:tcW w:type="dxa" w:w="1814"/>
            <w:shd w:val="clear" w:color="auto" w:fill="1F4E79"/>
          </w:tcPr>
          <w:p>
            <w:pPr>
              <w:spacing w:after="20"/>
            </w:pPr>
            <w:r/>
            <w:r>
              <w:rPr>
                <w:b/>
                <w:color w:val="FFFFFF"/>
                <w:sz w:val="17"/>
              </w:rPr>
              <w:t>Landed cost: from → to (US$/m³)</w:t>
            </w:r>
          </w:p>
        </w:tc>
        <w:tc>
          <w:tcPr>
            <w:tcW w:type="dxa" w:w="1361"/>
            <w:shd w:val="clear" w:color="auto" w:fill="1F4E79"/>
          </w:tcPr>
          <w:p>
            <w:pPr>
              <w:spacing w:after="20"/>
            </w:pPr>
            <w:r/>
            <w:r>
              <w:rPr>
                <w:b/>
                <w:color w:val="FFFFFF"/>
                <w:sz w:val="17"/>
              </w:rPr>
              <w:t>Bill at lower cost (US$ m)</w:t>
            </w:r>
          </w:p>
        </w:tc>
        <w:tc>
          <w:tcPr>
            <w:tcW w:type="dxa" w:w="1361"/>
            <w:shd w:val="clear" w:color="auto" w:fill="1F4E79"/>
          </w:tcPr>
          <w:p>
            <w:pPr>
              <w:spacing w:after="20"/>
            </w:pPr>
            <w:r/>
            <w:r>
              <w:rPr>
                <w:b/>
                <w:color w:val="FFFFFF"/>
                <w:sz w:val="17"/>
              </w:rPr>
              <w:t>Bill at higher cost (US$ m)</w:t>
            </w:r>
          </w:p>
        </w:tc>
        <w:tc>
          <w:tcPr>
            <w:tcW w:type="dxa" w:w="1134"/>
            <w:shd w:val="clear" w:color="auto" w:fill="1F4E79"/>
          </w:tcPr>
          <w:p>
            <w:pPr>
              <w:spacing w:after="20"/>
            </w:pPr>
            <w:r/>
            <w:r>
              <w:rPr>
                <w:b/>
                <w:color w:val="FFFFFF"/>
                <w:sz w:val="17"/>
              </w:rPr>
              <w:t>Increase (US$ m)</w:t>
            </w:r>
          </w:p>
        </w:tc>
        <w:tc>
          <w:tcPr>
            <w:tcW w:type="dxa" w:w="1134"/>
            <w:shd w:val="clear" w:color="auto" w:fill="1F4E79"/>
          </w:tcPr>
          <w:p>
            <w:pPr>
              <w:spacing w:after="20"/>
            </w:pPr>
            <w:r/>
            <w:r>
              <w:rPr>
                <w:b/>
                <w:color w:val="FFFFFF"/>
                <w:sz w:val="17"/>
              </w:rPr>
              <w:t>Increase (KSh bn)</w:t>
            </w:r>
          </w:p>
        </w:tc>
      </w:tr>
      <w:tr>
        <w:trPr>
          <w:cantSplit/>
        </w:trPr>
        <w:tc>
          <w:tcPr>
            <w:tcW w:type="dxa" w:w="1361"/>
          </w:tcPr>
          <w:p>
            <w:pPr>
              <w:spacing w:after="20"/>
            </w:pPr>
            <w:r/>
            <w:r>
              <w:rPr>
                <w:b w:val="0"/>
                <w:i w:val="0"/>
                <w:sz w:val="17"/>
              </w:rPr>
              <w:t>Petrol (PMS)</w:t>
            </w:r>
          </w:p>
        </w:tc>
        <w:tc>
          <w:tcPr>
            <w:tcW w:type="dxa" w:w="1474"/>
          </w:tcPr>
          <w:p>
            <w:pPr>
              <w:spacing w:after="20"/>
              <w:jc w:val="right"/>
            </w:pPr>
            <w:r/>
            <w:r>
              <w:rPr>
                <w:b w:val="0"/>
                <w:i w:val="0"/>
                <w:sz w:val="17"/>
              </w:rPr>
              <w:t>2,346</w:t>
            </w:r>
          </w:p>
        </w:tc>
        <w:tc>
          <w:tcPr>
            <w:tcW w:type="dxa" w:w="1814"/>
          </w:tcPr>
          <w:p>
            <w:pPr>
              <w:spacing w:after="20"/>
            </w:pPr>
            <w:r/>
            <w:r>
              <w:rPr>
                <w:b w:val="0"/>
                <w:i w:val="0"/>
                <w:sz w:val="17"/>
              </w:rPr>
              <w:t>582 → 874</w:t>
            </w:r>
          </w:p>
        </w:tc>
        <w:tc>
          <w:tcPr>
            <w:tcW w:type="dxa" w:w="1361"/>
          </w:tcPr>
          <w:p>
            <w:pPr>
              <w:spacing w:after="20"/>
              <w:jc w:val="right"/>
            </w:pPr>
            <w:r/>
            <w:r>
              <w:rPr>
                <w:b w:val="0"/>
                <w:i w:val="0"/>
                <w:sz w:val="17"/>
              </w:rPr>
              <w:t>1,366</w:t>
            </w:r>
          </w:p>
        </w:tc>
        <w:tc>
          <w:tcPr>
            <w:tcW w:type="dxa" w:w="1361"/>
          </w:tcPr>
          <w:p>
            <w:pPr>
              <w:spacing w:after="20"/>
              <w:jc w:val="right"/>
            </w:pPr>
            <w:r/>
            <w:r>
              <w:rPr>
                <w:b w:val="0"/>
                <w:i w:val="0"/>
                <w:sz w:val="17"/>
              </w:rPr>
              <w:t>2,051</w:t>
            </w:r>
          </w:p>
        </w:tc>
        <w:tc>
          <w:tcPr>
            <w:tcW w:type="dxa" w:w="1134"/>
          </w:tcPr>
          <w:p>
            <w:pPr>
              <w:spacing w:after="20"/>
              <w:jc w:val="right"/>
            </w:pPr>
            <w:r/>
            <w:r>
              <w:rPr>
                <w:b w:val="0"/>
                <w:i w:val="0"/>
                <w:sz w:val="17"/>
              </w:rPr>
              <w:t>685</w:t>
            </w:r>
          </w:p>
        </w:tc>
        <w:tc>
          <w:tcPr>
            <w:tcW w:type="dxa" w:w="1134"/>
          </w:tcPr>
          <w:p>
            <w:pPr>
              <w:spacing w:after="20"/>
              <w:jc w:val="right"/>
            </w:pPr>
            <w:r/>
            <w:r>
              <w:rPr>
                <w:b w:val="0"/>
                <w:i w:val="0"/>
                <w:sz w:val="17"/>
              </w:rPr>
              <w:t>89</w:t>
            </w:r>
          </w:p>
        </w:tc>
      </w:tr>
      <w:tr>
        <w:trPr>
          <w:cantSplit/>
        </w:trPr>
        <w:tc>
          <w:tcPr>
            <w:tcW w:type="dxa" w:w="1361"/>
            <w:shd w:val="clear" w:color="auto" w:fill="EEF3F8"/>
          </w:tcPr>
          <w:p>
            <w:pPr>
              <w:spacing w:after="20"/>
            </w:pPr>
            <w:r/>
            <w:r>
              <w:rPr>
                <w:b w:val="0"/>
                <w:i w:val="0"/>
                <w:sz w:val="17"/>
              </w:rPr>
              <w:t>Diesel (AGO)</w:t>
            </w:r>
          </w:p>
        </w:tc>
        <w:tc>
          <w:tcPr>
            <w:tcW w:type="dxa" w:w="1474"/>
            <w:shd w:val="clear" w:color="auto" w:fill="EEF3F8"/>
          </w:tcPr>
          <w:p>
            <w:pPr>
              <w:spacing w:after="20"/>
              <w:jc w:val="right"/>
            </w:pPr>
            <w:r/>
            <w:r>
              <w:rPr>
                <w:b w:val="0"/>
                <w:i w:val="0"/>
                <w:sz w:val="17"/>
              </w:rPr>
              <w:t>2,879</w:t>
            </w:r>
          </w:p>
        </w:tc>
        <w:tc>
          <w:tcPr>
            <w:tcW w:type="dxa" w:w="1814"/>
            <w:shd w:val="clear" w:color="auto" w:fill="EEF3F8"/>
          </w:tcPr>
          <w:p>
            <w:pPr>
              <w:spacing w:after="20"/>
            </w:pPr>
            <w:r/>
            <w:r>
              <w:rPr>
                <w:b w:val="0"/>
                <w:i w:val="0"/>
                <w:sz w:val="17"/>
              </w:rPr>
              <w:t>856 → 957</w:t>
            </w:r>
          </w:p>
        </w:tc>
        <w:tc>
          <w:tcPr>
            <w:tcW w:type="dxa" w:w="1361"/>
            <w:shd w:val="clear" w:color="auto" w:fill="EEF3F8"/>
          </w:tcPr>
          <w:p>
            <w:pPr>
              <w:spacing w:after="20"/>
              <w:jc w:val="right"/>
            </w:pPr>
            <w:r/>
            <w:r>
              <w:rPr>
                <w:b w:val="0"/>
                <w:i w:val="0"/>
                <w:sz w:val="17"/>
              </w:rPr>
              <w:t>2,463</w:t>
            </w:r>
          </w:p>
        </w:tc>
        <w:tc>
          <w:tcPr>
            <w:tcW w:type="dxa" w:w="1361"/>
            <w:shd w:val="clear" w:color="auto" w:fill="EEF3F8"/>
          </w:tcPr>
          <w:p>
            <w:pPr>
              <w:spacing w:after="20"/>
              <w:jc w:val="right"/>
            </w:pPr>
            <w:r/>
            <w:r>
              <w:rPr>
                <w:b w:val="0"/>
                <w:i w:val="0"/>
                <w:sz w:val="17"/>
              </w:rPr>
              <w:t>2,755</w:t>
            </w:r>
          </w:p>
        </w:tc>
        <w:tc>
          <w:tcPr>
            <w:tcW w:type="dxa" w:w="1134"/>
            <w:shd w:val="clear" w:color="auto" w:fill="EEF3F8"/>
          </w:tcPr>
          <w:p>
            <w:pPr>
              <w:spacing w:after="20"/>
              <w:jc w:val="right"/>
            </w:pPr>
            <w:r/>
            <w:r>
              <w:rPr>
                <w:b w:val="0"/>
                <w:i w:val="0"/>
                <w:sz w:val="17"/>
              </w:rPr>
              <w:t>292</w:t>
            </w:r>
          </w:p>
        </w:tc>
        <w:tc>
          <w:tcPr>
            <w:tcW w:type="dxa" w:w="1134"/>
            <w:shd w:val="clear" w:color="auto" w:fill="EEF3F8"/>
          </w:tcPr>
          <w:p>
            <w:pPr>
              <w:spacing w:after="20"/>
              <w:jc w:val="right"/>
            </w:pPr>
            <w:r/>
            <w:r>
              <w:rPr>
                <w:b w:val="0"/>
                <w:i w:val="0"/>
                <w:sz w:val="17"/>
              </w:rPr>
              <w:t>38</w:t>
            </w:r>
          </w:p>
        </w:tc>
      </w:tr>
    </w:tbl>
    <w:p>
      <w:r>
        <w:rPr>
          <w:i/>
          <w:sz w:val="16"/>
        </w:rPr>
        <w:t>Constant 2026 baseline volumes; petrol compares Feb-26 with Aug-26 landed cost; diesel compares Jul-26 with Aug-26 because the February 2026 diesel landed cost was not retrieved, so the diesel increase is a lower bound for the full shock. KSh at 129.2 per US$. Illustrative arithmetic, not a customs-based import bill.</w:t>
      </w:r>
    </w:p>
    <w:p>
      <w:r>
        <w:rPr>
          <w:b w:val="0"/>
          <w:i w:val="0"/>
        </w:rPr>
        <w:t>At constant volumes, the petrol shock alone adds roughly US$0.7 billion a year (about KSh 89 billion). Diesel adds at least US$0.3 billion even on a Jul-to-Aug comparison. The exchange-rate channel is separate: each 1% depreciation of the shilling raises the shilling cost of the whole bill by 1%.</w:t>
      </w:r>
    </w:p>
    <w:p>
      <w:pPr>
        <w:pStyle w:val="Heading1"/>
      </w:pPr>
      <w:r>
        <w:t>7. Price elasticity of demand</w:t>
      </w:r>
    </w:p>
    <w:p>
      <w:r>
        <w:rPr>
          <w:b/>
          <w:i w:val="0"/>
        </w:rPr>
        <w:t>Own estimate (rejected).</w:t>
      </w:r>
      <w:r>
        <w:rPr>
          <w:b w:val="0"/>
          <w:i w:val="0"/>
        </w:rPr>
        <w:t xml:space="preserve"> A log-log regression of monthly demand on price with a time trend, using the 14 months for which both exist, gives *positive* price elasticities: diesel +1.65 (95% CI 0.72 to 2.58; Newey-West) and petrol +0.69 (−0.33 to 1.71). Positive signs mean the regression is capturing the common trend and the July–October seasonal demand peak, which coincided with a mid-2025 price increase, not demand response. Prices took only 7–8 distinct values over the sample. The data cannot identify an elasticity, and none is reported as a finding. This failure is informative: administered, infrequently changing prices with a short window and strong trend growth give no usable price variation.</w:t>
      </w:r>
    </w:p>
    <w:p>
      <w:r>
        <w:rPr>
          <w:b/>
          <w:i w:val="0"/>
        </w:rPr>
        <w:t>Elasticities implied by EPRA’s demand equations</w:t>
      </w:r>
      <w:r>
        <w:rPr>
          <w:b w:val="0"/>
          <w:i w:val="0"/>
        </w:rPr>
        <w:t xml:space="preserve"> (PDP 2025–29, Section 3.4), evaluated at 2024 base values: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587"/>
            <w:shd w:val="clear" w:color="auto" w:fill="1F4E79"/>
          </w:tcPr>
          <w:p>
            <w:pPr>
              <w:spacing w:after="20"/>
            </w:pPr>
            <w:r/>
            <w:r>
              <w:rPr>
                <w:b/>
                <w:color w:val="FFFFFF"/>
                <w:sz w:val="17"/>
              </w:rPr>
              <w:t>Product</w:t>
            </w:r>
          </w:p>
        </w:tc>
        <w:tc>
          <w:tcPr>
            <w:tcW w:type="dxa" w:w="2494"/>
            <w:shd w:val="clear" w:color="auto" w:fill="1F4E79"/>
          </w:tcPr>
          <w:p>
            <w:pPr>
              <w:spacing w:after="20"/>
            </w:pPr>
            <w:r/>
            <w:r>
              <w:rPr>
                <w:b/>
                <w:color w:val="FFFFFF"/>
                <w:sz w:val="17"/>
              </w:rPr>
              <w:t>Coefficient on price</w:t>
            </w:r>
          </w:p>
        </w:tc>
        <w:tc>
          <w:tcPr>
            <w:tcW w:type="dxa" w:w="1814"/>
            <w:shd w:val="clear" w:color="auto" w:fill="1F4E79"/>
          </w:tcPr>
          <w:p>
            <w:pPr>
              <w:spacing w:after="20"/>
            </w:pPr>
            <w:r/>
            <w:r>
              <w:rPr>
                <w:b/>
                <w:color w:val="FFFFFF"/>
                <w:sz w:val="17"/>
              </w:rPr>
              <w:t>Short-run elasticity</w:t>
            </w:r>
          </w:p>
        </w:tc>
        <w:tc>
          <w:tcPr>
            <w:tcW w:type="dxa" w:w="1587"/>
            <w:shd w:val="clear" w:color="auto" w:fill="1F4E79"/>
          </w:tcPr>
          <w:p>
            <w:pPr>
              <w:spacing w:after="20"/>
            </w:pPr>
            <w:r/>
            <w:r>
              <w:rPr>
                <w:b/>
                <w:color w:val="FFFFFF"/>
                <w:sz w:val="17"/>
              </w:rPr>
              <w:t>Lag coefficient</w:t>
            </w:r>
          </w:p>
        </w:tc>
        <w:tc>
          <w:tcPr>
            <w:tcW w:type="dxa" w:w="1701"/>
            <w:shd w:val="clear" w:color="auto" w:fill="1F4E79"/>
          </w:tcPr>
          <w:p>
            <w:pPr>
              <w:spacing w:after="20"/>
            </w:pPr>
            <w:r/>
            <w:r>
              <w:rPr>
                <w:b/>
                <w:color w:val="FFFFFF"/>
                <w:sz w:val="17"/>
              </w:rPr>
              <w:t>Long-run elasticity</w:t>
            </w:r>
          </w:p>
        </w:tc>
      </w:tr>
      <w:tr>
        <w:trPr>
          <w:cantSplit/>
        </w:trPr>
        <w:tc>
          <w:tcPr>
            <w:tcW w:type="dxa" w:w="1587"/>
          </w:tcPr>
          <w:p>
            <w:pPr>
              <w:spacing w:after="20"/>
            </w:pPr>
            <w:r/>
            <w:r>
              <w:rPr>
                <w:b w:val="0"/>
                <w:i w:val="0"/>
                <w:sz w:val="17"/>
              </w:rPr>
              <w:t>Diesel</w:t>
            </w:r>
          </w:p>
        </w:tc>
        <w:tc>
          <w:tcPr>
            <w:tcW w:type="dxa" w:w="2494"/>
          </w:tcPr>
          <w:p>
            <w:pPr>
              <w:spacing w:after="20"/>
            </w:pPr>
            <w:r/>
            <w:r>
              <w:rPr>
                <w:b w:val="0"/>
                <w:i w:val="0"/>
                <w:sz w:val="17"/>
              </w:rPr>
              <w:t>−2.7057 ML per KSh/L</w:t>
            </w:r>
          </w:p>
        </w:tc>
        <w:tc>
          <w:tcPr>
            <w:tcW w:type="dxa" w:w="1814"/>
          </w:tcPr>
          <w:p>
            <w:pPr>
              <w:spacing w:after="20"/>
              <w:jc w:val="right"/>
            </w:pPr>
            <w:r/>
            <w:r>
              <w:rPr>
                <w:b w:val="0"/>
                <w:i w:val="0"/>
                <w:sz w:val="17"/>
              </w:rPr>
              <w:t>−0.185</w:t>
            </w:r>
          </w:p>
        </w:tc>
        <w:tc>
          <w:tcPr>
            <w:tcW w:type="dxa" w:w="1587"/>
          </w:tcPr>
          <w:p>
            <w:pPr>
              <w:spacing w:after="20"/>
              <w:jc w:val="right"/>
            </w:pPr>
            <w:r/>
            <w:r>
              <w:rPr>
                <w:b w:val="0"/>
                <w:i w:val="0"/>
                <w:sz w:val="17"/>
              </w:rPr>
              <w:t>0.6754</w:t>
            </w:r>
          </w:p>
        </w:tc>
        <w:tc>
          <w:tcPr>
            <w:tcW w:type="dxa" w:w="1701"/>
          </w:tcPr>
          <w:p>
            <w:pPr>
              <w:spacing w:after="20"/>
              <w:jc w:val="right"/>
            </w:pPr>
            <w:r/>
            <w:r>
              <w:rPr>
                <w:b w:val="0"/>
                <w:i w:val="0"/>
                <w:sz w:val="17"/>
              </w:rPr>
              <w:t>−0.57</w:t>
            </w:r>
          </w:p>
        </w:tc>
      </w:tr>
      <w:tr>
        <w:trPr>
          <w:cantSplit/>
        </w:trPr>
        <w:tc>
          <w:tcPr>
            <w:tcW w:type="dxa" w:w="1587"/>
            <w:shd w:val="clear" w:color="auto" w:fill="EEF3F8"/>
          </w:tcPr>
          <w:p>
            <w:pPr>
              <w:spacing w:after="20"/>
            </w:pPr>
            <w:r/>
            <w:r>
              <w:rPr>
                <w:b w:val="0"/>
                <w:i w:val="0"/>
                <w:sz w:val="17"/>
              </w:rPr>
              <w:t>Petrol</w:t>
            </w:r>
          </w:p>
        </w:tc>
        <w:tc>
          <w:tcPr>
            <w:tcW w:type="dxa" w:w="2494"/>
            <w:shd w:val="clear" w:color="auto" w:fill="EEF3F8"/>
          </w:tcPr>
          <w:p>
            <w:pPr>
              <w:spacing w:after="20"/>
            </w:pPr>
            <w:r/>
            <w:r>
              <w:rPr>
                <w:b w:val="0"/>
                <w:i w:val="0"/>
                <w:sz w:val="17"/>
              </w:rPr>
              <w:t>−1.0243 ML per KSh/L</w:t>
            </w:r>
          </w:p>
        </w:tc>
        <w:tc>
          <w:tcPr>
            <w:tcW w:type="dxa" w:w="1814"/>
            <w:shd w:val="clear" w:color="auto" w:fill="EEF3F8"/>
          </w:tcPr>
          <w:p>
            <w:pPr>
              <w:spacing w:after="20"/>
              <w:jc w:val="right"/>
            </w:pPr>
            <w:r/>
            <w:r>
              <w:rPr>
                <w:b w:val="0"/>
                <w:i w:val="0"/>
                <w:sz w:val="17"/>
              </w:rPr>
              <w:t>−0.096</w:t>
            </w:r>
          </w:p>
        </w:tc>
        <w:tc>
          <w:tcPr>
            <w:tcW w:type="dxa" w:w="1587"/>
            <w:shd w:val="clear" w:color="auto" w:fill="EEF3F8"/>
          </w:tcPr>
          <w:p>
            <w:pPr>
              <w:spacing w:after="20"/>
              <w:jc w:val="right"/>
            </w:pPr>
            <w:r/>
            <w:r>
              <w:rPr>
                <w:b w:val="0"/>
                <w:i w:val="0"/>
                <w:sz w:val="17"/>
              </w:rPr>
              <w:t>0.6284</w:t>
            </w:r>
          </w:p>
        </w:tc>
        <w:tc>
          <w:tcPr>
            <w:tcW w:type="dxa" w:w="1701"/>
            <w:shd w:val="clear" w:color="auto" w:fill="EEF3F8"/>
          </w:tcPr>
          <w:p>
            <w:pPr>
              <w:spacing w:after="20"/>
              <w:jc w:val="right"/>
            </w:pPr>
            <w:r/>
            <w:r>
              <w:rPr>
                <w:b w:val="0"/>
                <w:i w:val="0"/>
                <w:sz w:val="17"/>
              </w:rPr>
              <w:t>−0.26</w:t>
            </w:r>
          </w:p>
        </w:tc>
      </w:tr>
    </w:tbl>
    <w:p>
      <w:r>
        <w:rPr>
          <w:i/>
          <w:sz w:val="16"/>
        </w:rPr>
        <w:t>Short-run = coefficient × price / quantity (178.30/2,608 ML diesel; 191.8/2,044 ML petrol). Long-run = short-run / (1 − lag coefficient).</w:t>
      </w:r>
    </w:p>
    <w:p>
      <w:r>
        <w:rPr>
          <w:b/>
          <w:i w:val="0"/>
        </w:rPr>
        <w:t>Reading.</w:t>
      </w:r>
      <w:r>
        <w:rPr>
          <w:b w:val="0"/>
          <w:i w:val="0"/>
        </w:rPr>
        <w:t xml:space="preserve"> A 10% sustained rise in diesel price cuts diesel demand by about 1.9% within the year and about 5.7% in the long run, holding other factors constant. Demand for transport fuel is inelastic in the short run; shocks show up first as price and stock stress, not as demand destruction. These elasticities are used in the scenarios. The shock of 2026 (diesel +20% on average in the baseline) therefore removes about 3.3% of diesel demand in the first year and a further 7% over 2027–28 if prices stay high.</w:t>
      </w:r>
    </w:p>
    <w:p>
      <w:r>
        <w:rPr>
          <w:b w:val="0"/>
          <w:i w:val="0"/>
        </w:rPr>
        <w:t>For LPG, kerosene and jet fuel, no elasticities are available from the PDP text retrieved; the scenarios use assumed values (LPG −0.15/−0.30; kerosene −0.2/−0.5; jet 0), which should be replaced when estimates are available.</w:t>
      </w:r>
    </w:p>
    <w:p>
      <w:r>
        <w:br w:type="page"/>
      </w:r>
    </w:p>
    <w:p>
      <w:pPr>
        <w:pStyle w:val="Heading1"/>
      </w:pPr>
      <w:r>
        <w:t>8. Demand forecasts</w:t>
      </w:r>
    </w:p>
    <w:p>
      <w:pPr>
        <w:pStyle w:val="Heading2"/>
      </w:pPr>
      <w:r>
        <w:t>8.1 Forecasting tournament</w:t>
      </w:r>
    </w:p>
    <w:p>
      <w:r>
        <w:rPr>
          <w:b w:val="0"/>
          <w:i w:val="0"/>
        </w:rPr>
        <w:t>Eight models were evaluated on rolling origins (train on the first 18–25 months, forecast up to six months ahead; 33 forecast-error observations per model and series). Metrics: MAE, RMSE, MAPE, sMAPE, MASE. Note that SARIMA/ARIMAX and full Holt-Winters are not estimable with two seasonal cycles and no long exogenous series.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2948"/>
            <w:shd w:val="clear" w:color="auto" w:fill="1F4E79"/>
          </w:tcPr>
          <w:p>
            <w:pPr>
              <w:spacing w:after="20"/>
            </w:pPr>
            <w:r/>
            <w:r>
              <w:rPr>
                <w:b/>
                <w:color w:val="FFFFFF"/>
                <w:sz w:val="17"/>
              </w:rPr>
              <w:t>Model (sMAPE, %)</w:t>
            </w:r>
          </w:p>
        </w:tc>
        <w:tc>
          <w:tcPr>
            <w:tcW w:type="dxa" w:w="1247"/>
            <w:shd w:val="clear" w:color="auto" w:fill="1F4E79"/>
          </w:tcPr>
          <w:p>
            <w:pPr>
              <w:spacing w:after="20"/>
            </w:pPr>
            <w:r/>
            <w:r>
              <w:rPr>
                <w:b/>
                <w:color w:val="FFFFFF"/>
                <w:sz w:val="17"/>
              </w:rPr>
              <w:t>Diesel (AGO)</w:t>
            </w:r>
          </w:p>
        </w:tc>
        <w:tc>
          <w:tcPr>
            <w:tcW w:type="dxa" w:w="1247"/>
            <w:shd w:val="clear" w:color="auto" w:fill="1F4E79"/>
          </w:tcPr>
          <w:p>
            <w:pPr>
              <w:spacing w:after="20"/>
            </w:pPr>
            <w:r/>
            <w:r>
              <w:rPr>
                <w:b/>
                <w:color w:val="FFFFFF"/>
                <w:sz w:val="17"/>
              </w:rPr>
              <w:t>Petrol (PMS)</w:t>
            </w:r>
          </w:p>
        </w:tc>
        <w:tc>
          <w:tcPr>
            <w:tcW w:type="dxa" w:w="1134"/>
            <w:shd w:val="clear" w:color="auto" w:fill="1F4E79"/>
          </w:tcPr>
          <w:p>
            <w:pPr>
              <w:spacing w:after="20"/>
            </w:pPr>
            <w:r/>
            <w:r>
              <w:rPr>
                <w:b/>
                <w:color w:val="FFFFFF"/>
                <w:sz w:val="17"/>
              </w:rPr>
              <w:t>LPG</w:t>
            </w:r>
          </w:p>
        </w:tc>
        <w:tc>
          <w:tcPr>
            <w:tcW w:type="dxa" w:w="1247"/>
            <w:shd w:val="clear" w:color="auto" w:fill="1F4E79"/>
          </w:tcPr>
          <w:p>
            <w:pPr>
              <w:spacing w:after="20"/>
            </w:pPr>
            <w:r/>
            <w:r>
              <w:rPr>
                <w:b/>
                <w:color w:val="FFFFFF"/>
                <w:sz w:val="17"/>
              </w:rPr>
              <w:t>Jet fuel*</w:t>
            </w:r>
          </w:p>
        </w:tc>
        <w:tc>
          <w:tcPr>
            <w:tcW w:type="dxa" w:w="1134"/>
            <w:shd w:val="clear" w:color="auto" w:fill="1F4E79"/>
          </w:tcPr>
          <w:p>
            <w:pPr>
              <w:spacing w:after="20"/>
            </w:pPr>
            <w:r/>
            <w:r>
              <w:rPr>
                <w:b/>
                <w:color w:val="FFFFFF"/>
                <w:sz w:val="17"/>
              </w:rPr>
              <w:t>Total</w:t>
            </w:r>
          </w:p>
        </w:tc>
      </w:tr>
      <w:tr>
        <w:trPr>
          <w:cantSplit/>
        </w:trPr>
        <w:tc>
          <w:tcPr>
            <w:tcW w:type="dxa" w:w="2948"/>
          </w:tcPr>
          <w:p>
            <w:pPr>
              <w:spacing w:after="20"/>
            </w:pPr>
            <w:r/>
            <w:r>
              <w:rPr>
                <w:b w:val="0"/>
                <w:i w:val="0"/>
                <w:sz w:val="17"/>
              </w:rPr>
              <w:t>ARIMA(0,1,1)</w:t>
            </w:r>
          </w:p>
        </w:tc>
        <w:tc>
          <w:tcPr>
            <w:tcW w:type="dxa" w:w="1247"/>
          </w:tcPr>
          <w:p>
            <w:pPr>
              <w:spacing w:after="20"/>
              <w:jc w:val="right"/>
            </w:pPr>
            <w:r/>
            <w:r>
              <w:rPr>
                <w:b w:val="0"/>
                <w:i w:val="0"/>
                <w:sz w:val="17"/>
              </w:rPr>
              <w:t>4.78</w:t>
            </w:r>
          </w:p>
        </w:tc>
        <w:tc>
          <w:tcPr>
            <w:tcW w:type="dxa" w:w="1247"/>
          </w:tcPr>
          <w:p>
            <w:pPr>
              <w:spacing w:after="20"/>
              <w:jc w:val="right"/>
            </w:pPr>
            <w:r/>
            <w:r>
              <w:rPr>
                <w:b w:val="0"/>
                <w:i w:val="0"/>
                <w:sz w:val="17"/>
              </w:rPr>
              <w:t>7.24</w:t>
            </w:r>
          </w:p>
        </w:tc>
        <w:tc>
          <w:tcPr>
            <w:tcW w:type="dxa" w:w="1134"/>
          </w:tcPr>
          <w:p>
            <w:pPr>
              <w:spacing w:after="20"/>
              <w:jc w:val="right"/>
            </w:pPr>
            <w:r/>
            <w:r>
              <w:rPr>
                <w:b w:val="0"/>
                <w:i w:val="0"/>
                <w:sz w:val="17"/>
              </w:rPr>
              <w:t>6.06</w:t>
            </w:r>
          </w:p>
        </w:tc>
        <w:tc>
          <w:tcPr>
            <w:tcW w:type="dxa" w:w="1247"/>
          </w:tcPr>
          <w:p>
            <w:pPr>
              <w:spacing w:after="20"/>
              <w:jc w:val="right"/>
            </w:pPr>
            <w:r/>
            <w:r>
              <w:rPr>
                <w:b w:val="0"/>
                <w:i w:val="0"/>
                <w:sz w:val="17"/>
              </w:rPr>
              <w:t>4.34</w:t>
            </w:r>
          </w:p>
        </w:tc>
        <w:tc>
          <w:tcPr>
            <w:tcW w:type="dxa" w:w="1134"/>
          </w:tcPr>
          <w:p>
            <w:pPr>
              <w:spacing w:after="20"/>
              <w:jc w:val="right"/>
            </w:pPr>
            <w:r/>
            <w:r>
              <w:rPr>
                <w:b w:val="0"/>
                <w:i w:val="0"/>
                <w:sz w:val="17"/>
              </w:rPr>
              <w:t>5.19</w:t>
            </w:r>
          </w:p>
        </w:tc>
      </w:tr>
      <w:tr>
        <w:trPr>
          <w:cantSplit/>
        </w:trPr>
        <w:tc>
          <w:tcPr>
            <w:tcW w:type="dxa" w:w="2948"/>
            <w:shd w:val="clear" w:color="auto" w:fill="EEF3F8"/>
          </w:tcPr>
          <w:p>
            <w:pPr>
              <w:spacing w:after="20"/>
            </w:pPr>
            <w:r/>
            <w:r>
              <w:rPr>
                <w:b w:val="0"/>
                <w:i w:val="0"/>
                <w:sz w:val="17"/>
              </w:rPr>
              <w:t>Damped-trend ETS</w:t>
            </w:r>
          </w:p>
        </w:tc>
        <w:tc>
          <w:tcPr>
            <w:tcW w:type="dxa" w:w="1247"/>
            <w:shd w:val="clear" w:color="auto" w:fill="EEF3F8"/>
          </w:tcPr>
          <w:p>
            <w:pPr>
              <w:spacing w:after="20"/>
              <w:jc w:val="right"/>
            </w:pPr>
            <w:r/>
            <w:r>
              <w:rPr>
                <w:b w:val="0"/>
                <w:i w:val="0"/>
                <w:sz w:val="17"/>
              </w:rPr>
              <w:t>4.31</w:t>
            </w:r>
          </w:p>
        </w:tc>
        <w:tc>
          <w:tcPr>
            <w:tcW w:type="dxa" w:w="1247"/>
            <w:shd w:val="clear" w:color="auto" w:fill="EEF3F8"/>
          </w:tcPr>
          <w:p>
            <w:pPr>
              <w:spacing w:after="20"/>
              <w:jc w:val="right"/>
            </w:pPr>
            <w:r/>
            <w:r>
              <w:rPr>
                <w:b w:val="0"/>
                <w:i w:val="0"/>
                <w:sz w:val="17"/>
              </w:rPr>
              <w:t>6.66</w:t>
            </w:r>
          </w:p>
        </w:tc>
        <w:tc>
          <w:tcPr>
            <w:tcW w:type="dxa" w:w="1134"/>
            <w:shd w:val="clear" w:color="auto" w:fill="EEF3F8"/>
          </w:tcPr>
          <w:p>
            <w:pPr>
              <w:spacing w:after="20"/>
              <w:jc w:val="right"/>
            </w:pPr>
            <w:r/>
            <w:r>
              <w:rPr>
                <w:b w:val="0"/>
                <w:i w:val="0"/>
                <w:sz w:val="17"/>
              </w:rPr>
              <w:t>5.42</w:t>
            </w:r>
          </w:p>
        </w:tc>
        <w:tc>
          <w:tcPr>
            <w:tcW w:type="dxa" w:w="1247"/>
            <w:shd w:val="clear" w:color="auto" w:fill="EEF3F8"/>
          </w:tcPr>
          <w:p>
            <w:pPr>
              <w:spacing w:after="20"/>
              <w:jc w:val="right"/>
            </w:pPr>
            <w:r/>
            <w:r>
              <w:rPr>
                <w:b w:val="0"/>
                <w:i w:val="0"/>
                <w:sz w:val="17"/>
              </w:rPr>
              <w:t>4.51</w:t>
            </w:r>
          </w:p>
        </w:tc>
        <w:tc>
          <w:tcPr>
            <w:tcW w:type="dxa" w:w="1134"/>
            <w:shd w:val="clear" w:color="auto" w:fill="EEF3F8"/>
          </w:tcPr>
          <w:p>
            <w:pPr>
              <w:spacing w:after="20"/>
              <w:jc w:val="right"/>
            </w:pPr>
            <w:r/>
            <w:r>
              <w:rPr>
                <w:b w:val="0"/>
                <w:i w:val="0"/>
                <w:sz w:val="17"/>
              </w:rPr>
              <w:t>4.94</w:t>
            </w:r>
          </w:p>
        </w:tc>
      </w:tr>
      <w:tr>
        <w:trPr>
          <w:cantSplit/>
        </w:trPr>
        <w:tc>
          <w:tcPr>
            <w:tcW w:type="dxa" w:w="2948"/>
          </w:tcPr>
          <w:p>
            <w:pPr>
              <w:spacing w:after="20"/>
            </w:pPr>
            <w:r/>
            <w:r>
              <w:rPr>
                <w:b w:val="0"/>
                <w:i w:val="0"/>
                <w:sz w:val="17"/>
              </w:rPr>
              <w:t>Drift</w:t>
            </w:r>
          </w:p>
        </w:tc>
        <w:tc>
          <w:tcPr>
            <w:tcW w:type="dxa" w:w="1247"/>
          </w:tcPr>
          <w:p>
            <w:pPr>
              <w:spacing w:after="20"/>
              <w:jc w:val="right"/>
            </w:pPr>
            <w:r/>
            <w:r>
              <w:rPr>
                <w:b w:val="0"/>
                <w:i w:val="0"/>
                <w:sz w:val="17"/>
              </w:rPr>
              <w:t>6.56</w:t>
            </w:r>
          </w:p>
        </w:tc>
        <w:tc>
          <w:tcPr>
            <w:tcW w:type="dxa" w:w="1247"/>
          </w:tcPr>
          <w:p>
            <w:pPr>
              <w:spacing w:after="20"/>
              <w:jc w:val="right"/>
            </w:pPr>
            <w:r/>
            <w:r>
              <w:rPr>
                <w:b w:val="0"/>
                <w:i w:val="0"/>
                <w:sz w:val="17"/>
              </w:rPr>
              <w:t>7.67</w:t>
            </w:r>
          </w:p>
        </w:tc>
        <w:tc>
          <w:tcPr>
            <w:tcW w:type="dxa" w:w="1134"/>
          </w:tcPr>
          <w:p>
            <w:pPr>
              <w:spacing w:after="20"/>
              <w:jc w:val="right"/>
            </w:pPr>
            <w:r/>
            <w:r>
              <w:rPr>
                <w:b w:val="0"/>
                <w:i w:val="0"/>
                <w:sz w:val="17"/>
              </w:rPr>
              <w:t>5.73</w:t>
            </w:r>
          </w:p>
        </w:tc>
        <w:tc>
          <w:tcPr>
            <w:tcW w:type="dxa" w:w="1247"/>
          </w:tcPr>
          <w:p>
            <w:pPr>
              <w:spacing w:after="20"/>
              <w:jc w:val="right"/>
            </w:pPr>
            <w:r/>
            <w:r>
              <w:rPr>
                <w:b w:val="0"/>
                <w:i w:val="0"/>
                <w:sz w:val="17"/>
              </w:rPr>
              <w:t>5.69</w:t>
            </w:r>
          </w:p>
        </w:tc>
        <w:tc>
          <w:tcPr>
            <w:tcW w:type="dxa" w:w="1134"/>
          </w:tcPr>
          <w:p>
            <w:pPr>
              <w:spacing w:after="20"/>
              <w:jc w:val="right"/>
            </w:pPr>
            <w:r/>
            <w:r>
              <w:rPr>
                <w:b w:val="0"/>
                <w:i w:val="0"/>
                <w:sz w:val="17"/>
              </w:rPr>
              <w:t>6.41</w:t>
            </w:r>
          </w:p>
        </w:tc>
      </w:tr>
      <w:tr>
        <w:trPr>
          <w:cantSplit/>
        </w:trPr>
        <w:tc>
          <w:tcPr>
            <w:tcW w:type="dxa" w:w="2948"/>
            <w:shd w:val="clear" w:color="auto" w:fill="EEF3F8"/>
          </w:tcPr>
          <w:p>
            <w:pPr>
              <w:spacing w:after="20"/>
            </w:pPr>
            <w:r/>
            <w:r>
              <w:rPr>
                <w:b w:val="0"/>
                <w:i w:val="0"/>
                <w:sz w:val="17"/>
              </w:rPr>
              <w:t>Log-trend + seasonal (shrunk)</w:t>
            </w:r>
          </w:p>
        </w:tc>
        <w:tc>
          <w:tcPr>
            <w:tcW w:type="dxa" w:w="1247"/>
            <w:shd w:val="clear" w:color="auto" w:fill="EEF3F8"/>
          </w:tcPr>
          <w:p>
            <w:pPr>
              <w:spacing w:after="20"/>
              <w:jc w:val="right"/>
            </w:pPr>
            <w:r/>
            <w:r>
              <w:rPr>
                <w:b w:val="0"/>
                <w:i w:val="0"/>
                <w:sz w:val="17"/>
              </w:rPr>
              <w:t>3.77</w:t>
            </w:r>
          </w:p>
        </w:tc>
        <w:tc>
          <w:tcPr>
            <w:tcW w:type="dxa" w:w="1247"/>
            <w:shd w:val="clear" w:color="auto" w:fill="EEF3F8"/>
          </w:tcPr>
          <w:p>
            <w:pPr>
              <w:spacing w:after="20"/>
              <w:jc w:val="right"/>
            </w:pPr>
            <w:r/>
            <w:r>
              <w:rPr>
                <w:b w:val="0"/>
                <w:i w:val="0"/>
                <w:sz w:val="17"/>
              </w:rPr>
              <w:t>3.50</w:t>
            </w:r>
          </w:p>
        </w:tc>
        <w:tc>
          <w:tcPr>
            <w:tcW w:type="dxa" w:w="1134"/>
            <w:shd w:val="clear" w:color="auto" w:fill="EEF3F8"/>
          </w:tcPr>
          <w:p>
            <w:pPr>
              <w:spacing w:after="20"/>
              <w:jc w:val="right"/>
            </w:pPr>
            <w:r/>
            <w:r>
              <w:rPr>
                <w:b w:val="0"/>
                <w:i w:val="0"/>
                <w:sz w:val="17"/>
              </w:rPr>
              <w:t>3.95</w:t>
            </w:r>
          </w:p>
        </w:tc>
        <w:tc>
          <w:tcPr>
            <w:tcW w:type="dxa" w:w="1247"/>
            <w:shd w:val="clear" w:color="auto" w:fill="EEF3F8"/>
          </w:tcPr>
          <w:p>
            <w:pPr>
              <w:spacing w:after="20"/>
              <w:jc w:val="right"/>
            </w:pPr>
            <w:r/>
            <w:r>
              <w:rPr>
                <w:b w:val="0"/>
                <w:i w:val="0"/>
                <w:sz w:val="17"/>
              </w:rPr>
              <w:t>3.65</w:t>
            </w:r>
          </w:p>
        </w:tc>
        <w:tc>
          <w:tcPr>
            <w:tcW w:type="dxa" w:w="1134"/>
            <w:shd w:val="clear" w:color="auto" w:fill="EEF3F8"/>
          </w:tcPr>
          <w:p>
            <w:pPr>
              <w:spacing w:after="20"/>
              <w:jc w:val="right"/>
            </w:pPr>
            <w:r/>
            <w:r>
              <w:rPr>
                <w:b w:val="0"/>
                <w:i w:val="0"/>
                <w:sz w:val="17"/>
              </w:rPr>
              <w:t>3.41</w:t>
            </w:r>
          </w:p>
        </w:tc>
      </w:tr>
      <w:tr>
        <w:trPr>
          <w:cantSplit/>
        </w:trPr>
        <w:tc>
          <w:tcPr>
            <w:tcW w:type="dxa" w:w="2948"/>
          </w:tcPr>
          <w:p>
            <w:pPr>
              <w:spacing w:after="20"/>
            </w:pPr>
            <w:r/>
            <w:r>
              <w:rPr>
                <w:b w:val="0"/>
                <w:i w:val="0"/>
                <w:sz w:val="17"/>
              </w:rPr>
              <w:t>Mean (last 6m)</w:t>
            </w:r>
          </w:p>
        </w:tc>
        <w:tc>
          <w:tcPr>
            <w:tcW w:type="dxa" w:w="1247"/>
          </w:tcPr>
          <w:p>
            <w:pPr>
              <w:spacing w:after="20"/>
              <w:jc w:val="right"/>
            </w:pPr>
            <w:r/>
            <w:r>
              <w:rPr>
                <w:b w:val="0"/>
                <w:i w:val="0"/>
                <w:sz w:val="17"/>
              </w:rPr>
              <w:t>4.89</w:t>
            </w:r>
          </w:p>
        </w:tc>
        <w:tc>
          <w:tcPr>
            <w:tcW w:type="dxa" w:w="1247"/>
          </w:tcPr>
          <w:p>
            <w:pPr>
              <w:spacing w:after="20"/>
              <w:jc w:val="right"/>
            </w:pPr>
            <w:r/>
            <w:r>
              <w:rPr>
                <w:b w:val="0"/>
                <w:i w:val="0"/>
                <w:sz w:val="17"/>
              </w:rPr>
              <w:t>7.54</w:t>
            </w:r>
          </w:p>
        </w:tc>
        <w:tc>
          <w:tcPr>
            <w:tcW w:type="dxa" w:w="1134"/>
          </w:tcPr>
          <w:p>
            <w:pPr>
              <w:spacing w:after="20"/>
              <w:jc w:val="right"/>
            </w:pPr>
            <w:r/>
            <w:r>
              <w:rPr>
                <w:b w:val="0"/>
                <w:i w:val="0"/>
                <w:sz w:val="17"/>
              </w:rPr>
              <w:t>8.25</w:t>
            </w:r>
          </w:p>
        </w:tc>
        <w:tc>
          <w:tcPr>
            <w:tcW w:type="dxa" w:w="1247"/>
          </w:tcPr>
          <w:p>
            <w:pPr>
              <w:spacing w:after="20"/>
              <w:jc w:val="right"/>
            </w:pPr>
            <w:r/>
            <w:r>
              <w:rPr>
                <w:b w:val="0"/>
                <w:i w:val="0"/>
                <w:sz w:val="17"/>
              </w:rPr>
              <w:t>3.55</w:t>
            </w:r>
          </w:p>
        </w:tc>
        <w:tc>
          <w:tcPr>
            <w:tcW w:type="dxa" w:w="1134"/>
          </w:tcPr>
          <w:p>
            <w:pPr>
              <w:spacing w:after="20"/>
              <w:jc w:val="right"/>
            </w:pPr>
            <w:r/>
            <w:r>
              <w:rPr>
                <w:b w:val="0"/>
                <w:i w:val="0"/>
                <w:sz w:val="17"/>
              </w:rPr>
              <w:t>5.54</w:t>
            </w:r>
          </w:p>
        </w:tc>
      </w:tr>
      <w:tr>
        <w:trPr>
          <w:cantSplit/>
        </w:trPr>
        <w:tc>
          <w:tcPr>
            <w:tcW w:type="dxa" w:w="2948"/>
            <w:shd w:val="clear" w:color="auto" w:fill="EEF3F8"/>
          </w:tcPr>
          <w:p>
            <w:pPr>
              <w:spacing w:after="20"/>
            </w:pPr>
            <w:r/>
            <w:r>
              <w:rPr>
                <w:b w:val="0"/>
                <w:i w:val="0"/>
                <w:sz w:val="17"/>
              </w:rPr>
              <w:t>Naive</w:t>
            </w:r>
          </w:p>
        </w:tc>
        <w:tc>
          <w:tcPr>
            <w:tcW w:type="dxa" w:w="1247"/>
            <w:shd w:val="clear" w:color="auto" w:fill="EEF3F8"/>
          </w:tcPr>
          <w:p>
            <w:pPr>
              <w:spacing w:after="20"/>
              <w:jc w:val="right"/>
            </w:pPr>
            <w:r/>
            <w:r>
              <w:rPr>
                <w:b w:val="0"/>
                <w:i w:val="0"/>
                <w:sz w:val="17"/>
              </w:rPr>
              <w:t>5.57</w:t>
            </w:r>
          </w:p>
        </w:tc>
        <w:tc>
          <w:tcPr>
            <w:tcW w:type="dxa" w:w="1247"/>
            <w:shd w:val="clear" w:color="auto" w:fill="EEF3F8"/>
          </w:tcPr>
          <w:p>
            <w:pPr>
              <w:spacing w:after="20"/>
              <w:jc w:val="right"/>
            </w:pPr>
            <w:r/>
            <w:r>
              <w:rPr>
                <w:b w:val="0"/>
                <w:i w:val="0"/>
                <w:sz w:val="17"/>
              </w:rPr>
              <w:t>7.88</w:t>
            </w:r>
          </w:p>
        </w:tc>
        <w:tc>
          <w:tcPr>
            <w:tcW w:type="dxa" w:w="1134"/>
            <w:shd w:val="clear" w:color="auto" w:fill="EEF3F8"/>
          </w:tcPr>
          <w:p>
            <w:pPr>
              <w:spacing w:after="20"/>
              <w:jc w:val="right"/>
            </w:pPr>
            <w:r/>
            <w:r>
              <w:rPr>
                <w:b w:val="0"/>
                <w:i w:val="0"/>
                <w:sz w:val="17"/>
              </w:rPr>
              <w:t>5.33</w:t>
            </w:r>
          </w:p>
        </w:tc>
        <w:tc>
          <w:tcPr>
            <w:tcW w:type="dxa" w:w="1247"/>
            <w:shd w:val="clear" w:color="auto" w:fill="EEF3F8"/>
          </w:tcPr>
          <w:p>
            <w:pPr>
              <w:spacing w:after="20"/>
              <w:jc w:val="right"/>
            </w:pPr>
            <w:r/>
            <w:r>
              <w:rPr>
                <w:b w:val="0"/>
                <w:i w:val="0"/>
                <w:sz w:val="17"/>
              </w:rPr>
              <w:t>5.18</w:t>
            </w:r>
          </w:p>
        </w:tc>
        <w:tc>
          <w:tcPr>
            <w:tcW w:type="dxa" w:w="1134"/>
            <w:shd w:val="clear" w:color="auto" w:fill="EEF3F8"/>
          </w:tcPr>
          <w:p>
            <w:pPr>
              <w:spacing w:after="20"/>
              <w:jc w:val="right"/>
            </w:pPr>
            <w:r/>
            <w:r>
              <w:rPr>
                <w:b w:val="0"/>
                <w:i w:val="0"/>
                <w:sz w:val="17"/>
              </w:rPr>
              <w:t>5.41</w:t>
            </w:r>
          </w:p>
        </w:tc>
      </w:tr>
      <w:tr>
        <w:trPr>
          <w:cantSplit/>
        </w:trPr>
        <w:tc>
          <w:tcPr>
            <w:tcW w:type="dxa" w:w="2948"/>
          </w:tcPr>
          <w:p>
            <w:pPr>
              <w:spacing w:after="20"/>
            </w:pPr>
            <w:r/>
            <w:r>
              <w:rPr>
                <w:b w:val="0"/>
                <w:i w:val="0"/>
                <w:sz w:val="17"/>
              </w:rPr>
              <w:t>Seasonal naive</w:t>
            </w:r>
          </w:p>
        </w:tc>
        <w:tc>
          <w:tcPr>
            <w:tcW w:type="dxa" w:w="1247"/>
          </w:tcPr>
          <w:p>
            <w:pPr>
              <w:spacing w:after="20"/>
              <w:jc w:val="right"/>
            </w:pPr>
            <w:r/>
            <w:r>
              <w:rPr>
                <w:b w:val="0"/>
                <w:i w:val="0"/>
                <w:sz w:val="17"/>
              </w:rPr>
              <w:t>10.85</w:t>
            </w:r>
          </w:p>
        </w:tc>
        <w:tc>
          <w:tcPr>
            <w:tcW w:type="dxa" w:w="1247"/>
          </w:tcPr>
          <w:p>
            <w:pPr>
              <w:spacing w:after="20"/>
              <w:jc w:val="right"/>
            </w:pPr>
            <w:r/>
            <w:r>
              <w:rPr>
                <w:b w:val="0"/>
                <w:i w:val="0"/>
                <w:sz w:val="17"/>
              </w:rPr>
              <w:t>9.90</w:t>
            </w:r>
          </w:p>
        </w:tc>
        <w:tc>
          <w:tcPr>
            <w:tcW w:type="dxa" w:w="1134"/>
          </w:tcPr>
          <w:p>
            <w:pPr>
              <w:spacing w:after="20"/>
              <w:jc w:val="right"/>
            </w:pPr>
            <w:r/>
            <w:r>
              <w:rPr>
                <w:b w:val="0"/>
                <w:i w:val="0"/>
                <w:sz w:val="17"/>
              </w:rPr>
              <w:t>12.53</w:t>
            </w:r>
          </w:p>
        </w:tc>
        <w:tc>
          <w:tcPr>
            <w:tcW w:type="dxa" w:w="1247"/>
          </w:tcPr>
          <w:p>
            <w:pPr>
              <w:spacing w:after="20"/>
              <w:jc w:val="right"/>
            </w:pPr>
            <w:r/>
            <w:r>
              <w:rPr>
                <w:b w:val="0"/>
                <w:i w:val="0"/>
                <w:sz w:val="17"/>
              </w:rPr>
              <w:t>9.71</w:t>
            </w:r>
          </w:p>
        </w:tc>
        <w:tc>
          <w:tcPr>
            <w:tcW w:type="dxa" w:w="1134"/>
          </w:tcPr>
          <w:p>
            <w:pPr>
              <w:spacing w:after="20"/>
              <w:jc w:val="right"/>
            </w:pPr>
            <w:r/>
            <w:r>
              <w:rPr>
                <w:b w:val="0"/>
                <w:i w:val="0"/>
                <w:sz w:val="17"/>
              </w:rPr>
              <w:t>9.53</w:t>
            </w:r>
          </w:p>
        </w:tc>
      </w:tr>
      <w:tr>
        <w:trPr>
          <w:cantSplit/>
        </w:trPr>
        <w:tc>
          <w:tcPr>
            <w:tcW w:type="dxa" w:w="2948"/>
            <w:shd w:val="clear" w:color="auto" w:fill="EEF3F8"/>
          </w:tcPr>
          <w:p>
            <w:pPr>
              <w:spacing w:after="20"/>
            </w:pPr>
            <w:r/>
            <w:r>
              <w:rPr>
                <w:b w:val="0"/>
                <w:i w:val="0"/>
                <w:sz w:val="17"/>
              </w:rPr>
              <w:t>Seasonal naive x growth</w:t>
            </w:r>
          </w:p>
        </w:tc>
        <w:tc>
          <w:tcPr>
            <w:tcW w:type="dxa" w:w="1247"/>
            <w:shd w:val="clear" w:color="auto" w:fill="EEF3F8"/>
          </w:tcPr>
          <w:p>
            <w:pPr>
              <w:spacing w:after="20"/>
              <w:jc w:val="right"/>
            </w:pPr>
            <w:r/>
            <w:r>
              <w:rPr>
                <w:b w:val="0"/>
                <w:i w:val="0"/>
                <w:sz w:val="17"/>
              </w:rPr>
              <w:t>2.75</w:t>
            </w:r>
          </w:p>
        </w:tc>
        <w:tc>
          <w:tcPr>
            <w:tcW w:type="dxa" w:w="1247"/>
            <w:shd w:val="clear" w:color="auto" w:fill="EEF3F8"/>
          </w:tcPr>
          <w:p>
            <w:pPr>
              <w:spacing w:after="20"/>
              <w:jc w:val="right"/>
            </w:pPr>
            <w:r/>
            <w:r>
              <w:rPr>
                <w:b w:val="0"/>
                <w:i w:val="0"/>
                <w:sz w:val="17"/>
              </w:rPr>
              <w:t>4.28</w:t>
            </w:r>
          </w:p>
        </w:tc>
        <w:tc>
          <w:tcPr>
            <w:tcW w:type="dxa" w:w="1134"/>
            <w:shd w:val="clear" w:color="auto" w:fill="EEF3F8"/>
          </w:tcPr>
          <w:p>
            <w:pPr>
              <w:spacing w:after="20"/>
              <w:jc w:val="right"/>
            </w:pPr>
            <w:r/>
            <w:r>
              <w:rPr>
                <w:b w:val="0"/>
                <w:i w:val="0"/>
                <w:sz w:val="17"/>
              </w:rPr>
              <w:t>3.09</w:t>
            </w:r>
          </w:p>
        </w:tc>
        <w:tc>
          <w:tcPr>
            <w:tcW w:type="dxa" w:w="1247"/>
            <w:shd w:val="clear" w:color="auto" w:fill="EEF3F8"/>
          </w:tcPr>
          <w:p>
            <w:pPr>
              <w:spacing w:after="20"/>
              <w:jc w:val="right"/>
            </w:pPr>
            <w:r/>
            <w:r>
              <w:rPr>
                <w:b w:val="0"/>
                <w:i w:val="0"/>
                <w:sz w:val="17"/>
              </w:rPr>
              <w:t>5.10</w:t>
            </w:r>
          </w:p>
        </w:tc>
        <w:tc>
          <w:tcPr>
            <w:tcW w:type="dxa" w:w="1134"/>
            <w:shd w:val="clear" w:color="auto" w:fill="EEF3F8"/>
          </w:tcPr>
          <w:p>
            <w:pPr>
              <w:spacing w:after="20"/>
              <w:jc w:val="right"/>
            </w:pPr>
            <w:r/>
            <w:r>
              <w:rPr>
                <w:b w:val="0"/>
                <w:i w:val="0"/>
                <w:sz w:val="17"/>
              </w:rPr>
              <w:t>2.62</w:t>
            </w:r>
          </w:p>
        </w:tc>
      </w:tr>
    </w:tbl>
    <w:p>
      <w:r>
        <w:rPr>
          <w:i/>
          <w:sz w:val="16"/>
        </w:rPr>
        <w:t>Lower is better. Best per series: diesel, LPG, total = seasonal naive × growth; petrol = log-trend + shrunk seasonal; jet = mean of last 6 months.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701"/>
            <w:shd w:val="clear" w:color="auto" w:fill="1F4E79"/>
          </w:tcPr>
          <w:p>
            <w:pPr>
              <w:spacing w:after="20"/>
            </w:pPr>
            <w:r/>
            <w:r>
              <w:rPr>
                <w:b/>
                <w:color w:val="FFFFFF"/>
                <w:sz w:val="17"/>
              </w:rPr>
              <w:t>Series</w:t>
            </w:r>
          </w:p>
        </w:tc>
        <w:tc>
          <w:tcPr>
            <w:tcW w:type="dxa" w:w="2835"/>
            <w:shd w:val="clear" w:color="auto" w:fill="1F4E79"/>
          </w:tcPr>
          <w:p>
            <w:pPr>
              <w:spacing w:after="20"/>
            </w:pPr>
            <w:r/>
            <w:r>
              <w:rPr>
                <w:b/>
                <w:color w:val="FFFFFF"/>
                <w:sz w:val="17"/>
              </w:rPr>
              <w:t>Selected model</w:t>
            </w:r>
          </w:p>
        </w:tc>
        <w:tc>
          <w:tcPr>
            <w:tcW w:type="dxa" w:w="1020"/>
            <w:shd w:val="clear" w:color="auto" w:fill="1F4E79"/>
          </w:tcPr>
          <w:p>
            <w:pPr>
              <w:spacing w:after="20"/>
            </w:pPr>
            <w:r/>
            <w:r>
              <w:rPr>
                <w:b/>
                <w:color w:val="FFFFFF"/>
                <w:sz w:val="17"/>
              </w:rPr>
              <w:t>MAE (kt)</w:t>
            </w:r>
          </w:p>
        </w:tc>
        <w:tc>
          <w:tcPr>
            <w:tcW w:type="dxa" w:w="1020"/>
            <w:shd w:val="clear" w:color="auto" w:fill="1F4E79"/>
          </w:tcPr>
          <w:p>
            <w:pPr>
              <w:spacing w:after="20"/>
            </w:pPr>
            <w:r/>
            <w:r>
              <w:rPr>
                <w:b/>
                <w:color w:val="FFFFFF"/>
                <w:sz w:val="17"/>
              </w:rPr>
              <w:t>RMSE (kt)</w:t>
            </w:r>
          </w:p>
        </w:tc>
        <w:tc>
          <w:tcPr>
            <w:tcW w:type="dxa" w:w="907"/>
            <w:shd w:val="clear" w:color="auto" w:fill="1F4E79"/>
          </w:tcPr>
          <w:p>
            <w:pPr>
              <w:spacing w:after="20"/>
            </w:pPr>
            <w:r/>
            <w:r>
              <w:rPr>
                <w:b/>
                <w:color w:val="FFFFFF"/>
                <w:sz w:val="17"/>
              </w:rPr>
              <w:t>MAPE %</w:t>
            </w:r>
          </w:p>
        </w:tc>
        <w:tc>
          <w:tcPr>
            <w:tcW w:type="dxa" w:w="907"/>
            <w:shd w:val="clear" w:color="auto" w:fill="1F4E79"/>
          </w:tcPr>
          <w:p>
            <w:pPr>
              <w:spacing w:after="20"/>
            </w:pPr>
            <w:r/>
            <w:r>
              <w:rPr>
                <w:b/>
                <w:color w:val="FFFFFF"/>
                <w:sz w:val="17"/>
              </w:rPr>
              <w:t>sMAPE %</w:t>
            </w:r>
          </w:p>
        </w:tc>
        <w:tc>
          <w:tcPr>
            <w:tcW w:type="dxa" w:w="794"/>
            <w:shd w:val="clear" w:color="auto" w:fill="1F4E79"/>
          </w:tcPr>
          <w:p>
            <w:pPr>
              <w:spacing w:after="20"/>
            </w:pPr>
            <w:r/>
            <w:r>
              <w:rPr>
                <w:b/>
                <w:color w:val="FFFFFF"/>
                <w:sz w:val="17"/>
              </w:rPr>
              <w:t>MASE</w:t>
            </w:r>
          </w:p>
        </w:tc>
      </w:tr>
      <w:tr>
        <w:trPr>
          <w:cantSplit/>
        </w:trPr>
        <w:tc>
          <w:tcPr>
            <w:tcW w:type="dxa" w:w="1701"/>
          </w:tcPr>
          <w:p>
            <w:pPr>
              <w:spacing w:after="20"/>
            </w:pPr>
            <w:r/>
            <w:r>
              <w:rPr>
                <w:b w:val="0"/>
                <w:i w:val="0"/>
                <w:sz w:val="17"/>
              </w:rPr>
              <w:t>Diesel (AGO)</w:t>
            </w:r>
          </w:p>
        </w:tc>
        <w:tc>
          <w:tcPr>
            <w:tcW w:type="dxa" w:w="2835"/>
          </w:tcPr>
          <w:p>
            <w:pPr>
              <w:spacing w:after="20"/>
            </w:pPr>
            <w:r/>
            <w:r>
              <w:rPr>
                <w:b w:val="0"/>
                <w:i w:val="0"/>
                <w:sz w:val="17"/>
              </w:rPr>
              <w:t>Seasonal naive x growth</w:t>
            </w:r>
          </w:p>
        </w:tc>
        <w:tc>
          <w:tcPr>
            <w:tcW w:type="dxa" w:w="1020"/>
          </w:tcPr>
          <w:p>
            <w:pPr>
              <w:spacing w:after="20"/>
              <w:jc w:val="right"/>
            </w:pPr>
            <w:r/>
            <w:r>
              <w:rPr>
                <w:b w:val="0"/>
                <w:i w:val="0"/>
                <w:sz w:val="17"/>
              </w:rPr>
              <w:t>5.7</w:t>
            </w:r>
          </w:p>
        </w:tc>
        <w:tc>
          <w:tcPr>
            <w:tcW w:type="dxa" w:w="1020"/>
          </w:tcPr>
          <w:p>
            <w:pPr>
              <w:spacing w:after="20"/>
              <w:jc w:val="right"/>
            </w:pPr>
            <w:r/>
            <w:r>
              <w:rPr>
                <w:b w:val="0"/>
                <w:i w:val="0"/>
                <w:sz w:val="17"/>
              </w:rPr>
              <w:t>7.8</w:t>
            </w:r>
          </w:p>
        </w:tc>
        <w:tc>
          <w:tcPr>
            <w:tcW w:type="dxa" w:w="907"/>
          </w:tcPr>
          <w:p>
            <w:pPr>
              <w:spacing w:after="20"/>
              <w:jc w:val="right"/>
            </w:pPr>
            <w:r/>
            <w:r>
              <w:rPr>
                <w:b w:val="0"/>
                <w:i w:val="0"/>
                <w:sz w:val="17"/>
              </w:rPr>
              <w:t>2.70</w:t>
            </w:r>
          </w:p>
        </w:tc>
        <w:tc>
          <w:tcPr>
            <w:tcW w:type="dxa" w:w="907"/>
          </w:tcPr>
          <w:p>
            <w:pPr>
              <w:spacing w:after="20"/>
              <w:jc w:val="right"/>
            </w:pPr>
            <w:r/>
            <w:r>
              <w:rPr>
                <w:b w:val="0"/>
                <w:i w:val="0"/>
                <w:sz w:val="17"/>
              </w:rPr>
              <w:t>2.75</w:t>
            </w:r>
          </w:p>
        </w:tc>
        <w:tc>
          <w:tcPr>
            <w:tcW w:type="dxa" w:w="794"/>
          </w:tcPr>
          <w:p>
            <w:pPr>
              <w:spacing w:after="20"/>
              <w:jc w:val="right"/>
            </w:pPr>
            <w:r/>
            <w:r>
              <w:rPr>
                <w:b w:val="0"/>
                <w:i w:val="0"/>
                <w:sz w:val="17"/>
              </w:rPr>
              <w:t>0.31</w:t>
            </w:r>
          </w:p>
        </w:tc>
      </w:tr>
      <w:tr>
        <w:trPr>
          <w:cantSplit/>
        </w:trPr>
        <w:tc>
          <w:tcPr>
            <w:tcW w:type="dxa" w:w="1701"/>
            <w:shd w:val="clear" w:color="auto" w:fill="EEF3F8"/>
          </w:tcPr>
          <w:p>
            <w:pPr>
              <w:spacing w:after="20"/>
            </w:pPr>
            <w:r/>
            <w:r>
              <w:rPr>
                <w:b w:val="0"/>
                <w:i w:val="0"/>
                <w:sz w:val="17"/>
              </w:rPr>
              <w:t>Petrol (PMS)</w:t>
            </w:r>
          </w:p>
        </w:tc>
        <w:tc>
          <w:tcPr>
            <w:tcW w:type="dxa" w:w="2835"/>
            <w:shd w:val="clear" w:color="auto" w:fill="EEF3F8"/>
          </w:tcPr>
          <w:p>
            <w:pPr>
              <w:spacing w:after="20"/>
            </w:pPr>
            <w:r/>
            <w:r>
              <w:rPr>
                <w:b w:val="0"/>
                <w:i w:val="0"/>
                <w:sz w:val="17"/>
              </w:rPr>
              <w:t>Log-trend + seasonal (shrunk)</w:t>
            </w:r>
          </w:p>
        </w:tc>
        <w:tc>
          <w:tcPr>
            <w:tcW w:type="dxa" w:w="1020"/>
            <w:shd w:val="clear" w:color="auto" w:fill="EEF3F8"/>
          </w:tcPr>
          <w:p>
            <w:pPr>
              <w:spacing w:after="20"/>
              <w:jc w:val="right"/>
            </w:pPr>
            <w:r/>
            <w:r>
              <w:rPr>
                <w:b w:val="0"/>
                <w:i w:val="0"/>
                <w:sz w:val="17"/>
              </w:rPr>
              <w:t>4.9</w:t>
            </w:r>
          </w:p>
        </w:tc>
        <w:tc>
          <w:tcPr>
            <w:tcW w:type="dxa" w:w="1020"/>
            <w:shd w:val="clear" w:color="auto" w:fill="EEF3F8"/>
          </w:tcPr>
          <w:p>
            <w:pPr>
              <w:spacing w:after="20"/>
              <w:jc w:val="right"/>
            </w:pPr>
            <w:r/>
            <w:r>
              <w:rPr>
                <w:b w:val="0"/>
                <w:i w:val="0"/>
                <w:sz w:val="17"/>
              </w:rPr>
              <w:t>6.9</w:t>
            </w:r>
          </w:p>
        </w:tc>
        <w:tc>
          <w:tcPr>
            <w:tcW w:type="dxa" w:w="907"/>
            <w:shd w:val="clear" w:color="auto" w:fill="EEF3F8"/>
          </w:tcPr>
          <w:p>
            <w:pPr>
              <w:spacing w:after="20"/>
              <w:jc w:val="right"/>
            </w:pPr>
            <w:r/>
            <w:r>
              <w:rPr>
                <w:b w:val="0"/>
                <w:i w:val="0"/>
                <w:sz w:val="17"/>
              </w:rPr>
              <w:t>3.62</w:t>
            </w:r>
          </w:p>
        </w:tc>
        <w:tc>
          <w:tcPr>
            <w:tcW w:type="dxa" w:w="907"/>
            <w:shd w:val="clear" w:color="auto" w:fill="EEF3F8"/>
          </w:tcPr>
          <w:p>
            <w:pPr>
              <w:spacing w:after="20"/>
              <w:jc w:val="right"/>
            </w:pPr>
            <w:r/>
            <w:r>
              <w:rPr>
                <w:b w:val="0"/>
                <w:i w:val="0"/>
                <w:sz w:val="17"/>
              </w:rPr>
              <w:t>3.50</w:t>
            </w:r>
          </w:p>
        </w:tc>
        <w:tc>
          <w:tcPr>
            <w:tcW w:type="dxa" w:w="794"/>
            <w:shd w:val="clear" w:color="auto" w:fill="EEF3F8"/>
          </w:tcPr>
          <w:p>
            <w:pPr>
              <w:spacing w:after="20"/>
              <w:jc w:val="right"/>
            </w:pPr>
            <w:r/>
            <w:r>
              <w:rPr>
                <w:b w:val="0"/>
                <w:i w:val="0"/>
                <w:sz w:val="17"/>
              </w:rPr>
              <w:t>0.32</w:t>
            </w:r>
          </w:p>
        </w:tc>
      </w:tr>
      <w:tr>
        <w:trPr>
          <w:cantSplit/>
        </w:trPr>
        <w:tc>
          <w:tcPr>
            <w:tcW w:type="dxa" w:w="1701"/>
          </w:tcPr>
          <w:p>
            <w:pPr>
              <w:spacing w:after="20"/>
            </w:pPr>
            <w:r/>
            <w:r>
              <w:rPr>
                <w:b w:val="0"/>
                <w:i w:val="0"/>
                <w:sz w:val="17"/>
              </w:rPr>
              <w:t>LPG</w:t>
            </w:r>
          </w:p>
        </w:tc>
        <w:tc>
          <w:tcPr>
            <w:tcW w:type="dxa" w:w="2835"/>
          </w:tcPr>
          <w:p>
            <w:pPr>
              <w:spacing w:after="20"/>
            </w:pPr>
            <w:r/>
            <w:r>
              <w:rPr>
                <w:b w:val="0"/>
                <w:i w:val="0"/>
                <w:sz w:val="17"/>
              </w:rPr>
              <w:t>Seasonal naive x growth</w:t>
            </w:r>
          </w:p>
        </w:tc>
        <w:tc>
          <w:tcPr>
            <w:tcW w:type="dxa" w:w="1020"/>
          </w:tcPr>
          <w:p>
            <w:pPr>
              <w:spacing w:after="20"/>
              <w:jc w:val="right"/>
            </w:pPr>
            <w:r/>
            <w:r>
              <w:rPr>
                <w:b w:val="0"/>
                <w:i w:val="0"/>
                <w:sz w:val="17"/>
              </w:rPr>
              <w:t>1.2</w:t>
            </w:r>
          </w:p>
        </w:tc>
        <w:tc>
          <w:tcPr>
            <w:tcW w:type="dxa" w:w="1020"/>
          </w:tcPr>
          <w:p>
            <w:pPr>
              <w:spacing w:after="20"/>
              <w:jc w:val="right"/>
            </w:pPr>
            <w:r/>
            <w:r>
              <w:rPr>
                <w:b w:val="0"/>
                <w:i w:val="0"/>
                <w:sz w:val="17"/>
              </w:rPr>
              <w:t>1.7</w:t>
            </w:r>
          </w:p>
        </w:tc>
        <w:tc>
          <w:tcPr>
            <w:tcW w:type="dxa" w:w="907"/>
          </w:tcPr>
          <w:p>
            <w:pPr>
              <w:spacing w:after="20"/>
              <w:jc w:val="right"/>
            </w:pPr>
            <w:r/>
            <w:r>
              <w:rPr>
                <w:b w:val="0"/>
                <w:i w:val="0"/>
                <w:sz w:val="17"/>
              </w:rPr>
              <w:t>3.11</w:t>
            </w:r>
          </w:p>
        </w:tc>
        <w:tc>
          <w:tcPr>
            <w:tcW w:type="dxa" w:w="907"/>
          </w:tcPr>
          <w:p>
            <w:pPr>
              <w:spacing w:after="20"/>
              <w:jc w:val="right"/>
            </w:pPr>
            <w:r/>
            <w:r>
              <w:rPr>
                <w:b w:val="0"/>
                <w:i w:val="0"/>
                <w:sz w:val="17"/>
              </w:rPr>
              <w:t>3.09</w:t>
            </w:r>
          </w:p>
        </w:tc>
        <w:tc>
          <w:tcPr>
            <w:tcW w:type="dxa" w:w="794"/>
          </w:tcPr>
          <w:p>
            <w:pPr>
              <w:spacing w:after="20"/>
              <w:jc w:val="right"/>
            </w:pPr>
            <w:r/>
            <w:r>
              <w:rPr>
                <w:b w:val="0"/>
                <w:i w:val="0"/>
                <w:sz w:val="17"/>
              </w:rPr>
              <w:t>0.25</w:t>
            </w:r>
          </w:p>
        </w:tc>
      </w:tr>
      <w:tr>
        <w:trPr>
          <w:cantSplit/>
        </w:trPr>
        <w:tc>
          <w:tcPr>
            <w:tcW w:type="dxa" w:w="1701"/>
            <w:shd w:val="clear" w:color="auto" w:fill="EEF3F8"/>
          </w:tcPr>
          <w:p>
            <w:pPr>
              <w:spacing w:after="20"/>
            </w:pPr>
            <w:r/>
            <w:r>
              <w:rPr>
                <w:b w:val="0"/>
                <w:i w:val="0"/>
                <w:sz w:val="17"/>
              </w:rPr>
              <w:t>Jet fuel*</w:t>
            </w:r>
          </w:p>
        </w:tc>
        <w:tc>
          <w:tcPr>
            <w:tcW w:type="dxa" w:w="2835"/>
            <w:shd w:val="clear" w:color="auto" w:fill="EEF3F8"/>
          </w:tcPr>
          <w:p>
            <w:pPr>
              <w:spacing w:after="20"/>
            </w:pPr>
            <w:r/>
            <w:r>
              <w:rPr>
                <w:b w:val="0"/>
                <w:i w:val="0"/>
                <w:sz w:val="17"/>
              </w:rPr>
              <w:t>Mean (last 6m)</w:t>
            </w:r>
          </w:p>
        </w:tc>
        <w:tc>
          <w:tcPr>
            <w:tcW w:type="dxa" w:w="1020"/>
            <w:shd w:val="clear" w:color="auto" w:fill="EEF3F8"/>
          </w:tcPr>
          <w:p>
            <w:pPr>
              <w:spacing w:after="20"/>
              <w:jc w:val="right"/>
            </w:pPr>
            <w:r/>
            <w:r>
              <w:rPr>
                <w:b w:val="0"/>
                <w:i w:val="0"/>
                <w:sz w:val="17"/>
              </w:rPr>
              <w:t>2.0</w:t>
            </w:r>
          </w:p>
        </w:tc>
        <w:tc>
          <w:tcPr>
            <w:tcW w:type="dxa" w:w="1020"/>
            <w:shd w:val="clear" w:color="auto" w:fill="EEF3F8"/>
          </w:tcPr>
          <w:p>
            <w:pPr>
              <w:spacing w:after="20"/>
              <w:jc w:val="right"/>
            </w:pPr>
            <w:r/>
            <w:r>
              <w:rPr>
                <w:b w:val="0"/>
                <w:i w:val="0"/>
                <w:sz w:val="17"/>
              </w:rPr>
              <w:t>2.3</w:t>
            </w:r>
          </w:p>
        </w:tc>
        <w:tc>
          <w:tcPr>
            <w:tcW w:type="dxa" w:w="907"/>
            <w:shd w:val="clear" w:color="auto" w:fill="EEF3F8"/>
          </w:tcPr>
          <w:p>
            <w:pPr>
              <w:spacing w:after="20"/>
              <w:jc w:val="right"/>
            </w:pPr>
            <w:r/>
            <w:r>
              <w:rPr>
                <w:b w:val="0"/>
                <w:i w:val="0"/>
                <w:sz w:val="17"/>
              </w:rPr>
              <w:t>3.56</w:t>
            </w:r>
          </w:p>
        </w:tc>
        <w:tc>
          <w:tcPr>
            <w:tcW w:type="dxa" w:w="907"/>
            <w:shd w:val="clear" w:color="auto" w:fill="EEF3F8"/>
          </w:tcPr>
          <w:p>
            <w:pPr>
              <w:spacing w:after="20"/>
              <w:jc w:val="right"/>
            </w:pPr>
            <w:r/>
            <w:r>
              <w:rPr>
                <w:b w:val="0"/>
                <w:i w:val="0"/>
                <w:sz w:val="17"/>
              </w:rPr>
              <w:t>3.55</w:t>
            </w:r>
          </w:p>
        </w:tc>
        <w:tc>
          <w:tcPr>
            <w:tcW w:type="dxa" w:w="794"/>
            <w:shd w:val="clear" w:color="auto" w:fill="EEF3F8"/>
          </w:tcPr>
          <w:p>
            <w:pPr>
              <w:spacing w:after="20"/>
              <w:jc w:val="right"/>
            </w:pPr>
            <w:r/>
            <w:r>
              <w:rPr>
                <w:b w:val="0"/>
                <w:i w:val="0"/>
                <w:sz w:val="17"/>
              </w:rPr>
              <w:t>0.39</w:t>
            </w:r>
          </w:p>
        </w:tc>
      </w:tr>
      <w:tr>
        <w:trPr>
          <w:cantSplit/>
        </w:trPr>
        <w:tc>
          <w:tcPr>
            <w:tcW w:type="dxa" w:w="1701"/>
          </w:tcPr>
          <w:p>
            <w:pPr>
              <w:spacing w:after="20"/>
            </w:pPr>
            <w:r/>
            <w:r>
              <w:rPr>
                <w:b w:val="0"/>
                <w:i w:val="0"/>
                <w:sz w:val="17"/>
              </w:rPr>
              <w:t>Total</w:t>
            </w:r>
          </w:p>
        </w:tc>
        <w:tc>
          <w:tcPr>
            <w:tcW w:type="dxa" w:w="2835"/>
          </w:tcPr>
          <w:p>
            <w:pPr>
              <w:spacing w:after="20"/>
            </w:pPr>
            <w:r/>
            <w:r>
              <w:rPr>
                <w:b w:val="0"/>
                <w:i w:val="0"/>
                <w:sz w:val="17"/>
              </w:rPr>
              <w:t>Seasonal naive x growth</w:t>
            </w:r>
          </w:p>
        </w:tc>
        <w:tc>
          <w:tcPr>
            <w:tcW w:type="dxa" w:w="1020"/>
          </w:tcPr>
          <w:p>
            <w:pPr>
              <w:spacing w:after="20"/>
              <w:jc w:val="right"/>
            </w:pPr>
            <w:r/>
            <w:r>
              <w:rPr>
                <w:b w:val="0"/>
                <w:i w:val="0"/>
                <w:sz w:val="17"/>
              </w:rPr>
              <w:t>12.8</w:t>
            </w:r>
          </w:p>
        </w:tc>
        <w:tc>
          <w:tcPr>
            <w:tcW w:type="dxa" w:w="1020"/>
          </w:tcPr>
          <w:p>
            <w:pPr>
              <w:spacing w:after="20"/>
              <w:jc w:val="right"/>
            </w:pPr>
            <w:r/>
            <w:r>
              <w:rPr>
                <w:b w:val="0"/>
                <w:i w:val="0"/>
                <w:sz w:val="17"/>
              </w:rPr>
              <w:t>16.0</w:t>
            </w:r>
          </w:p>
        </w:tc>
        <w:tc>
          <w:tcPr>
            <w:tcW w:type="dxa" w:w="907"/>
          </w:tcPr>
          <w:p>
            <w:pPr>
              <w:spacing w:after="20"/>
              <w:jc w:val="right"/>
            </w:pPr>
            <w:r/>
            <w:r>
              <w:rPr>
                <w:b w:val="0"/>
                <w:i w:val="0"/>
                <w:sz w:val="17"/>
              </w:rPr>
              <w:t>2.67</w:t>
            </w:r>
          </w:p>
        </w:tc>
        <w:tc>
          <w:tcPr>
            <w:tcW w:type="dxa" w:w="907"/>
          </w:tcPr>
          <w:p>
            <w:pPr>
              <w:spacing w:after="20"/>
              <w:jc w:val="right"/>
            </w:pPr>
            <w:r/>
            <w:r>
              <w:rPr>
                <w:b w:val="0"/>
                <w:i w:val="0"/>
                <w:sz w:val="17"/>
              </w:rPr>
              <w:t>2.62</w:t>
            </w:r>
          </w:p>
        </w:tc>
        <w:tc>
          <w:tcPr>
            <w:tcW w:type="dxa" w:w="794"/>
          </w:tcPr>
          <w:p>
            <w:pPr>
              <w:spacing w:after="20"/>
              <w:jc w:val="right"/>
            </w:pPr>
            <w:r/>
            <w:r>
              <w:rPr>
                <w:b w:val="0"/>
                <w:i w:val="0"/>
                <w:sz w:val="17"/>
              </w:rPr>
              <w:t>0.27</w:t>
            </w:r>
          </w:p>
        </w:tc>
      </w:tr>
    </w:tbl>
    <w:p>
      <w:pPr>
        <w:spacing w:after="40"/>
      </w:pPr>
    </w:p>
    <w:p>
      <w:r>
        <w:rPr>
          <w:b w:val="0"/>
          <w:i w:val="0"/>
        </w:rPr>
        <w:t>Why the simple models win: with a strongly trending, short series, the models that carry forward both last year’s seasonal shape and the recent growth rate dominate. Naïve and seasonal-naive forecasts without growth adjustment have sMAPE of 5–12%, because they ignore the 10%+ annual trend. Damped-trend ETS (sMAPE 4.3–6.7%) and ARIMA(0,1,1) (4.8–7.2%) adapt to the trend but lose the seasonal pattern.</w:t>
      </w:r>
    </w:p>
    <w:p>
      <w:pPr>
        <w:jc w:val="center"/>
      </w:pPr>
      <w:r>
        <w:drawing>
          <wp:inline xmlns:a="http://schemas.openxmlformats.org/drawingml/2006/main" xmlns:pic="http://schemas.openxmlformats.org/drawingml/2006/picture">
            <wp:extent cx="5400000" cy="2215385"/>
            <wp:docPr id="7" name="Picture 7"/>
            <wp:cNvGraphicFramePr>
              <a:graphicFrameLocks noChangeAspect="1"/>
            </wp:cNvGraphicFramePr>
            <a:graphic>
              <a:graphicData uri="http://schemas.openxmlformats.org/drawingml/2006/picture">
                <pic:pic>
                  <pic:nvPicPr>
                    <pic:cNvPr id="0" name="f11_backtest.png"/>
                    <pic:cNvPicPr/>
                  </pic:nvPicPr>
                  <pic:blipFill>
                    <a:blip r:embed="rId16"/>
                    <a:stretch>
                      <a:fillRect/>
                    </a:stretch>
                  </pic:blipFill>
                  <pic:spPr>
                    <a:xfrm>
                      <a:off x="0" y="0"/>
                      <a:ext cx="5400000" cy="2215385"/>
                    </a:xfrm>
                    <a:prstGeom prst="rect"/>
                  </pic:spPr>
                </pic:pic>
              </a:graphicData>
            </a:graphic>
          </wp:inline>
        </w:drawing>
      </w:r>
    </w:p>
    <w:p>
      <w:pPr>
        <w:jc w:val="center"/>
      </w:pPr>
      <w:r>
        <w:rPr>
          <w:i/>
          <w:sz w:val="17"/>
        </w:rPr>
        <w:t>Figure 7. One-month-ahead out-of-sample forecasts from the selected models (red dots) against actual (line).</w:t>
      </w:r>
    </w:p>
    <w:p>
      <w:r>
        <w:rPr>
          <w:b/>
          <w:i w:val="0"/>
        </w:rPr>
        <w:t>Caution on model selection.</w:t>
      </w:r>
      <w:r>
        <w:rPr>
          <w:b w:val="0"/>
          <w:i w:val="0"/>
        </w:rPr>
        <w:t xml:space="preserve"> With eight origins and overlapping errors, the selected model’s advantage is indicative. The winning growth-adjusted seasonal naive assumes that the growth of the latest six months persists; that is a reasonable description of a market on a 10–12% growth path and exactly the assumption the 2026 shock puts in doubt.</w:t>
      </w:r>
    </w:p>
    <w:p>
      <w:pPr>
        <w:pStyle w:val="Heading2"/>
      </w:pPr>
      <w:r>
        <w:t>8.2 Twelve-month forecast (a no-shock counterfactual)</w:t>
      </w:r>
    </w:p>
    <w:p>
      <w:pPr>
        <w:jc w:val="center"/>
      </w:pPr>
      <w:r>
        <w:drawing>
          <wp:inline xmlns:a="http://schemas.openxmlformats.org/drawingml/2006/main" xmlns:pic="http://schemas.openxmlformats.org/drawingml/2006/picture">
            <wp:extent cx="5400000" cy="3738462"/>
            <wp:docPr id="8" name="Picture 8"/>
            <wp:cNvGraphicFramePr>
              <a:graphicFrameLocks noChangeAspect="1"/>
            </wp:cNvGraphicFramePr>
            <a:graphic>
              <a:graphicData uri="http://schemas.openxmlformats.org/drawingml/2006/picture">
                <pic:pic>
                  <pic:nvPicPr>
                    <pic:cNvPr id="0" name="f4_forecasts.png"/>
                    <pic:cNvPicPr/>
                  </pic:nvPicPr>
                  <pic:blipFill>
                    <a:blip r:embed="rId17"/>
                    <a:stretch>
                      <a:fillRect/>
                    </a:stretch>
                  </pic:blipFill>
                  <pic:spPr>
                    <a:xfrm>
                      <a:off x="0" y="0"/>
                      <a:ext cx="5400000" cy="3738462"/>
                    </a:xfrm>
                    <a:prstGeom prst="rect"/>
                  </pic:spPr>
                </pic:pic>
              </a:graphicData>
            </a:graphic>
          </wp:inline>
        </w:drawing>
      </w:r>
    </w:p>
    <w:p>
      <w:pPr>
        <w:jc w:val="center"/>
      </w:pPr>
      <w:r>
        <w:rPr>
          <w:i/>
          <w:sz w:val="17"/>
        </w:rPr>
        <w:t>Figure 8. Out-of-sample selected-model forecasts with 80% and 95% prediction intervals, March 2026–February 2027.</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381"/>
            <w:shd w:val="clear" w:color="auto" w:fill="1F4E79"/>
          </w:tcPr>
          <w:p>
            <w:pPr>
              <w:spacing w:after="20"/>
            </w:pPr>
            <w:r/>
            <w:r>
              <w:rPr>
                <w:b/>
                <w:color w:val="FFFFFF"/>
                <w:sz w:val="17"/>
              </w:rPr>
              <w:t>Product</w:t>
            </w:r>
          </w:p>
        </w:tc>
        <w:tc>
          <w:tcPr>
            <w:tcW w:type="dxa" w:w="2608"/>
            <w:shd w:val="clear" w:color="auto" w:fill="1F4E79"/>
          </w:tcPr>
          <w:p>
            <w:pPr>
              <w:spacing w:after="20"/>
            </w:pPr>
            <w:r/>
            <w:r>
              <w:rPr>
                <w:b/>
                <w:color w:val="FFFFFF"/>
                <w:sz w:val="17"/>
              </w:rPr>
              <w:t>Mar-26–Feb-27 central (kt)</w:t>
            </w:r>
          </w:p>
        </w:tc>
        <w:tc>
          <w:tcPr>
            <w:tcW w:type="dxa" w:w="2041"/>
            <w:shd w:val="clear" w:color="auto" w:fill="1F4E79"/>
          </w:tcPr>
          <w:p>
            <w:pPr>
              <w:spacing w:after="20"/>
            </w:pPr>
            <w:r/>
            <w:r>
              <w:rPr>
                <w:b/>
                <w:color w:val="FFFFFF"/>
                <w:sz w:val="17"/>
              </w:rPr>
              <w:t>80% interval</w:t>
            </w:r>
          </w:p>
        </w:tc>
        <w:tc>
          <w:tcPr>
            <w:tcW w:type="dxa" w:w="2041"/>
            <w:shd w:val="clear" w:color="auto" w:fill="1F4E79"/>
          </w:tcPr>
          <w:p>
            <w:pPr>
              <w:spacing w:after="20"/>
            </w:pPr>
            <w:r/>
            <w:r>
              <w:rPr>
                <w:b/>
                <w:color w:val="FFFFFF"/>
                <w:sz w:val="17"/>
              </w:rPr>
              <w:t>95% interval</w:t>
            </w:r>
          </w:p>
        </w:tc>
      </w:tr>
      <w:tr>
        <w:trPr>
          <w:cantSplit/>
        </w:trPr>
        <w:tc>
          <w:tcPr>
            <w:tcW w:type="dxa" w:w="2381"/>
          </w:tcPr>
          <w:p>
            <w:pPr>
              <w:spacing w:after="20"/>
            </w:pPr>
            <w:r/>
            <w:r>
              <w:rPr>
                <w:b w:val="0"/>
                <w:i w:val="0"/>
                <w:sz w:val="17"/>
              </w:rPr>
              <w:t>Diesel (AGO)</w:t>
            </w:r>
          </w:p>
        </w:tc>
        <w:tc>
          <w:tcPr>
            <w:tcW w:type="dxa" w:w="2608"/>
          </w:tcPr>
          <w:p>
            <w:pPr>
              <w:spacing w:after="20"/>
              <w:jc w:val="right"/>
            </w:pPr>
            <w:r/>
            <w:r>
              <w:rPr>
                <w:b w:val="0"/>
                <w:i w:val="0"/>
                <w:sz w:val="17"/>
              </w:rPr>
              <w:t>2,737</w:t>
            </w:r>
          </w:p>
        </w:tc>
        <w:tc>
          <w:tcPr>
            <w:tcW w:type="dxa" w:w="2041"/>
          </w:tcPr>
          <w:p>
            <w:pPr>
              <w:spacing w:after="20"/>
            </w:pPr>
            <w:r/>
            <w:r>
              <w:rPr>
                <w:b w:val="0"/>
                <w:i w:val="0"/>
                <w:sz w:val="17"/>
              </w:rPr>
              <w:t>2,570–2,904</w:t>
            </w:r>
          </w:p>
        </w:tc>
        <w:tc>
          <w:tcPr>
            <w:tcW w:type="dxa" w:w="2041"/>
          </w:tcPr>
          <w:p>
            <w:pPr>
              <w:spacing w:after="20"/>
            </w:pPr>
            <w:r/>
            <w:r>
              <w:rPr>
                <w:b w:val="0"/>
                <w:i w:val="0"/>
                <w:sz w:val="17"/>
              </w:rPr>
              <w:t>2,482–2,993</w:t>
            </w:r>
          </w:p>
        </w:tc>
      </w:tr>
      <w:tr>
        <w:trPr>
          <w:cantSplit/>
        </w:trPr>
        <w:tc>
          <w:tcPr>
            <w:tcW w:type="dxa" w:w="2381"/>
            <w:shd w:val="clear" w:color="auto" w:fill="EEF3F8"/>
          </w:tcPr>
          <w:p>
            <w:pPr>
              <w:spacing w:after="20"/>
            </w:pPr>
            <w:r/>
            <w:r>
              <w:rPr>
                <w:b w:val="0"/>
                <w:i w:val="0"/>
                <w:sz w:val="17"/>
              </w:rPr>
              <w:t>Petrol (PMS)</w:t>
            </w:r>
          </w:p>
        </w:tc>
        <w:tc>
          <w:tcPr>
            <w:tcW w:type="dxa" w:w="2608"/>
            <w:shd w:val="clear" w:color="auto" w:fill="EEF3F8"/>
          </w:tcPr>
          <w:p>
            <w:pPr>
              <w:spacing w:after="20"/>
              <w:jc w:val="right"/>
            </w:pPr>
            <w:r/>
            <w:r>
              <w:rPr>
                <w:b w:val="0"/>
                <w:i w:val="0"/>
                <w:sz w:val="17"/>
              </w:rPr>
              <w:t>1,904</w:t>
            </w:r>
          </w:p>
        </w:tc>
        <w:tc>
          <w:tcPr>
            <w:tcW w:type="dxa" w:w="2041"/>
            <w:shd w:val="clear" w:color="auto" w:fill="EEF3F8"/>
          </w:tcPr>
          <w:p>
            <w:pPr>
              <w:spacing w:after="20"/>
            </w:pPr>
            <w:r/>
            <w:r>
              <w:rPr>
                <w:b w:val="0"/>
                <w:i w:val="0"/>
                <w:sz w:val="17"/>
              </w:rPr>
              <w:t>1,795–2,014</w:t>
            </w:r>
          </w:p>
        </w:tc>
        <w:tc>
          <w:tcPr>
            <w:tcW w:type="dxa" w:w="2041"/>
            <w:shd w:val="clear" w:color="auto" w:fill="EEF3F8"/>
          </w:tcPr>
          <w:p>
            <w:pPr>
              <w:spacing w:after="20"/>
            </w:pPr>
            <w:r/>
            <w:r>
              <w:rPr>
                <w:b w:val="0"/>
                <w:i w:val="0"/>
                <w:sz w:val="17"/>
              </w:rPr>
              <w:t>1,736–2,072</w:t>
            </w:r>
          </w:p>
        </w:tc>
      </w:tr>
      <w:tr>
        <w:trPr>
          <w:cantSplit/>
        </w:trPr>
        <w:tc>
          <w:tcPr>
            <w:tcW w:type="dxa" w:w="2381"/>
          </w:tcPr>
          <w:p>
            <w:pPr>
              <w:spacing w:after="20"/>
            </w:pPr>
            <w:r/>
            <w:r>
              <w:rPr>
                <w:b w:val="0"/>
                <w:i w:val="0"/>
                <w:sz w:val="17"/>
              </w:rPr>
              <w:t>LPG</w:t>
            </w:r>
          </w:p>
        </w:tc>
        <w:tc>
          <w:tcPr>
            <w:tcW w:type="dxa" w:w="2608"/>
          </w:tcPr>
          <w:p>
            <w:pPr>
              <w:spacing w:after="20"/>
              <w:jc w:val="right"/>
            </w:pPr>
            <w:r/>
            <w:r>
              <w:rPr>
                <w:b w:val="0"/>
                <w:i w:val="0"/>
                <w:sz w:val="17"/>
              </w:rPr>
              <w:t>554</w:t>
            </w:r>
          </w:p>
        </w:tc>
        <w:tc>
          <w:tcPr>
            <w:tcW w:type="dxa" w:w="2041"/>
          </w:tcPr>
          <w:p>
            <w:pPr>
              <w:spacing w:after="20"/>
            </w:pPr>
            <w:r/>
            <w:r>
              <w:rPr>
                <w:b w:val="0"/>
                <w:i w:val="0"/>
                <w:sz w:val="17"/>
              </w:rPr>
              <w:t>530–578</w:t>
            </w:r>
          </w:p>
        </w:tc>
        <w:tc>
          <w:tcPr>
            <w:tcW w:type="dxa" w:w="2041"/>
          </w:tcPr>
          <w:p>
            <w:pPr>
              <w:spacing w:after="20"/>
            </w:pPr>
            <w:r/>
            <w:r>
              <w:rPr>
                <w:b w:val="0"/>
                <w:i w:val="0"/>
                <w:sz w:val="17"/>
              </w:rPr>
              <w:t>518–590</w:t>
            </w:r>
          </w:p>
        </w:tc>
      </w:tr>
      <w:tr>
        <w:trPr>
          <w:cantSplit/>
        </w:trPr>
        <w:tc>
          <w:tcPr>
            <w:tcW w:type="dxa" w:w="2381"/>
            <w:shd w:val="clear" w:color="auto" w:fill="EEF3F8"/>
          </w:tcPr>
          <w:p>
            <w:pPr>
              <w:spacing w:after="20"/>
            </w:pPr>
            <w:r/>
            <w:r>
              <w:rPr>
                <w:b w:val="0"/>
                <w:i w:val="0"/>
                <w:sz w:val="17"/>
              </w:rPr>
              <w:t>Jet fuel*</w:t>
            </w:r>
          </w:p>
        </w:tc>
        <w:tc>
          <w:tcPr>
            <w:tcW w:type="dxa" w:w="2608"/>
            <w:shd w:val="clear" w:color="auto" w:fill="EEF3F8"/>
          </w:tcPr>
          <w:p>
            <w:pPr>
              <w:spacing w:after="20"/>
              <w:jc w:val="right"/>
            </w:pPr>
            <w:r/>
            <w:r>
              <w:rPr>
                <w:b w:val="0"/>
                <w:i w:val="0"/>
                <w:sz w:val="17"/>
              </w:rPr>
              <w:t>684</w:t>
            </w:r>
          </w:p>
        </w:tc>
        <w:tc>
          <w:tcPr>
            <w:tcW w:type="dxa" w:w="2041"/>
            <w:shd w:val="clear" w:color="auto" w:fill="EEF3F8"/>
          </w:tcPr>
          <w:p>
            <w:pPr>
              <w:spacing w:after="20"/>
            </w:pPr>
            <w:r/>
            <w:r>
              <w:rPr>
                <w:b w:val="0"/>
                <w:i w:val="0"/>
                <w:sz w:val="17"/>
              </w:rPr>
              <w:t>646–723</w:t>
            </w:r>
          </w:p>
        </w:tc>
        <w:tc>
          <w:tcPr>
            <w:tcW w:type="dxa" w:w="2041"/>
            <w:shd w:val="clear" w:color="auto" w:fill="EEF3F8"/>
          </w:tcPr>
          <w:p>
            <w:pPr>
              <w:spacing w:after="20"/>
            </w:pPr>
            <w:r/>
            <w:r>
              <w:rPr>
                <w:b w:val="0"/>
                <w:i w:val="0"/>
                <w:sz w:val="17"/>
              </w:rPr>
              <w:t>625–744</w:t>
            </w:r>
          </w:p>
        </w:tc>
      </w:tr>
      <w:tr>
        <w:trPr>
          <w:cantSplit/>
        </w:trPr>
        <w:tc>
          <w:tcPr>
            <w:tcW w:type="dxa" w:w="2381"/>
          </w:tcPr>
          <w:p>
            <w:pPr>
              <w:spacing w:after="20"/>
            </w:pPr>
            <w:r/>
            <w:r>
              <w:rPr>
                <w:b/>
                <w:i w:val="0"/>
                <w:sz w:val="17"/>
              </w:rPr>
              <w:t>Total (all products)</w:t>
            </w:r>
          </w:p>
        </w:tc>
        <w:tc>
          <w:tcPr>
            <w:tcW w:type="dxa" w:w="2608"/>
          </w:tcPr>
          <w:p>
            <w:pPr>
              <w:spacing w:after="20"/>
              <w:jc w:val="right"/>
            </w:pPr>
            <w:r/>
            <w:r>
              <w:rPr>
                <w:b w:val="0"/>
                <w:i w:val="0"/>
                <w:sz w:val="17"/>
              </w:rPr>
              <w:t>6,365</w:t>
            </w:r>
          </w:p>
        </w:tc>
        <w:tc>
          <w:tcPr>
            <w:tcW w:type="dxa" w:w="2041"/>
          </w:tcPr>
          <w:p>
            <w:pPr>
              <w:spacing w:after="20"/>
            </w:pPr>
            <w:r/>
            <w:r>
              <w:rPr>
                <w:b w:val="0"/>
                <w:i w:val="0"/>
                <w:sz w:val="17"/>
              </w:rPr>
              <w:t>6,040–6,690</w:t>
            </w:r>
          </w:p>
        </w:tc>
        <w:tc>
          <w:tcPr>
            <w:tcW w:type="dxa" w:w="2041"/>
          </w:tcPr>
          <w:p>
            <w:pPr>
              <w:spacing w:after="20"/>
            </w:pPr>
            <w:r/>
            <w:r>
              <w:rPr>
                <w:b w:val="0"/>
                <w:i w:val="0"/>
                <w:sz w:val="17"/>
              </w:rPr>
              <w:t>5,868–6,861</w:t>
            </w:r>
          </w:p>
        </w:tc>
      </w:tr>
    </w:tbl>
    <w:p>
      <w:r>
        <w:rPr>
          <w:i/>
          <w:sz w:val="16"/>
        </w:rPr>
        <w:t>Intervals: forecast ± 1.28 / 1.96 × RMSE of the selected model’s rolling-origin errors at each horizon (beyond horizon 6, scaled by √(h/6)). Because errors are few, treat intervals as approximate and likely too narrow.</w:t>
      </w:r>
    </w:p>
    <w:p>
      <w:r>
        <w:rPr>
          <w:b w:val="0"/>
          <w:i w:val="0"/>
        </w:rPr>
        <w:t>These forecasts are trained only on pre-shock data (to February 2026). They answer “what if 2024–25 growth had continued?”, not “what will 2026 be?”. The actual March–September 2026 volumes should be compared with these intervals as soon as they are published; a systematic miss below the 95% lower bound would quantify demand destruction and rationing.</w:t>
      </w:r>
    </w:p>
    <w:p>
      <w:pPr>
        <w:pStyle w:val="Heading2"/>
      </w:pPr>
      <w:r>
        <w:t>8.3 How good was the official plan? A back-test of the PDP</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268"/>
            <w:shd w:val="clear" w:color="auto" w:fill="1F4E79"/>
          </w:tcPr>
          <w:p>
            <w:pPr>
              <w:spacing w:after="20"/>
            </w:pPr>
            <w:r/>
            <w:r>
              <w:rPr>
                <w:b/>
                <w:color w:val="FFFFFF"/>
                <w:sz w:val="17"/>
              </w:rPr>
              <w:t>Product</w:t>
            </w:r>
          </w:p>
        </w:tc>
        <w:tc>
          <w:tcPr>
            <w:tcW w:type="dxa" w:w="2721"/>
            <w:shd w:val="clear" w:color="auto" w:fill="1F4E79"/>
          </w:tcPr>
          <w:p>
            <w:pPr>
              <w:spacing w:after="20"/>
            </w:pPr>
            <w:r/>
            <w:r>
              <w:rPr>
                <w:b/>
                <w:color w:val="FFFFFF"/>
                <w:sz w:val="17"/>
              </w:rPr>
              <w:t>PDP baseline forecast for 2025 (kt)</w:t>
            </w:r>
          </w:p>
        </w:tc>
        <w:tc>
          <w:tcPr>
            <w:tcW w:type="dxa" w:w="1928"/>
            <w:shd w:val="clear" w:color="auto" w:fill="1F4E79"/>
          </w:tcPr>
          <w:p>
            <w:pPr>
              <w:spacing w:after="20"/>
            </w:pPr>
            <w:r/>
            <w:r>
              <w:rPr>
                <w:b/>
                <w:color w:val="FFFFFF"/>
                <w:sz w:val="17"/>
              </w:rPr>
              <w:t>Actual 2025 (kt)</w:t>
            </w:r>
          </w:p>
        </w:tc>
        <w:tc>
          <w:tcPr>
            <w:tcW w:type="dxa" w:w="2268"/>
            <w:shd w:val="clear" w:color="auto" w:fill="1F4E79"/>
          </w:tcPr>
          <w:p>
            <w:pPr>
              <w:spacing w:after="20"/>
            </w:pPr>
            <w:r/>
            <w:r>
              <w:rPr>
                <w:b/>
                <w:color w:val="FFFFFF"/>
                <w:sz w:val="17"/>
              </w:rPr>
              <w:t>Error (actual vs forecast)</w:t>
            </w:r>
          </w:p>
        </w:tc>
      </w:tr>
      <w:tr>
        <w:trPr>
          <w:cantSplit/>
        </w:trPr>
        <w:tc>
          <w:tcPr>
            <w:tcW w:type="dxa" w:w="2268"/>
          </w:tcPr>
          <w:p>
            <w:pPr>
              <w:spacing w:after="20"/>
            </w:pPr>
            <w:r/>
            <w:r>
              <w:rPr>
                <w:b w:val="0"/>
                <w:i w:val="0"/>
                <w:sz w:val="17"/>
              </w:rPr>
              <w:t>Petrol (PMS)</w:t>
            </w:r>
          </w:p>
        </w:tc>
        <w:tc>
          <w:tcPr>
            <w:tcW w:type="dxa" w:w="2721"/>
          </w:tcPr>
          <w:p>
            <w:pPr>
              <w:spacing w:after="20"/>
              <w:jc w:val="right"/>
            </w:pPr>
            <w:r/>
            <w:r>
              <w:rPr>
                <w:b w:val="0"/>
                <w:i w:val="0"/>
                <w:sz w:val="17"/>
              </w:rPr>
              <w:t>1,554.0</w:t>
            </w:r>
          </w:p>
        </w:tc>
        <w:tc>
          <w:tcPr>
            <w:tcW w:type="dxa" w:w="1928"/>
          </w:tcPr>
          <w:p>
            <w:pPr>
              <w:spacing w:after="20"/>
              <w:jc w:val="right"/>
            </w:pPr>
            <w:r/>
            <w:r>
              <w:rPr>
                <w:b w:val="0"/>
                <w:i w:val="0"/>
                <w:sz w:val="17"/>
              </w:rPr>
              <w:t>1,657.5</w:t>
            </w:r>
          </w:p>
        </w:tc>
        <w:tc>
          <w:tcPr>
            <w:tcW w:type="dxa" w:w="2268"/>
          </w:tcPr>
          <w:p>
            <w:pPr>
              <w:spacing w:after="20"/>
              <w:jc w:val="right"/>
            </w:pPr>
            <w:r/>
            <w:r>
              <w:rPr>
                <w:b w:val="0"/>
                <w:i w:val="0"/>
                <w:sz w:val="17"/>
              </w:rPr>
              <w:t>+6.7%</w:t>
            </w:r>
          </w:p>
        </w:tc>
      </w:tr>
      <w:tr>
        <w:trPr>
          <w:cantSplit/>
        </w:trPr>
        <w:tc>
          <w:tcPr>
            <w:tcW w:type="dxa" w:w="2268"/>
            <w:shd w:val="clear" w:color="auto" w:fill="EEF3F8"/>
          </w:tcPr>
          <w:p>
            <w:pPr>
              <w:spacing w:after="20"/>
            </w:pPr>
            <w:r/>
            <w:r>
              <w:rPr>
                <w:b w:val="0"/>
                <w:i w:val="0"/>
                <w:sz w:val="17"/>
              </w:rPr>
              <w:t>Diesel (AGO)</w:t>
            </w:r>
          </w:p>
        </w:tc>
        <w:tc>
          <w:tcPr>
            <w:tcW w:type="dxa" w:w="2721"/>
            <w:shd w:val="clear" w:color="auto" w:fill="EEF3F8"/>
          </w:tcPr>
          <w:p>
            <w:pPr>
              <w:spacing w:after="20"/>
              <w:jc w:val="right"/>
            </w:pPr>
            <w:r/>
            <w:r>
              <w:rPr>
                <w:b w:val="0"/>
                <w:i w:val="0"/>
                <w:sz w:val="17"/>
              </w:rPr>
              <w:t>2,297.6</w:t>
            </w:r>
          </w:p>
        </w:tc>
        <w:tc>
          <w:tcPr>
            <w:tcW w:type="dxa" w:w="1928"/>
            <w:shd w:val="clear" w:color="auto" w:fill="EEF3F8"/>
          </w:tcPr>
          <w:p>
            <w:pPr>
              <w:spacing w:after="20"/>
              <w:jc w:val="right"/>
            </w:pPr>
            <w:r/>
            <w:r>
              <w:rPr>
                <w:b w:val="0"/>
                <w:i w:val="0"/>
                <w:sz w:val="17"/>
              </w:rPr>
              <w:t>2,419.1</w:t>
            </w:r>
          </w:p>
        </w:tc>
        <w:tc>
          <w:tcPr>
            <w:tcW w:type="dxa" w:w="2268"/>
            <w:shd w:val="clear" w:color="auto" w:fill="EEF3F8"/>
          </w:tcPr>
          <w:p>
            <w:pPr>
              <w:spacing w:after="20"/>
              <w:jc w:val="right"/>
            </w:pPr>
            <w:r/>
            <w:r>
              <w:rPr>
                <w:b w:val="0"/>
                <w:i w:val="0"/>
                <w:sz w:val="17"/>
              </w:rPr>
              <w:t>+5.3%</w:t>
            </w:r>
          </w:p>
        </w:tc>
      </w:tr>
      <w:tr>
        <w:trPr>
          <w:cantSplit/>
        </w:trPr>
        <w:tc>
          <w:tcPr>
            <w:tcW w:type="dxa" w:w="2268"/>
          </w:tcPr>
          <w:p>
            <w:pPr>
              <w:spacing w:after="20"/>
            </w:pPr>
            <w:r/>
            <w:r>
              <w:rPr>
                <w:b w:val="0"/>
                <w:i w:val="0"/>
                <w:sz w:val="17"/>
              </w:rPr>
              <w:t>LPG</w:t>
            </w:r>
          </w:p>
        </w:tc>
        <w:tc>
          <w:tcPr>
            <w:tcW w:type="dxa" w:w="2721"/>
          </w:tcPr>
          <w:p>
            <w:pPr>
              <w:spacing w:after="20"/>
              <w:jc w:val="right"/>
            </w:pPr>
            <w:r/>
            <w:r>
              <w:rPr>
                <w:b w:val="0"/>
                <w:i w:val="0"/>
                <w:sz w:val="17"/>
              </w:rPr>
              <w:t>446.2</w:t>
            </w:r>
          </w:p>
        </w:tc>
        <w:tc>
          <w:tcPr>
            <w:tcW w:type="dxa" w:w="1928"/>
          </w:tcPr>
          <w:p>
            <w:pPr>
              <w:spacing w:after="20"/>
              <w:jc w:val="right"/>
            </w:pPr>
            <w:r/>
            <w:r>
              <w:rPr>
                <w:b w:val="0"/>
                <w:i w:val="0"/>
                <w:sz w:val="17"/>
              </w:rPr>
              <w:t>476.0</w:t>
            </w:r>
          </w:p>
        </w:tc>
        <w:tc>
          <w:tcPr>
            <w:tcW w:type="dxa" w:w="2268"/>
          </w:tcPr>
          <w:p>
            <w:pPr>
              <w:spacing w:after="20"/>
              <w:jc w:val="right"/>
            </w:pPr>
            <w:r/>
            <w:r>
              <w:rPr>
                <w:b w:val="0"/>
                <w:i w:val="0"/>
                <w:sz w:val="17"/>
              </w:rPr>
              <w:t>+6.7%</w:t>
            </w:r>
          </w:p>
        </w:tc>
      </w:tr>
      <w:tr>
        <w:trPr>
          <w:cantSplit/>
        </w:trPr>
        <w:tc>
          <w:tcPr>
            <w:tcW w:type="dxa" w:w="2268"/>
            <w:shd w:val="clear" w:color="auto" w:fill="EEF3F8"/>
          </w:tcPr>
          <w:p>
            <w:pPr>
              <w:spacing w:after="20"/>
            </w:pPr>
            <w:r/>
            <w:r>
              <w:rPr>
                <w:b w:val="0"/>
                <w:i w:val="0"/>
                <w:sz w:val="17"/>
              </w:rPr>
              <w:t>Total</w:t>
            </w:r>
          </w:p>
        </w:tc>
        <w:tc>
          <w:tcPr>
            <w:tcW w:type="dxa" w:w="2721"/>
            <w:shd w:val="clear" w:color="auto" w:fill="EEF3F8"/>
          </w:tcPr>
          <w:p>
            <w:pPr>
              <w:spacing w:after="20"/>
              <w:jc w:val="right"/>
            </w:pPr>
            <w:r/>
            <w:r>
              <w:rPr>
                <w:b w:val="0"/>
                <w:i w:val="0"/>
                <w:sz w:val="17"/>
              </w:rPr>
              <w:t>5,425.5</w:t>
            </w:r>
          </w:p>
        </w:tc>
        <w:tc>
          <w:tcPr>
            <w:tcW w:type="dxa" w:w="1928"/>
            <w:shd w:val="clear" w:color="auto" w:fill="EEF3F8"/>
          </w:tcPr>
          <w:p>
            <w:pPr>
              <w:spacing w:after="20"/>
              <w:jc w:val="right"/>
            </w:pPr>
            <w:r/>
            <w:r>
              <w:rPr>
                <w:b w:val="0"/>
                <w:i w:val="0"/>
                <w:sz w:val="17"/>
              </w:rPr>
              <w:t>5,712.5</w:t>
            </w:r>
          </w:p>
        </w:tc>
        <w:tc>
          <w:tcPr>
            <w:tcW w:type="dxa" w:w="2268"/>
            <w:shd w:val="clear" w:color="auto" w:fill="EEF3F8"/>
          </w:tcPr>
          <w:p>
            <w:pPr>
              <w:spacing w:after="20"/>
              <w:jc w:val="right"/>
            </w:pPr>
            <w:r/>
            <w:r>
              <w:rPr>
                <w:b w:val="0"/>
                <w:i w:val="0"/>
                <w:sz w:val="17"/>
              </w:rPr>
              <w:t>+5.3%</w:t>
            </w:r>
          </w:p>
        </w:tc>
      </w:tr>
    </w:tbl>
    <w:p>
      <w:r>
        <w:rPr>
          <w:i/>
          <w:sz w:val="16"/>
        </w:rPr>
        <w:t>PDP forecasts from Table 4.4 (kt); the PDP was published in mid-2025.</w:t>
      </w:r>
    </w:p>
    <w:p>
      <w:r>
        <w:rPr>
          <w:b w:val="0"/>
          <w:i w:val="0"/>
        </w:rPr>
        <w:t>The PDP’s baseline underestimated 2025 demand by 5.3% in total, with diesel 5.3% low and petrol and LPG 6.7% low. The direction matters for planning: infrastructure and stock requirements built on the PDP baseline start 5–7% short of the observed base. A reasonable use is to treat the PDP optimistic scenario as the central planning case until volumes normalise.</w:t>
      </w:r>
    </w:p>
    <w:p>
      <w:pPr>
        <w:pStyle w:val="Heading1"/>
      </w:pPr>
      <w:r>
        <w:t>9. Scenario analysis, 2025–2035</w:t>
      </w:r>
    </w:p>
    <w:p>
      <w:r>
        <w:rPr>
          <w:b/>
          <w:i w:val="0"/>
        </w:rPr>
        <w:t>Design.</w:t>
      </w:r>
      <w:r>
        <w:rPr>
          <w:b w:val="0"/>
          <w:i w:val="0"/>
        </w:rPr>
        <w:t xml:space="preserve"> Baseline, high-demand and low-demand scenarios use EPRA’s PDP growth rates for 2025–2029 (diesel 3.52/4.28/2.74% per year; petrol 3.35/4.08/2.97%; LPG 7.26/8.82/6.34%; jet 1.87/2.17/1.70%; kerosene −4.57/−3.86/−5.29%, for baseline/optimistic/pessimistic). Growth for 2030–35 is </w:t>
      </w:r>
      <w:r>
        <w:rPr>
          <w:b/>
          <w:i w:val="0"/>
        </w:rPr>
        <w:t>assumed</w:t>
      </w:r>
      <w:r>
        <w:rPr>
          <w:b w:val="0"/>
          <w:i w:val="0"/>
        </w:rPr>
        <w:t xml:space="preserve"> to be 80% of the 2029 rate. A 2026 price shock reduces demand using the elasticities in Section 7: baseline diesel price +20%, petrol +15%, LPG +10%, kerosene +20%; high-demand case +10/+8/+5/+10%; low-demand +30/+22/+20/+30%. The long-run response is phased over 2027–28. Fuel oil follows the PDP’s up-then-down path; avgas is held flat.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2154"/>
            <w:shd w:val="clear" w:color="auto" w:fill="1F4E79"/>
          </w:tcPr>
          <w:p>
            <w:pPr>
              <w:spacing w:after="20"/>
            </w:pPr>
            <w:r/>
            <w:r>
              <w:rPr>
                <w:b/>
                <w:color w:val="FFFFFF"/>
                <w:sz w:val="17"/>
              </w:rPr>
              <w:t>Total demand (Mt)</w:t>
            </w:r>
          </w:p>
        </w:tc>
        <w:tc>
          <w:tcPr>
            <w:tcW w:type="dxa" w:w="1247"/>
            <w:shd w:val="clear" w:color="auto" w:fill="1F4E79"/>
          </w:tcPr>
          <w:p>
            <w:pPr>
              <w:spacing w:after="20"/>
            </w:pPr>
            <w:r/>
            <w:r>
              <w:rPr>
                <w:b/>
                <w:color w:val="FFFFFF"/>
                <w:sz w:val="17"/>
              </w:rPr>
              <w:t>2025</w:t>
            </w:r>
          </w:p>
        </w:tc>
        <w:tc>
          <w:tcPr>
            <w:tcW w:type="dxa" w:w="1247"/>
            <w:shd w:val="clear" w:color="auto" w:fill="1F4E79"/>
          </w:tcPr>
          <w:p>
            <w:pPr>
              <w:spacing w:after="20"/>
            </w:pPr>
            <w:r/>
            <w:r>
              <w:rPr>
                <w:b/>
                <w:color w:val="FFFFFF"/>
                <w:sz w:val="17"/>
              </w:rPr>
              <w:t>2026</w:t>
            </w:r>
          </w:p>
        </w:tc>
        <w:tc>
          <w:tcPr>
            <w:tcW w:type="dxa" w:w="1247"/>
            <w:shd w:val="clear" w:color="auto" w:fill="1F4E79"/>
          </w:tcPr>
          <w:p>
            <w:pPr>
              <w:spacing w:after="20"/>
            </w:pPr>
            <w:r/>
            <w:r>
              <w:rPr>
                <w:b/>
                <w:color w:val="FFFFFF"/>
                <w:sz w:val="17"/>
              </w:rPr>
              <w:t>2030</w:t>
            </w:r>
          </w:p>
        </w:tc>
        <w:tc>
          <w:tcPr>
            <w:tcW w:type="dxa" w:w="1247"/>
            <w:shd w:val="clear" w:color="auto" w:fill="1F4E79"/>
          </w:tcPr>
          <w:p>
            <w:pPr>
              <w:spacing w:after="20"/>
            </w:pPr>
            <w:r/>
            <w:r>
              <w:rPr>
                <w:b/>
                <w:color w:val="FFFFFF"/>
                <w:sz w:val="17"/>
              </w:rPr>
              <w:t>2035</w:t>
            </w:r>
          </w:p>
        </w:tc>
        <w:tc>
          <w:tcPr>
            <w:tcW w:type="dxa" w:w="1701"/>
            <w:shd w:val="clear" w:color="auto" w:fill="1F4E79"/>
          </w:tcPr>
          <w:p>
            <w:pPr>
              <w:spacing w:after="20"/>
            </w:pPr>
            <w:r/>
            <w:r>
              <w:rPr>
                <w:b/>
                <w:color w:val="FFFFFF"/>
                <w:sz w:val="17"/>
              </w:rPr>
              <w:t>CAGR 2025–35</w:t>
            </w:r>
          </w:p>
        </w:tc>
      </w:tr>
      <w:tr>
        <w:trPr>
          <w:cantSplit/>
        </w:trPr>
        <w:tc>
          <w:tcPr>
            <w:tcW w:type="dxa" w:w="2154"/>
          </w:tcPr>
          <w:p>
            <w:pPr>
              <w:spacing w:after="20"/>
            </w:pPr>
            <w:r/>
            <w:r>
              <w:rPr>
                <w:b w:val="0"/>
                <w:i w:val="0"/>
                <w:sz w:val="17"/>
              </w:rPr>
              <w:t>Low-demand</w:t>
            </w:r>
          </w:p>
        </w:tc>
        <w:tc>
          <w:tcPr>
            <w:tcW w:type="dxa" w:w="1247"/>
          </w:tcPr>
          <w:p>
            <w:pPr>
              <w:spacing w:after="20"/>
              <w:jc w:val="right"/>
            </w:pPr>
            <w:r/>
            <w:r>
              <w:rPr>
                <w:b w:val="0"/>
                <w:i w:val="0"/>
                <w:sz w:val="17"/>
              </w:rPr>
              <w:t>5.71</w:t>
            </w:r>
          </w:p>
        </w:tc>
        <w:tc>
          <w:tcPr>
            <w:tcW w:type="dxa" w:w="1247"/>
          </w:tcPr>
          <w:p>
            <w:pPr>
              <w:spacing w:after="20"/>
              <w:jc w:val="right"/>
            </w:pPr>
            <w:r/>
            <w:r>
              <w:rPr>
                <w:b w:val="0"/>
                <w:i w:val="0"/>
                <w:sz w:val="17"/>
              </w:rPr>
              <w:t>5.72</w:t>
            </w:r>
          </w:p>
        </w:tc>
        <w:tc>
          <w:tcPr>
            <w:tcW w:type="dxa" w:w="1247"/>
          </w:tcPr>
          <w:p>
            <w:pPr>
              <w:spacing w:after="20"/>
              <w:jc w:val="right"/>
            </w:pPr>
            <w:r/>
            <w:r>
              <w:rPr>
                <w:b w:val="0"/>
                <w:i w:val="0"/>
                <w:sz w:val="17"/>
              </w:rPr>
              <w:t>5.99</w:t>
            </w:r>
          </w:p>
        </w:tc>
        <w:tc>
          <w:tcPr>
            <w:tcW w:type="dxa" w:w="1247"/>
          </w:tcPr>
          <w:p>
            <w:pPr>
              <w:spacing w:after="20"/>
              <w:jc w:val="right"/>
            </w:pPr>
            <w:r/>
            <w:r>
              <w:rPr>
                <w:b w:val="0"/>
                <w:i w:val="0"/>
                <w:sz w:val="17"/>
              </w:rPr>
              <w:t>6.64</w:t>
            </w:r>
          </w:p>
        </w:tc>
        <w:tc>
          <w:tcPr>
            <w:tcW w:type="dxa" w:w="1701"/>
          </w:tcPr>
          <w:p>
            <w:pPr>
              <w:spacing w:after="20"/>
              <w:jc w:val="right"/>
            </w:pPr>
            <w:r/>
            <w:r>
              <w:rPr>
                <w:b w:val="0"/>
                <w:i w:val="0"/>
                <w:sz w:val="17"/>
              </w:rPr>
              <w:t>1.5%</w:t>
            </w:r>
          </w:p>
        </w:tc>
      </w:tr>
      <w:tr>
        <w:trPr>
          <w:cantSplit/>
        </w:trPr>
        <w:tc>
          <w:tcPr>
            <w:tcW w:type="dxa" w:w="2154"/>
            <w:shd w:val="clear" w:color="auto" w:fill="EEF3F8"/>
          </w:tcPr>
          <w:p>
            <w:pPr>
              <w:spacing w:after="20"/>
            </w:pPr>
            <w:r/>
            <w:r>
              <w:rPr>
                <w:b w:val="0"/>
                <w:i w:val="0"/>
                <w:sz w:val="17"/>
              </w:rPr>
              <w:t>Baseline</w:t>
            </w:r>
          </w:p>
        </w:tc>
        <w:tc>
          <w:tcPr>
            <w:tcW w:type="dxa" w:w="1247"/>
            <w:shd w:val="clear" w:color="auto" w:fill="EEF3F8"/>
          </w:tcPr>
          <w:p>
            <w:pPr>
              <w:spacing w:after="20"/>
              <w:jc w:val="right"/>
            </w:pPr>
            <w:r/>
            <w:r>
              <w:rPr>
                <w:b w:val="0"/>
                <w:i w:val="0"/>
                <w:sz w:val="17"/>
              </w:rPr>
              <w:t>5.71</w:t>
            </w:r>
          </w:p>
        </w:tc>
        <w:tc>
          <w:tcPr>
            <w:tcW w:type="dxa" w:w="1247"/>
            <w:shd w:val="clear" w:color="auto" w:fill="EEF3F8"/>
          </w:tcPr>
          <w:p>
            <w:pPr>
              <w:spacing w:after="20"/>
              <w:jc w:val="right"/>
            </w:pPr>
            <w:r/>
            <w:r>
              <w:rPr>
                <w:b w:val="0"/>
                <w:i w:val="0"/>
                <w:sz w:val="17"/>
              </w:rPr>
              <w:t>5.80</w:t>
            </w:r>
          </w:p>
        </w:tc>
        <w:tc>
          <w:tcPr>
            <w:tcW w:type="dxa" w:w="1247"/>
            <w:shd w:val="clear" w:color="auto" w:fill="EEF3F8"/>
          </w:tcPr>
          <w:p>
            <w:pPr>
              <w:spacing w:after="20"/>
              <w:jc w:val="right"/>
            </w:pPr>
            <w:r/>
            <w:r>
              <w:rPr>
                <w:b w:val="0"/>
                <w:i w:val="0"/>
                <w:sz w:val="17"/>
              </w:rPr>
              <w:t>6.31</w:t>
            </w:r>
          </w:p>
        </w:tc>
        <w:tc>
          <w:tcPr>
            <w:tcW w:type="dxa" w:w="1247"/>
            <w:shd w:val="clear" w:color="auto" w:fill="EEF3F8"/>
          </w:tcPr>
          <w:p>
            <w:pPr>
              <w:spacing w:after="20"/>
              <w:jc w:val="right"/>
            </w:pPr>
            <w:r/>
            <w:r>
              <w:rPr>
                <w:b w:val="0"/>
                <w:i w:val="0"/>
                <w:sz w:val="17"/>
              </w:rPr>
              <w:t>7.16</w:t>
            </w:r>
          </w:p>
        </w:tc>
        <w:tc>
          <w:tcPr>
            <w:tcW w:type="dxa" w:w="1701"/>
            <w:shd w:val="clear" w:color="auto" w:fill="EEF3F8"/>
          </w:tcPr>
          <w:p>
            <w:pPr>
              <w:spacing w:after="20"/>
              <w:jc w:val="right"/>
            </w:pPr>
            <w:r/>
            <w:r>
              <w:rPr>
                <w:b w:val="0"/>
                <w:i w:val="0"/>
                <w:sz w:val="17"/>
              </w:rPr>
              <w:t>2.3%</w:t>
            </w:r>
          </w:p>
        </w:tc>
      </w:tr>
      <w:tr>
        <w:trPr>
          <w:cantSplit/>
        </w:trPr>
        <w:tc>
          <w:tcPr>
            <w:tcW w:type="dxa" w:w="2154"/>
          </w:tcPr>
          <w:p>
            <w:pPr>
              <w:spacing w:after="20"/>
            </w:pPr>
            <w:r/>
            <w:r>
              <w:rPr>
                <w:b w:val="0"/>
                <w:i w:val="0"/>
                <w:sz w:val="17"/>
              </w:rPr>
              <w:t>High-demand</w:t>
            </w:r>
          </w:p>
        </w:tc>
        <w:tc>
          <w:tcPr>
            <w:tcW w:type="dxa" w:w="1247"/>
          </w:tcPr>
          <w:p>
            <w:pPr>
              <w:spacing w:after="20"/>
              <w:jc w:val="right"/>
            </w:pPr>
            <w:r/>
            <w:r>
              <w:rPr>
                <w:b w:val="0"/>
                <w:i w:val="0"/>
                <w:sz w:val="17"/>
              </w:rPr>
              <w:t>5.71</w:t>
            </w:r>
          </w:p>
        </w:tc>
        <w:tc>
          <w:tcPr>
            <w:tcW w:type="dxa" w:w="1247"/>
          </w:tcPr>
          <w:p>
            <w:pPr>
              <w:spacing w:after="20"/>
              <w:jc w:val="right"/>
            </w:pPr>
            <w:r/>
            <w:r>
              <w:rPr>
                <w:b w:val="0"/>
                <w:i w:val="0"/>
                <w:sz w:val="17"/>
              </w:rPr>
              <w:t>5.90</w:t>
            </w:r>
          </w:p>
        </w:tc>
        <w:tc>
          <w:tcPr>
            <w:tcW w:type="dxa" w:w="1247"/>
          </w:tcPr>
          <w:p>
            <w:pPr>
              <w:spacing w:after="20"/>
              <w:jc w:val="right"/>
            </w:pPr>
            <w:r/>
            <w:r>
              <w:rPr>
                <w:b w:val="0"/>
                <w:i w:val="0"/>
                <w:sz w:val="17"/>
              </w:rPr>
              <w:t>6.70</w:t>
            </w:r>
          </w:p>
        </w:tc>
        <w:tc>
          <w:tcPr>
            <w:tcW w:type="dxa" w:w="1247"/>
          </w:tcPr>
          <w:p>
            <w:pPr>
              <w:spacing w:after="20"/>
              <w:jc w:val="right"/>
            </w:pPr>
            <w:r/>
            <w:r>
              <w:rPr>
                <w:b w:val="0"/>
                <w:i w:val="0"/>
                <w:sz w:val="17"/>
              </w:rPr>
              <w:t>7.85</w:t>
            </w:r>
          </w:p>
        </w:tc>
        <w:tc>
          <w:tcPr>
            <w:tcW w:type="dxa" w:w="1701"/>
          </w:tcPr>
          <w:p>
            <w:pPr>
              <w:spacing w:after="20"/>
              <w:jc w:val="right"/>
            </w:pPr>
            <w:r/>
            <w:r>
              <w:rPr>
                <w:b w:val="0"/>
                <w:i w:val="0"/>
                <w:sz w:val="17"/>
              </w:rPr>
              <w:t>3.2%</w:t>
            </w:r>
          </w:p>
        </w:tc>
      </w:tr>
    </w:tbl>
    <w:p>
      <w:pPr>
        <w:spacing w:after="40"/>
      </w:pPr>
    </w:p>
    <w:p>
      <w:pPr>
        <w:jc w:val="center"/>
      </w:pPr>
      <w:r>
        <w:drawing>
          <wp:inline xmlns:a="http://schemas.openxmlformats.org/drawingml/2006/main" xmlns:pic="http://schemas.openxmlformats.org/drawingml/2006/picture">
            <wp:extent cx="5760000" cy="2764800"/>
            <wp:docPr id="9" name="Picture 9"/>
            <wp:cNvGraphicFramePr>
              <a:graphicFrameLocks noChangeAspect="1"/>
            </wp:cNvGraphicFramePr>
            <a:graphic>
              <a:graphicData uri="http://schemas.openxmlformats.org/drawingml/2006/picture">
                <pic:pic>
                  <pic:nvPicPr>
                    <pic:cNvPr id="0" name="f6_scenarios.png"/>
                    <pic:cNvPicPr/>
                  </pic:nvPicPr>
                  <pic:blipFill>
                    <a:blip r:embed="rId18"/>
                    <a:stretch>
                      <a:fillRect/>
                    </a:stretch>
                  </pic:blipFill>
                  <pic:spPr>
                    <a:xfrm>
                      <a:off x="0" y="0"/>
                      <a:ext cx="5760000" cy="2764800"/>
                    </a:xfrm>
                    <a:prstGeom prst="rect"/>
                  </pic:spPr>
                </pic:pic>
              </a:graphicData>
            </a:graphic>
          </wp:inline>
        </w:drawing>
      </w:r>
    </w:p>
    <w:p>
      <w:pPr>
        <w:jc w:val="center"/>
      </w:pPr>
      <w:r>
        <w:rPr>
          <w:i/>
          <w:sz w:val="17"/>
        </w:rPr>
        <w:t>Figure 9. Total petroleum demand by scenario (Mt).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cantSplit/>
        </w:trPr>
        <w:tc>
          <w:tcPr>
            <w:tcW w:type="dxa" w:w="1814"/>
            <w:shd w:val="clear" w:color="auto" w:fill="1F4E79"/>
          </w:tcPr>
          <w:p>
            <w:pPr>
              <w:spacing w:after="20"/>
            </w:pPr>
            <w:r/>
            <w:r>
              <w:rPr>
                <w:b/>
                <w:color w:val="FFFFFF"/>
                <w:sz w:val="17"/>
              </w:rPr>
              <w:t>Product (kt)</w:t>
            </w:r>
          </w:p>
        </w:tc>
        <w:tc>
          <w:tcPr>
            <w:tcW w:type="dxa" w:w="907"/>
            <w:shd w:val="clear" w:color="auto" w:fill="1F4E79"/>
          </w:tcPr>
          <w:p>
            <w:pPr>
              <w:spacing w:after="20"/>
            </w:pPr>
            <w:r/>
            <w:r>
              <w:rPr>
                <w:b/>
                <w:color w:val="FFFFFF"/>
                <w:sz w:val="17"/>
              </w:rPr>
              <w:t>2025</w:t>
            </w:r>
          </w:p>
        </w:tc>
        <w:tc>
          <w:tcPr>
            <w:tcW w:type="dxa" w:w="1077"/>
            <w:shd w:val="clear" w:color="auto" w:fill="1F4E79"/>
          </w:tcPr>
          <w:p>
            <w:pPr>
              <w:spacing w:after="20"/>
            </w:pPr>
            <w:r/>
            <w:r>
              <w:rPr>
                <w:b/>
                <w:color w:val="FFFFFF"/>
                <w:sz w:val="17"/>
              </w:rPr>
              <w:t>2030 Low</w:t>
            </w:r>
          </w:p>
        </w:tc>
        <w:tc>
          <w:tcPr>
            <w:tcW w:type="dxa" w:w="1077"/>
            <w:shd w:val="clear" w:color="auto" w:fill="1F4E79"/>
          </w:tcPr>
          <w:p>
            <w:pPr>
              <w:spacing w:after="20"/>
            </w:pPr>
            <w:r/>
            <w:r>
              <w:rPr>
                <w:b/>
                <w:color w:val="FFFFFF"/>
                <w:sz w:val="17"/>
              </w:rPr>
              <w:t>2030 Base</w:t>
            </w:r>
          </w:p>
        </w:tc>
        <w:tc>
          <w:tcPr>
            <w:tcW w:type="dxa" w:w="1077"/>
            <w:shd w:val="clear" w:color="auto" w:fill="1F4E79"/>
          </w:tcPr>
          <w:p>
            <w:pPr>
              <w:spacing w:after="20"/>
            </w:pPr>
            <w:r/>
            <w:r>
              <w:rPr>
                <w:b/>
                <w:color w:val="FFFFFF"/>
                <w:sz w:val="17"/>
              </w:rPr>
              <w:t>2030 High</w:t>
            </w:r>
          </w:p>
        </w:tc>
        <w:tc>
          <w:tcPr>
            <w:tcW w:type="dxa" w:w="1077"/>
            <w:shd w:val="clear" w:color="auto" w:fill="1F4E79"/>
          </w:tcPr>
          <w:p>
            <w:pPr>
              <w:spacing w:after="20"/>
            </w:pPr>
            <w:r/>
            <w:r>
              <w:rPr>
                <w:b/>
                <w:color w:val="FFFFFF"/>
                <w:sz w:val="17"/>
              </w:rPr>
              <w:t>2035 Low</w:t>
            </w:r>
          </w:p>
        </w:tc>
        <w:tc>
          <w:tcPr>
            <w:tcW w:type="dxa" w:w="1077"/>
            <w:shd w:val="clear" w:color="auto" w:fill="1F4E79"/>
          </w:tcPr>
          <w:p>
            <w:pPr>
              <w:spacing w:after="20"/>
            </w:pPr>
            <w:r/>
            <w:r>
              <w:rPr>
                <w:b/>
                <w:color w:val="FFFFFF"/>
                <w:sz w:val="17"/>
              </w:rPr>
              <w:t>2035 Base</w:t>
            </w:r>
          </w:p>
        </w:tc>
        <w:tc>
          <w:tcPr>
            <w:tcW w:type="dxa" w:w="1077"/>
            <w:shd w:val="clear" w:color="auto" w:fill="1F4E79"/>
          </w:tcPr>
          <w:p>
            <w:pPr>
              <w:spacing w:after="20"/>
            </w:pPr>
            <w:r/>
            <w:r>
              <w:rPr>
                <w:b/>
                <w:color w:val="FFFFFF"/>
                <w:sz w:val="17"/>
              </w:rPr>
              <w:t>2035 High</w:t>
            </w:r>
          </w:p>
        </w:tc>
      </w:tr>
      <w:tr>
        <w:trPr>
          <w:cantSplit/>
        </w:trPr>
        <w:tc>
          <w:tcPr>
            <w:tcW w:type="dxa" w:w="1814"/>
          </w:tcPr>
          <w:p>
            <w:pPr>
              <w:spacing w:after="20"/>
            </w:pPr>
            <w:r/>
            <w:r>
              <w:rPr>
                <w:b w:val="0"/>
                <w:i w:val="0"/>
                <w:sz w:val="17"/>
              </w:rPr>
              <w:t>Diesel (AGO)</w:t>
            </w:r>
          </w:p>
        </w:tc>
        <w:tc>
          <w:tcPr>
            <w:tcW w:type="dxa" w:w="907"/>
          </w:tcPr>
          <w:p>
            <w:pPr>
              <w:spacing w:after="20"/>
              <w:jc w:val="right"/>
            </w:pPr>
            <w:r/>
            <w:r>
              <w:rPr>
                <w:b w:val="0"/>
                <w:i w:val="0"/>
                <w:sz w:val="17"/>
              </w:rPr>
              <w:t>2,419</w:t>
            </w:r>
          </w:p>
        </w:tc>
        <w:tc>
          <w:tcPr>
            <w:tcW w:type="dxa" w:w="1077"/>
          </w:tcPr>
          <w:p>
            <w:pPr>
              <w:spacing w:after="20"/>
              <w:jc w:val="right"/>
            </w:pPr>
            <w:r/>
            <w:r>
              <w:rPr>
                <w:b w:val="0"/>
                <w:i w:val="0"/>
                <w:sz w:val="17"/>
              </w:rPr>
              <w:t>2,372</w:t>
            </w:r>
          </w:p>
        </w:tc>
        <w:tc>
          <w:tcPr>
            <w:tcW w:type="dxa" w:w="1077"/>
          </w:tcPr>
          <w:p>
            <w:pPr>
              <w:spacing w:after="20"/>
              <w:jc w:val="right"/>
            </w:pPr>
            <w:r/>
            <w:r>
              <w:rPr>
                <w:b w:val="0"/>
                <w:i w:val="0"/>
                <w:sz w:val="17"/>
              </w:rPr>
              <w:t>2,574</w:t>
            </w:r>
          </w:p>
        </w:tc>
        <w:tc>
          <w:tcPr>
            <w:tcW w:type="dxa" w:w="1077"/>
          </w:tcPr>
          <w:p>
            <w:pPr>
              <w:spacing w:after="20"/>
              <w:jc w:val="right"/>
            </w:pPr>
            <w:r/>
            <w:r>
              <w:rPr>
                <w:b w:val="0"/>
                <w:i w:val="0"/>
                <w:sz w:val="17"/>
              </w:rPr>
              <w:t>2,802</w:t>
            </w:r>
          </w:p>
        </w:tc>
        <w:tc>
          <w:tcPr>
            <w:tcW w:type="dxa" w:w="1077"/>
          </w:tcPr>
          <w:p>
            <w:pPr>
              <w:spacing w:after="20"/>
              <w:jc w:val="right"/>
            </w:pPr>
            <w:r/>
            <w:r>
              <w:rPr>
                <w:b w:val="0"/>
                <w:i w:val="0"/>
                <w:sz w:val="17"/>
              </w:rPr>
              <w:t>2,643</w:t>
            </w:r>
          </w:p>
        </w:tc>
        <w:tc>
          <w:tcPr>
            <w:tcW w:type="dxa" w:w="1077"/>
          </w:tcPr>
          <w:p>
            <w:pPr>
              <w:spacing w:after="20"/>
              <w:jc w:val="right"/>
            </w:pPr>
            <w:r/>
            <w:r>
              <w:rPr>
                <w:b w:val="0"/>
                <w:i w:val="0"/>
                <w:sz w:val="17"/>
              </w:rPr>
              <w:t>2,958</w:t>
            </w:r>
          </w:p>
        </w:tc>
        <w:tc>
          <w:tcPr>
            <w:tcW w:type="dxa" w:w="1077"/>
          </w:tcPr>
          <w:p>
            <w:pPr>
              <w:spacing w:after="20"/>
              <w:jc w:val="right"/>
            </w:pPr>
            <w:r/>
            <w:r>
              <w:rPr>
                <w:b w:val="0"/>
                <w:i w:val="0"/>
                <w:sz w:val="17"/>
              </w:rPr>
              <w:t>3,316</w:t>
            </w:r>
          </w:p>
        </w:tc>
      </w:tr>
      <w:tr>
        <w:trPr>
          <w:cantSplit/>
        </w:trPr>
        <w:tc>
          <w:tcPr>
            <w:tcW w:type="dxa" w:w="1814"/>
            <w:shd w:val="clear" w:color="auto" w:fill="EEF3F8"/>
          </w:tcPr>
          <w:p>
            <w:pPr>
              <w:spacing w:after="20"/>
            </w:pPr>
            <w:r/>
            <w:r>
              <w:rPr>
                <w:b w:val="0"/>
                <w:i w:val="0"/>
                <w:sz w:val="17"/>
              </w:rPr>
              <w:t>Petrol (PMS)</w:t>
            </w:r>
          </w:p>
        </w:tc>
        <w:tc>
          <w:tcPr>
            <w:tcW w:type="dxa" w:w="907"/>
            <w:shd w:val="clear" w:color="auto" w:fill="EEF3F8"/>
          </w:tcPr>
          <w:p>
            <w:pPr>
              <w:spacing w:after="20"/>
              <w:jc w:val="right"/>
            </w:pPr>
            <w:r/>
            <w:r>
              <w:rPr>
                <w:b w:val="0"/>
                <w:i w:val="0"/>
                <w:sz w:val="17"/>
              </w:rPr>
              <w:t>1,657</w:t>
            </w:r>
          </w:p>
        </w:tc>
        <w:tc>
          <w:tcPr>
            <w:tcW w:type="dxa" w:w="1077"/>
            <w:shd w:val="clear" w:color="auto" w:fill="EEF3F8"/>
          </w:tcPr>
          <w:p>
            <w:pPr>
              <w:spacing w:after="20"/>
              <w:jc w:val="right"/>
            </w:pPr>
            <w:r/>
            <w:r>
              <w:rPr>
                <w:b w:val="0"/>
                <w:i w:val="0"/>
                <w:sz w:val="17"/>
              </w:rPr>
              <w:t>1,812</w:t>
            </w:r>
          </w:p>
        </w:tc>
        <w:tc>
          <w:tcPr>
            <w:tcW w:type="dxa" w:w="1077"/>
            <w:shd w:val="clear" w:color="auto" w:fill="EEF3F8"/>
          </w:tcPr>
          <w:p>
            <w:pPr>
              <w:spacing w:after="20"/>
              <w:jc w:val="right"/>
            </w:pPr>
            <w:r/>
            <w:r>
              <w:rPr>
                <w:b w:val="0"/>
                <w:i w:val="0"/>
                <w:sz w:val="17"/>
              </w:rPr>
              <w:t>1,873</w:t>
            </w:r>
          </w:p>
        </w:tc>
        <w:tc>
          <w:tcPr>
            <w:tcW w:type="dxa" w:w="1077"/>
            <w:shd w:val="clear" w:color="auto" w:fill="EEF3F8"/>
          </w:tcPr>
          <w:p>
            <w:pPr>
              <w:spacing w:after="20"/>
              <w:jc w:val="right"/>
            </w:pPr>
            <w:r/>
            <w:r>
              <w:rPr>
                <w:b w:val="0"/>
                <w:i w:val="0"/>
                <w:sz w:val="17"/>
              </w:rPr>
              <w:t>1,969</w:t>
            </w:r>
          </w:p>
        </w:tc>
        <w:tc>
          <w:tcPr>
            <w:tcW w:type="dxa" w:w="1077"/>
            <w:shd w:val="clear" w:color="auto" w:fill="EEF3F8"/>
          </w:tcPr>
          <w:p>
            <w:pPr>
              <w:spacing w:after="20"/>
              <w:jc w:val="right"/>
            </w:pPr>
            <w:r/>
            <w:r>
              <w:rPr>
                <w:b w:val="0"/>
                <w:i w:val="0"/>
                <w:sz w:val="17"/>
              </w:rPr>
              <w:t>2,038</w:t>
            </w:r>
          </w:p>
        </w:tc>
        <w:tc>
          <w:tcPr>
            <w:tcW w:type="dxa" w:w="1077"/>
            <w:shd w:val="clear" w:color="auto" w:fill="EEF3F8"/>
          </w:tcPr>
          <w:p>
            <w:pPr>
              <w:spacing w:after="20"/>
              <w:jc w:val="right"/>
            </w:pPr>
            <w:r/>
            <w:r>
              <w:rPr>
                <w:b w:val="0"/>
                <w:i w:val="0"/>
                <w:sz w:val="17"/>
              </w:rPr>
              <w:t>2,137</w:t>
            </w:r>
          </w:p>
        </w:tc>
        <w:tc>
          <w:tcPr>
            <w:tcW w:type="dxa" w:w="1077"/>
            <w:shd w:val="clear" w:color="auto" w:fill="EEF3F8"/>
          </w:tcPr>
          <w:p>
            <w:pPr>
              <w:spacing w:after="20"/>
              <w:jc w:val="right"/>
            </w:pPr>
            <w:r/>
            <w:r>
              <w:rPr>
                <w:b w:val="0"/>
                <w:i w:val="0"/>
                <w:sz w:val="17"/>
              </w:rPr>
              <w:t>2,312</w:t>
            </w:r>
          </w:p>
        </w:tc>
      </w:tr>
      <w:tr>
        <w:trPr>
          <w:cantSplit/>
        </w:trPr>
        <w:tc>
          <w:tcPr>
            <w:tcW w:type="dxa" w:w="1814"/>
          </w:tcPr>
          <w:p>
            <w:pPr>
              <w:spacing w:after="20"/>
            </w:pPr>
            <w:r/>
            <w:r>
              <w:rPr>
                <w:b w:val="0"/>
                <w:i w:val="0"/>
                <w:sz w:val="17"/>
              </w:rPr>
              <w:t>LPG</w:t>
            </w:r>
          </w:p>
        </w:tc>
        <w:tc>
          <w:tcPr>
            <w:tcW w:type="dxa" w:w="907"/>
          </w:tcPr>
          <w:p>
            <w:pPr>
              <w:spacing w:after="20"/>
              <w:jc w:val="right"/>
            </w:pPr>
            <w:r/>
            <w:r>
              <w:rPr>
                <w:b w:val="0"/>
                <w:i w:val="0"/>
                <w:sz w:val="17"/>
              </w:rPr>
              <w:t>476</w:t>
            </w:r>
          </w:p>
        </w:tc>
        <w:tc>
          <w:tcPr>
            <w:tcW w:type="dxa" w:w="1077"/>
          </w:tcPr>
          <w:p>
            <w:pPr>
              <w:spacing w:after="20"/>
              <w:jc w:val="right"/>
            </w:pPr>
            <w:r/>
            <w:r>
              <w:rPr>
                <w:b w:val="0"/>
                <w:i w:val="0"/>
                <w:sz w:val="17"/>
              </w:rPr>
              <w:t>605</w:t>
            </w:r>
          </w:p>
        </w:tc>
        <w:tc>
          <w:tcPr>
            <w:tcW w:type="dxa" w:w="1077"/>
          </w:tcPr>
          <w:p>
            <w:pPr>
              <w:spacing w:after="20"/>
              <w:jc w:val="right"/>
            </w:pPr>
            <w:r/>
            <w:r>
              <w:rPr>
                <w:b w:val="0"/>
                <w:i w:val="0"/>
                <w:sz w:val="17"/>
              </w:rPr>
              <w:t>648</w:t>
            </w:r>
          </w:p>
        </w:tc>
        <w:tc>
          <w:tcPr>
            <w:tcW w:type="dxa" w:w="1077"/>
          </w:tcPr>
          <w:p>
            <w:pPr>
              <w:spacing w:after="20"/>
              <w:jc w:val="right"/>
            </w:pPr>
            <w:r/>
            <w:r>
              <w:rPr>
                <w:b w:val="0"/>
                <w:i w:val="0"/>
                <w:sz w:val="17"/>
              </w:rPr>
              <w:t>704</w:t>
            </w:r>
          </w:p>
        </w:tc>
        <w:tc>
          <w:tcPr>
            <w:tcW w:type="dxa" w:w="1077"/>
          </w:tcPr>
          <w:p>
            <w:pPr>
              <w:spacing w:after="20"/>
              <w:jc w:val="right"/>
            </w:pPr>
            <w:r/>
            <w:r>
              <w:rPr>
                <w:b w:val="0"/>
                <w:i w:val="0"/>
                <w:sz w:val="17"/>
              </w:rPr>
              <w:t>775</w:t>
            </w:r>
          </w:p>
        </w:tc>
        <w:tc>
          <w:tcPr>
            <w:tcW w:type="dxa" w:w="1077"/>
          </w:tcPr>
          <w:p>
            <w:pPr>
              <w:spacing w:after="20"/>
              <w:jc w:val="right"/>
            </w:pPr>
            <w:r/>
            <w:r>
              <w:rPr>
                <w:b w:val="0"/>
                <w:i w:val="0"/>
                <w:sz w:val="17"/>
              </w:rPr>
              <w:t>859</w:t>
            </w:r>
          </w:p>
        </w:tc>
        <w:tc>
          <w:tcPr>
            <w:tcW w:type="dxa" w:w="1077"/>
          </w:tcPr>
          <w:p>
            <w:pPr>
              <w:spacing w:after="20"/>
              <w:jc w:val="right"/>
            </w:pPr>
            <w:r/>
            <w:r>
              <w:rPr>
                <w:b w:val="0"/>
                <w:i w:val="0"/>
                <w:sz w:val="17"/>
              </w:rPr>
              <w:t>990</w:t>
            </w:r>
          </w:p>
        </w:tc>
      </w:tr>
      <w:tr>
        <w:trPr>
          <w:cantSplit/>
        </w:trPr>
        <w:tc>
          <w:tcPr>
            <w:tcW w:type="dxa" w:w="1814"/>
            <w:shd w:val="clear" w:color="auto" w:fill="EEF3F8"/>
          </w:tcPr>
          <w:p>
            <w:pPr>
              <w:spacing w:after="20"/>
            </w:pPr>
            <w:r/>
            <w:r>
              <w:rPr>
                <w:b w:val="0"/>
                <w:i w:val="0"/>
                <w:sz w:val="17"/>
              </w:rPr>
              <w:t>Jet fuel*</w:t>
            </w:r>
          </w:p>
        </w:tc>
        <w:tc>
          <w:tcPr>
            <w:tcW w:type="dxa" w:w="907"/>
            <w:shd w:val="clear" w:color="auto" w:fill="EEF3F8"/>
          </w:tcPr>
          <w:p>
            <w:pPr>
              <w:spacing w:after="20"/>
              <w:jc w:val="right"/>
            </w:pPr>
            <w:r/>
            <w:r>
              <w:rPr>
                <w:b w:val="0"/>
                <w:i w:val="0"/>
                <w:sz w:val="17"/>
              </w:rPr>
              <w:t>701</w:t>
            </w:r>
          </w:p>
        </w:tc>
        <w:tc>
          <w:tcPr>
            <w:tcW w:type="dxa" w:w="1077"/>
            <w:shd w:val="clear" w:color="auto" w:fill="EEF3F8"/>
          </w:tcPr>
          <w:p>
            <w:pPr>
              <w:spacing w:after="20"/>
              <w:jc w:val="right"/>
            </w:pPr>
            <w:r/>
            <w:r>
              <w:rPr>
                <w:b w:val="0"/>
                <w:i w:val="0"/>
                <w:sz w:val="17"/>
              </w:rPr>
              <w:t>760</w:t>
            </w:r>
          </w:p>
        </w:tc>
        <w:tc>
          <w:tcPr>
            <w:tcW w:type="dxa" w:w="1077"/>
            <w:shd w:val="clear" w:color="auto" w:fill="EEF3F8"/>
          </w:tcPr>
          <w:p>
            <w:pPr>
              <w:spacing w:after="20"/>
              <w:jc w:val="right"/>
            </w:pPr>
            <w:r/>
            <w:r>
              <w:rPr>
                <w:b w:val="0"/>
                <w:i w:val="0"/>
                <w:sz w:val="17"/>
              </w:rPr>
              <w:t>767</w:t>
            </w:r>
          </w:p>
        </w:tc>
        <w:tc>
          <w:tcPr>
            <w:tcW w:type="dxa" w:w="1077"/>
            <w:shd w:val="clear" w:color="auto" w:fill="EEF3F8"/>
          </w:tcPr>
          <w:p>
            <w:pPr>
              <w:spacing w:after="20"/>
              <w:jc w:val="right"/>
            </w:pPr>
            <w:r/>
            <w:r>
              <w:rPr>
                <w:b w:val="0"/>
                <w:i w:val="0"/>
                <w:sz w:val="17"/>
              </w:rPr>
              <w:t>777</w:t>
            </w:r>
          </w:p>
        </w:tc>
        <w:tc>
          <w:tcPr>
            <w:tcW w:type="dxa" w:w="1077"/>
            <w:shd w:val="clear" w:color="auto" w:fill="EEF3F8"/>
          </w:tcPr>
          <w:p>
            <w:pPr>
              <w:spacing w:after="20"/>
              <w:jc w:val="right"/>
            </w:pPr>
            <w:r/>
            <w:r>
              <w:rPr>
                <w:b w:val="0"/>
                <w:i w:val="0"/>
                <w:sz w:val="17"/>
              </w:rPr>
              <w:t>814</w:t>
            </w:r>
          </w:p>
        </w:tc>
        <w:tc>
          <w:tcPr>
            <w:tcW w:type="dxa" w:w="1077"/>
            <w:shd w:val="clear" w:color="auto" w:fill="EEF3F8"/>
          </w:tcPr>
          <w:p>
            <w:pPr>
              <w:spacing w:after="20"/>
              <w:jc w:val="right"/>
            </w:pPr>
            <w:r/>
            <w:r>
              <w:rPr>
                <w:b w:val="0"/>
                <w:i w:val="0"/>
                <w:sz w:val="17"/>
              </w:rPr>
              <w:t>826</w:t>
            </w:r>
          </w:p>
        </w:tc>
        <w:tc>
          <w:tcPr>
            <w:tcW w:type="dxa" w:w="1077"/>
            <w:shd w:val="clear" w:color="auto" w:fill="EEF3F8"/>
          </w:tcPr>
          <w:p>
            <w:pPr>
              <w:spacing w:after="20"/>
              <w:jc w:val="right"/>
            </w:pPr>
            <w:r/>
            <w:r>
              <w:rPr>
                <w:b w:val="0"/>
                <w:i w:val="0"/>
                <w:sz w:val="17"/>
              </w:rPr>
              <w:t>847</w:t>
            </w:r>
          </w:p>
        </w:tc>
      </w:tr>
      <w:tr>
        <w:trPr>
          <w:cantSplit/>
        </w:trPr>
        <w:tc>
          <w:tcPr>
            <w:tcW w:type="dxa" w:w="1814"/>
          </w:tcPr>
          <w:p>
            <w:pPr>
              <w:spacing w:after="20"/>
            </w:pPr>
            <w:r/>
            <w:r>
              <w:rPr>
                <w:b w:val="0"/>
                <w:i w:val="0"/>
                <w:sz w:val="17"/>
              </w:rPr>
              <w:t>Kerosene (IK)</w:t>
            </w:r>
          </w:p>
        </w:tc>
        <w:tc>
          <w:tcPr>
            <w:tcW w:type="dxa" w:w="907"/>
          </w:tcPr>
          <w:p>
            <w:pPr>
              <w:spacing w:after="20"/>
              <w:jc w:val="right"/>
            </w:pPr>
            <w:r/>
            <w:r>
              <w:rPr>
                <w:b w:val="0"/>
                <w:i w:val="0"/>
                <w:sz w:val="17"/>
              </w:rPr>
              <w:t>44</w:t>
            </w:r>
          </w:p>
        </w:tc>
        <w:tc>
          <w:tcPr>
            <w:tcW w:type="dxa" w:w="1077"/>
          </w:tcPr>
          <w:p>
            <w:pPr>
              <w:spacing w:after="20"/>
              <w:jc w:val="right"/>
            </w:pPr>
            <w:r/>
            <w:r>
              <w:rPr>
                <w:b w:val="0"/>
                <w:i w:val="0"/>
                <w:sz w:val="17"/>
              </w:rPr>
              <w:t>30</w:t>
            </w:r>
          </w:p>
        </w:tc>
        <w:tc>
          <w:tcPr>
            <w:tcW w:type="dxa" w:w="1077"/>
          </w:tcPr>
          <w:p>
            <w:pPr>
              <w:spacing w:after="20"/>
              <w:jc w:val="right"/>
            </w:pPr>
            <w:r/>
            <w:r>
              <w:rPr>
                <w:b w:val="0"/>
                <w:i w:val="0"/>
                <w:sz w:val="17"/>
              </w:rPr>
              <w:t>32</w:t>
            </w:r>
          </w:p>
        </w:tc>
        <w:tc>
          <w:tcPr>
            <w:tcW w:type="dxa" w:w="1077"/>
          </w:tcPr>
          <w:p>
            <w:pPr>
              <w:spacing w:after="20"/>
              <w:jc w:val="right"/>
            </w:pPr>
            <w:r/>
            <w:r>
              <w:rPr>
                <w:b w:val="0"/>
                <w:i w:val="0"/>
                <w:sz w:val="17"/>
              </w:rPr>
              <w:t>35</w:t>
            </w:r>
          </w:p>
        </w:tc>
        <w:tc>
          <w:tcPr>
            <w:tcW w:type="dxa" w:w="1077"/>
          </w:tcPr>
          <w:p>
            <w:pPr>
              <w:spacing w:after="20"/>
              <w:jc w:val="right"/>
            </w:pPr>
            <w:r/>
            <w:r>
              <w:rPr>
                <w:b w:val="0"/>
                <w:i w:val="0"/>
                <w:sz w:val="17"/>
              </w:rPr>
              <w:t>24</w:t>
            </w:r>
          </w:p>
        </w:tc>
        <w:tc>
          <w:tcPr>
            <w:tcW w:type="dxa" w:w="1077"/>
          </w:tcPr>
          <w:p>
            <w:pPr>
              <w:spacing w:after="20"/>
              <w:jc w:val="right"/>
            </w:pPr>
            <w:r/>
            <w:r>
              <w:rPr>
                <w:b w:val="0"/>
                <w:i w:val="0"/>
                <w:sz w:val="17"/>
              </w:rPr>
              <w:t>27</w:t>
            </w:r>
          </w:p>
        </w:tc>
        <w:tc>
          <w:tcPr>
            <w:tcW w:type="dxa" w:w="1077"/>
          </w:tcPr>
          <w:p>
            <w:pPr>
              <w:spacing w:after="20"/>
              <w:jc w:val="right"/>
            </w:pPr>
            <w:r/>
            <w:r>
              <w:rPr>
                <w:b w:val="0"/>
                <w:i w:val="0"/>
                <w:sz w:val="17"/>
              </w:rPr>
              <w:t>30</w:t>
            </w:r>
          </w:p>
        </w:tc>
      </w:tr>
      <w:tr>
        <w:trPr>
          <w:cantSplit/>
        </w:trPr>
        <w:tc>
          <w:tcPr>
            <w:tcW w:type="dxa" w:w="1814"/>
            <w:shd w:val="clear" w:color="auto" w:fill="EEF3F8"/>
          </w:tcPr>
          <w:p>
            <w:pPr>
              <w:spacing w:after="20"/>
            </w:pPr>
            <w:r/>
            <w:r>
              <w:rPr>
                <w:b w:val="0"/>
                <w:i w:val="0"/>
                <w:sz w:val="17"/>
              </w:rPr>
              <w:t>Fuel oil/other*</w:t>
            </w:r>
          </w:p>
        </w:tc>
        <w:tc>
          <w:tcPr>
            <w:tcW w:type="dxa" w:w="907"/>
            <w:shd w:val="clear" w:color="auto" w:fill="EEF3F8"/>
          </w:tcPr>
          <w:p>
            <w:pPr>
              <w:spacing w:after="20"/>
              <w:jc w:val="right"/>
            </w:pPr>
            <w:r/>
            <w:r>
              <w:rPr>
                <w:b w:val="0"/>
                <w:i w:val="0"/>
                <w:sz w:val="17"/>
              </w:rPr>
              <w:t>413</w:t>
            </w:r>
          </w:p>
        </w:tc>
        <w:tc>
          <w:tcPr>
            <w:tcW w:type="dxa" w:w="1077"/>
            <w:shd w:val="clear" w:color="auto" w:fill="EEF3F8"/>
          </w:tcPr>
          <w:p>
            <w:pPr>
              <w:spacing w:after="20"/>
              <w:jc w:val="right"/>
            </w:pPr>
            <w:r/>
            <w:r>
              <w:rPr>
                <w:b w:val="0"/>
                <w:i w:val="0"/>
                <w:sz w:val="17"/>
              </w:rPr>
              <w:t>408</w:t>
            </w:r>
          </w:p>
        </w:tc>
        <w:tc>
          <w:tcPr>
            <w:tcW w:type="dxa" w:w="1077"/>
            <w:shd w:val="clear" w:color="auto" w:fill="EEF3F8"/>
          </w:tcPr>
          <w:p>
            <w:pPr>
              <w:spacing w:after="20"/>
              <w:jc w:val="right"/>
            </w:pPr>
            <w:r/>
            <w:r>
              <w:rPr>
                <w:b w:val="0"/>
                <w:i w:val="0"/>
                <w:sz w:val="17"/>
              </w:rPr>
              <w:t>411</w:t>
            </w:r>
          </w:p>
        </w:tc>
        <w:tc>
          <w:tcPr>
            <w:tcW w:type="dxa" w:w="1077"/>
            <w:shd w:val="clear" w:color="auto" w:fill="EEF3F8"/>
          </w:tcPr>
          <w:p>
            <w:pPr>
              <w:spacing w:after="20"/>
              <w:jc w:val="right"/>
            </w:pPr>
            <w:r/>
            <w:r>
              <w:rPr>
                <w:b w:val="0"/>
                <w:i w:val="0"/>
                <w:sz w:val="17"/>
              </w:rPr>
              <w:t>414</w:t>
            </w:r>
          </w:p>
        </w:tc>
        <w:tc>
          <w:tcPr>
            <w:tcW w:type="dxa" w:w="1077"/>
            <w:shd w:val="clear" w:color="auto" w:fill="EEF3F8"/>
          </w:tcPr>
          <w:p>
            <w:pPr>
              <w:spacing w:after="20"/>
              <w:jc w:val="right"/>
            </w:pPr>
            <w:r/>
            <w:r>
              <w:rPr>
                <w:b w:val="0"/>
                <w:i w:val="0"/>
                <w:sz w:val="17"/>
              </w:rPr>
              <w:t>346</w:t>
            </w:r>
          </w:p>
        </w:tc>
        <w:tc>
          <w:tcPr>
            <w:tcW w:type="dxa" w:w="1077"/>
            <w:shd w:val="clear" w:color="auto" w:fill="EEF3F8"/>
          </w:tcPr>
          <w:p>
            <w:pPr>
              <w:spacing w:after="20"/>
              <w:jc w:val="right"/>
            </w:pPr>
            <w:r/>
            <w:r>
              <w:rPr>
                <w:b w:val="0"/>
                <w:i w:val="0"/>
                <w:sz w:val="17"/>
              </w:rPr>
              <w:t>349</w:t>
            </w:r>
          </w:p>
        </w:tc>
        <w:tc>
          <w:tcPr>
            <w:tcW w:type="dxa" w:w="1077"/>
            <w:shd w:val="clear" w:color="auto" w:fill="EEF3F8"/>
          </w:tcPr>
          <w:p>
            <w:pPr>
              <w:spacing w:after="20"/>
              <w:jc w:val="right"/>
            </w:pPr>
            <w:r/>
            <w:r>
              <w:rPr>
                <w:b w:val="0"/>
                <w:i w:val="0"/>
                <w:sz w:val="17"/>
              </w:rPr>
              <w:t>353</w:t>
            </w:r>
          </w:p>
        </w:tc>
      </w:tr>
    </w:tbl>
    <w:p>
      <w:pPr>
        <w:spacing w:after="40"/>
      </w:pPr>
    </w:p>
    <w:p>
      <w:r>
        <w:rPr>
          <w:b/>
          <w:i w:val="0"/>
        </w:rPr>
        <w:t>Reading.</w:t>
      </w:r>
      <w:r>
        <w:rPr>
          <w:b w:val="0"/>
          <w:i w:val="0"/>
        </w:rPr>
        <w:t xml:space="preserve"> (a) The baseline 2026 total is only +1.6% because the price shock offsets underlying growth; the low-demand case is flat. (b) The PDP baseline is conservative relative to recent experience: the PDP’s 2025 baseline (5,426 kt) was </w:t>
      </w:r>
      <w:r>
        <w:rPr>
          <w:b/>
          <w:i w:val="0"/>
        </w:rPr>
        <w:t>5.3% below</w:t>
      </w:r>
      <w:r>
        <w:rPr>
          <w:b w:val="0"/>
          <w:i w:val="0"/>
        </w:rPr>
        <w:t xml:space="preserve"> actual 2025 demand (5,712 kt). The scenarios inherit that conservatism: the high-demand case is closer to the momentum seen in 2024–25. (c) These are assumption-driven projections, not statistically estimated forecasts.</w:t>
      </w:r>
    </w:p>
    <w:p>
      <w:pPr>
        <w:pStyle w:val="Heading2"/>
      </w:pPr>
      <w:r>
        <w:t>9.1 Sensitivity of the baseline to key assumptions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4252"/>
            <w:shd w:val="clear" w:color="auto" w:fill="1F4E79"/>
          </w:tcPr>
          <w:p>
            <w:pPr>
              <w:spacing w:after="20"/>
            </w:pPr>
            <w:r/>
            <w:r>
              <w:rPr>
                <w:b/>
                <w:color w:val="FFFFFF"/>
                <w:sz w:val="17"/>
              </w:rPr>
              <w:t>Case (one change at a time)</w:t>
            </w:r>
          </w:p>
        </w:tc>
        <w:tc>
          <w:tcPr>
            <w:tcW w:type="dxa" w:w="1587"/>
            <w:shd w:val="clear" w:color="auto" w:fill="1F4E79"/>
          </w:tcPr>
          <w:p>
            <w:pPr>
              <w:spacing w:after="20"/>
            </w:pPr>
            <w:r/>
            <w:r>
              <w:rPr>
                <w:b/>
                <w:color w:val="FFFFFF"/>
                <w:sz w:val="17"/>
              </w:rPr>
              <w:t>Total 2030 (kt)</w:t>
            </w:r>
          </w:p>
        </w:tc>
        <w:tc>
          <w:tcPr>
            <w:tcW w:type="dxa" w:w="1587"/>
            <w:shd w:val="clear" w:color="auto" w:fill="1F4E79"/>
          </w:tcPr>
          <w:p>
            <w:pPr>
              <w:spacing w:after="20"/>
            </w:pPr>
            <w:r/>
            <w:r>
              <w:rPr>
                <w:b/>
                <w:color w:val="FFFFFF"/>
                <w:sz w:val="17"/>
              </w:rPr>
              <w:t>Total 2035 (kt)</w:t>
            </w:r>
          </w:p>
        </w:tc>
        <w:tc>
          <w:tcPr>
            <w:tcW w:type="dxa" w:w="1814"/>
            <w:shd w:val="clear" w:color="auto" w:fill="1F4E79"/>
          </w:tcPr>
          <w:p>
            <w:pPr>
              <w:spacing w:after="20"/>
            </w:pPr>
            <w:r/>
            <w:r>
              <w:rPr>
                <w:b/>
                <w:color w:val="FFFFFF"/>
                <w:sz w:val="17"/>
              </w:rPr>
              <w:t>2035 vs baseline</w:t>
            </w:r>
          </w:p>
        </w:tc>
      </w:tr>
      <w:tr>
        <w:trPr>
          <w:cantSplit/>
        </w:trPr>
        <w:tc>
          <w:tcPr>
            <w:tcW w:type="dxa" w:w="4252"/>
          </w:tcPr>
          <w:p>
            <w:pPr>
              <w:spacing w:after="20"/>
            </w:pPr>
            <w:r/>
            <w:r>
              <w:rPr>
                <w:b w:val="0"/>
                <w:i w:val="0"/>
                <w:sz w:val="17"/>
              </w:rPr>
              <w:t>Baseline</w:t>
            </w:r>
          </w:p>
        </w:tc>
        <w:tc>
          <w:tcPr>
            <w:tcW w:type="dxa" w:w="1587"/>
          </w:tcPr>
          <w:p>
            <w:pPr>
              <w:spacing w:after="20"/>
              <w:jc w:val="right"/>
            </w:pPr>
            <w:r/>
            <w:r>
              <w:rPr>
                <w:b w:val="0"/>
                <w:i w:val="0"/>
                <w:sz w:val="17"/>
              </w:rPr>
              <w:t>6,306</w:t>
            </w:r>
          </w:p>
        </w:tc>
        <w:tc>
          <w:tcPr>
            <w:tcW w:type="dxa" w:w="1587"/>
          </w:tcPr>
          <w:p>
            <w:pPr>
              <w:spacing w:after="20"/>
              <w:jc w:val="right"/>
            </w:pPr>
            <w:r/>
            <w:r>
              <w:rPr>
                <w:b w:val="0"/>
                <w:i w:val="0"/>
                <w:sz w:val="17"/>
              </w:rPr>
              <w:t>7,157</w:t>
            </w:r>
          </w:p>
        </w:tc>
        <w:tc>
          <w:tcPr>
            <w:tcW w:type="dxa" w:w="1814"/>
          </w:tcPr>
          <w:p>
            <w:pPr>
              <w:spacing w:after="20"/>
              <w:jc w:val="right"/>
            </w:pPr>
            <w:r/>
            <w:r>
              <w:rPr>
                <w:b w:val="0"/>
                <w:i w:val="0"/>
                <w:sz w:val="17"/>
              </w:rPr>
              <w:t>+0.0%</w:t>
            </w:r>
          </w:p>
        </w:tc>
      </w:tr>
      <w:tr>
        <w:trPr>
          <w:cantSplit/>
        </w:trPr>
        <w:tc>
          <w:tcPr>
            <w:tcW w:type="dxa" w:w="4252"/>
            <w:shd w:val="clear" w:color="auto" w:fill="EEF3F8"/>
          </w:tcPr>
          <w:p>
            <w:pPr>
              <w:spacing w:after="20"/>
            </w:pPr>
            <w:r/>
            <w:r>
              <w:rPr>
                <w:b w:val="0"/>
                <w:i w:val="0"/>
                <w:sz w:val="17"/>
              </w:rPr>
              <w:t>Fade 0.6 (slower post-2029)</w:t>
            </w:r>
          </w:p>
        </w:tc>
        <w:tc>
          <w:tcPr>
            <w:tcW w:type="dxa" w:w="1587"/>
            <w:shd w:val="clear" w:color="auto" w:fill="EEF3F8"/>
          </w:tcPr>
          <w:p>
            <w:pPr>
              <w:spacing w:after="20"/>
              <w:jc w:val="right"/>
            </w:pPr>
            <w:r/>
            <w:r>
              <w:rPr>
                <w:b w:val="0"/>
                <w:i w:val="0"/>
                <w:sz w:val="17"/>
              </w:rPr>
              <w:t>6,264</w:t>
            </w:r>
          </w:p>
        </w:tc>
        <w:tc>
          <w:tcPr>
            <w:tcW w:type="dxa" w:w="1587"/>
            <w:shd w:val="clear" w:color="auto" w:fill="EEF3F8"/>
          </w:tcPr>
          <w:p>
            <w:pPr>
              <w:spacing w:after="20"/>
              <w:jc w:val="right"/>
            </w:pPr>
            <w:r/>
            <w:r>
              <w:rPr>
                <w:b w:val="0"/>
                <w:i w:val="0"/>
                <w:sz w:val="17"/>
              </w:rPr>
              <w:t>6,871</w:t>
            </w:r>
          </w:p>
        </w:tc>
        <w:tc>
          <w:tcPr>
            <w:tcW w:type="dxa" w:w="1814"/>
            <w:shd w:val="clear" w:color="auto" w:fill="EEF3F8"/>
          </w:tcPr>
          <w:p>
            <w:pPr>
              <w:spacing w:after="20"/>
              <w:jc w:val="right"/>
            </w:pPr>
            <w:r/>
            <w:r>
              <w:rPr>
                <w:b w:val="0"/>
                <w:i w:val="0"/>
                <w:sz w:val="17"/>
              </w:rPr>
              <w:t>-4.0%</w:t>
            </w:r>
          </w:p>
        </w:tc>
      </w:tr>
      <w:tr>
        <w:trPr>
          <w:cantSplit/>
        </w:trPr>
        <w:tc>
          <w:tcPr>
            <w:tcW w:type="dxa" w:w="4252"/>
          </w:tcPr>
          <w:p>
            <w:pPr>
              <w:spacing w:after="20"/>
            </w:pPr>
            <w:r/>
            <w:r>
              <w:rPr>
                <w:b w:val="0"/>
                <w:i w:val="0"/>
                <w:sz w:val="17"/>
              </w:rPr>
              <w:t>Fade 1.0 (no fade)</w:t>
            </w:r>
          </w:p>
        </w:tc>
        <w:tc>
          <w:tcPr>
            <w:tcW w:type="dxa" w:w="1587"/>
          </w:tcPr>
          <w:p>
            <w:pPr>
              <w:spacing w:after="20"/>
              <w:jc w:val="right"/>
            </w:pPr>
            <w:r/>
            <w:r>
              <w:rPr>
                <w:b w:val="0"/>
                <w:i w:val="0"/>
                <w:sz w:val="17"/>
              </w:rPr>
              <w:t>6,347</w:t>
            </w:r>
          </w:p>
        </w:tc>
        <w:tc>
          <w:tcPr>
            <w:tcW w:type="dxa" w:w="1587"/>
          </w:tcPr>
          <w:p>
            <w:pPr>
              <w:spacing w:after="20"/>
              <w:jc w:val="right"/>
            </w:pPr>
            <w:r/>
            <w:r>
              <w:rPr>
                <w:b w:val="0"/>
                <w:i w:val="0"/>
                <w:sz w:val="17"/>
              </w:rPr>
              <w:t>7,456</w:t>
            </w:r>
          </w:p>
        </w:tc>
        <w:tc>
          <w:tcPr>
            <w:tcW w:type="dxa" w:w="1814"/>
          </w:tcPr>
          <w:p>
            <w:pPr>
              <w:spacing w:after="20"/>
              <w:jc w:val="right"/>
            </w:pPr>
            <w:r/>
            <w:r>
              <w:rPr>
                <w:b w:val="0"/>
                <w:i w:val="0"/>
                <w:sz w:val="17"/>
              </w:rPr>
              <w:t>+4.2%</w:t>
            </w:r>
          </w:p>
        </w:tc>
      </w:tr>
      <w:tr>
        <w:trPr>
          <w:cantSplit/>
        </w:trPr>
        <w:tc>
          <w:tcPr>
            <w:tcW w:type="dxa" w:w="4252"/>
            <w:shd w:val="clear" w:color="auto" w:fill="EEF3F8"/>
          </w:tcPr>
          <w:p>
            <w:pPr>
              <w:spacing w:after="20"/>
            </w:pPr>
            <w:r/>
            <w:r>
              <w:rPr>
                <w:b w:val="0"/>
                <w:i w:val="0"/>
                <w:sz w:val="17"/>
              </w:rPr>
              <w:t>No 2026 price shock</w:t>
            </w:r>
          </w:p>
        </w:tc>
        <w:tc>
          <w:tcPr>
            <w:tcW w:type="dxa" w:w="1587"/>
            <w:shd w:val="clear" w:color="auto" w:fill="EEF3F8"/>
          </w:tcPr>
          <w:p>
            <w:pPr>
              <w:spacing w:after="20"/>
              <w:jc w:val="right"/>
            </w:pPr>
            <w:r/>
            <w:r>
              <w:rPr>
                <w:b w:val="0"/>
                <w:i w:val="0"/>
                <w:sz w:val="17"/>
              </w:rPr>
              <w:t>6,678</w:t>
            </w:r>
          </w:p>
        </w:tc>
        <w:tc>
          <w:tcPr>
            <w:tcW w:type="dxa" w:w="1587"/>
            <w:shd w:val="clear" w:color="auto" w:fill="EEF3F8"/>
          </w:tcPr>
          <w:p>
            <w:pPr>
              <w:spacing w:after="20"/>
              <w:jc w:val="right"/>
            </w:pPr>
            <w:r/>
            <w:r>
              <w:rPr>
                <w:b w:val="0"/>
                <w:i w:val="0"/>
                <w:sz w:val="17"/>
              </w:rPr>
              <w:t>7,588</w:t>
            </w:r>
          </w:p>
        </w:tc>
        <w:tc>
          <w:tcPr>
            <w:tcW w:type="dxa" w:w="1814"/>
            <w:shd w:val="clear" w:color="auto" w:fill="EEF3F8"/>
          </w:tcPr>
          <w:p>
            <w:pPr>
              <w:spacing w:after="20"/>
              <w:jc w:val="right"/>
            </w:pPr>
            <w:r/>
            <w:r>
              <w:rPr>
                <w:b w:val="0"/>
                <w:i w:val="0"/>
                <w:sz w:val="17"/>
              </w:rPr>
              <w:t>+6.0%</w:t>
            </w:r>
          </w:p>
        </w:tc>
      </w:tr>
      <w:tr>
        <w:trPr>
          <w:cantSplit/>
        </w:trPr>
        <w:tc>
          <w:tcPr>
            <w:tcW w:type="dxa" w:w="4252"/>
          </w:tcPr>
          <w:p>
            <w:pPr>
              <w:spacing w:after="20"/>
            </w:pPr>
            <w:r/>
            <w:r>
              <w:rPr>
                <w:b w:val="0"/>
                <w:i w:val="0"/>
                <w:sz w:val="17"/>
              </w:rPr>
              <w:t>Shock x1.5</w:t>
            </w:r>
          </w:p>
        </w:tc>
        <w:tc>
          <w:tcPr>
            <w:tcW w:type="dxa" w:w="1587"/>
          </w:tcPr>
          <w:p>
            <w:pPr>
              <w:spacing w:after="20"/>
              <w:jc w:val="right"/>
            </w:pPr>
            <w:r/>
            <w:r>
              <w:rPr>
                <w:b w:val="0"/>
                <w:i w:val="0"/>
                <w:sz w:val="17"/>
              </w:rPr>
              <w:t>6,151</w:t>
            </w:r>
          </w:p>
        </w:tc>
        <w:tc>
          <w:tcPr>
            <w:tcW w:type="dxa" w:w="1587"/>
          </w:tcPr>
          <w:p>
            <w:pPr>
              <w:spacing w:after="20"/>
              <w:jc w:val="right"/>
            </w:pPr>
            <w:r/>
            <w:r>
              <w:rPr>
                <w:b w:val="0"/>
                <w:i w:val="0"/>
                <w:sz w:val="17"/>
              </w:rPr>
              <w:t>6,978</w:t>
            </w:r>
          </w:p>
        </w:tc>
        <w:tc>
          <w:tcPr>
            <w:tcW w:type="dxa" w:w="1814"/>
          </w:tcPr>
          <w:p>
            <w:pPr>
              <w:spacing w:after="20"/>
              <w:jc w:val="right"/>
            </w:pPr>
            <w:r/>
            <w:r>
              <w:rPr>
                <w:b w:val="0"/>
                <w:i w:val="0"/>
                <w:sz w:val="17"/>
              </w:rPr>
              <w:t>-2.5%</w:t>
            </w:r>
          </w:p>
        </w:tc>
      </w:tr>
      <w:tr>
        <w:trPr>
          <w:cantSplit/>
        </w:trPr>
        <w:tc>
          <w:tcPr>
            <w:tcW w:type="dxa" w:w="4252"/>
            <w:shd w:val="clear" w:color="auto" w:fill="EEF3F8"/>
          </w:tcPr>
          <w:p>
            <w:pPr>
              <w:spacing w:after="20"/>
            </w:pPr>
            <w:r/>
            <w:r>
              <w:rPr>
                <w:b w:val="0"/>
                <w:i w:val="0"/>
                <w:sz w:val="17"/>
              </w:rPr>
              <w:t>Elasticities x0.5</w:t>
            </w:r>
          </w:p>
        </w:tc>
        <w:tc>
          <w:tcPr>
            <w:tcW w:type="dxa" w:w="1587"/>
            <w:shd w:val="clear" w:color="auto" w:fill="EEF3F8"/>
          </w:tcPr>
          <w:p>
            <w:pPr>
              <w:spacing w:after="20"/>
              <w:jc w:val="right"/>
            </w:pPr>
            <w:r/>
            <w:r>
              <w:rPr>
                <w:b w:val="0"/>
                <w:i w:val="0"/>
                <w:sz w:val="17"/>
              </w:rPr>
              <w:t>6,488</w:t>
            </w:r>
          </w:p>
        </w:tc>
        <w:tc>
          <w:tcPr>
            <w:tcW w:type="dxa" w:w="1587"/>
            <w:shd w:val="clear" w:color="auto" w:fill="EEF3F8"/>
          </w:tcPr>
          <w:p>
            <w:pPr>
              <w:spacing w:after="20"/>
              <w:jc w:val="right"/>
            </w:pPr>
            <w:r/>
            <w:r>
              <w:rPr>
                <w:b w:val="0"/>
                <w:i w:val="0"/>
                <w:sz w:val="17"/>
              </w:rPr>
              <w:t>7,368</w:t>
            </w:r>
          </w:p>
        </w:tc>
        <w:tc>
          <w:tcPr>
            <w:tcW w:type="dxa" w:w="1814"/>
            <w:shd w:val="clear" w:color="auto" w:fill="EEF3F8"/>
          </w:tcPr>
          <w:p>
            <w:pPr>
              <w:spacing w:after="20"/>
              <w:jc w:val="right"/>
            </w:pPr>
            <w:r/>
            <w:r>
              <w:rPr>
                <w:b w:val="0"/>
                <w:i w:val="0"/>
                <w:sz w:val="17"/>
              </w:rPr>
              <w:t>+2.9%</w:t>
            </w:r>
          </w:p>
        </w:tc>
      </w:tr>
      <w:tr>
        <w:trPr>
          <w:cantSplit/>
        </w:trPr>
        <w:tc>
          <w:tcPr>
            <w:tcW w:type="dxa" w:w="4252"/>
          </w:tcPr>
          <w:p>
            <w:pPr>
              <w:spacing w:after="20"/>
            </w:pPr>
            <w:r/>
            <w:r>
              <w:rPr>
                <w:b w:val="0"/>
                <w:i w:val="0"/>
                <w:sz w:val="17"/>
              </w:rPr>
              <w:t>Elasticities x2</w:t>
            </w:r>
          </w:p>
        </w:tc>
        <w:tc>
          <w:tcPr>
            <w:tcW w:type="dxa" w:w="1587"/>
          </w:tcPr>
          <w:p>
            <w:pPr>
              <w:spacing w:after="20"/>
              <w:jc w:val="right"/>
            </w:pPr>
            <w:r/>
            <w:r>
              <w:rPr>
                <w:b w:val="0"/>
                <w:i w:val="0"/>
                <w:sz w:val="17"/>
              </w:rPr>
              <w:t>5,964</w:t>
            </w:r>
          </w:p>
        </w:tc>
        <w:tc>
          <w:tcPr>
            <w:tcW w:type="dxa" w:w="1587"/>
          </w:tcPr>
          <w:p>
            <w:pPr>
              <w:spacing w:after="20"/>
              <w:jc w:val="right"/>
            </w:pPr>
            <w:r/>
            <w:r>
              <w:rPr>
                <w:b w:val="0"/>
                <w:i w:val="0"/>
                <w:sz w:val="17"/>
              </w:rPr>
              <w:t>6,763</w:t>
            </w:r>
          </w:p>
        </w:tc>
        <w:tc>
          <w:tcPr>
            <w:tcW w:type="dxa" w:w="1814"/>
          </w:tcPr>
          <w:p>
            <w:pPr>
              <w:spacing w:after="20"/>
              <w:jc w:val="right"/>
            </w:pPr>
            <w:r/>
            <w:r>
              <w:rPr>
                <w:b w:val="0"/>
                <w:i w:val="0"/>
                <w:sz w:val="17"/>
              </w:rPr>
              <w:t>-5.5%</w:t>
            </w:r>
          </w:p>
        </w:tc>
      </w:tr>
      <w:tr>
        <w:trPr>
          <w:cantSplit/>
        </w:trPr>
        <w:tc>
          <w:tcPr>
            <w:tcW w:type="dxa" w:w="4252"/>
            <w:shd w:val="clear" w:color="auto" w:fill="EEF3F8"/>
          </w:tcPr>
          <w:p>
            <w:pPr>
              <w:spacing w:after="20"/>
            </w:pPr>
            <w:r/>
            <w:r>
              <w:rPr>
                <w:b w:val="0"/>
                <w:i w:val="0"/>
                <w:sz w:val="17"/>
              </w:rPr>
              <w:t>Underlying growth +2 pts/yr (2025 momentum)</w:t>
            </w:r>
          </w:p>
        </w:tc>
        <w:tc>
          <w:tcPr>
            <w:tcW w:type="dxa" w:w="1587"/>
            <w:shd w:val="clear" w:color="auto" w:fill="EEF3F8"/>
          </w:tcPr>
          <w:p>
            <w:pPr>
              <w:spacing w:after="20"/>
              <w:jc w:val="right"/>
            </w:pPr>
            <w:r/>
            <w:r>
              <w:rPr>
                <w:b w:val="0"/>
                <w:i w:val="0"/>
                <w:sz w:val="17"/>
              </w:rPr>
              <w:t>6,873</w:t>
            </w:r>
          </w:p>
        </w:tc>
        <w:tc>
          <w:tcPr>
            <w:tcW w:type="dxa" w:w="1587"/>
            <w:shd w:val="clear" w:color="auto" w:fill="EEF3F8"/>
          </w:tcPr>
          <w:p>
            <w:pPr>
              <w:spacing w:after="20"/>
              <w:jc w:val="right"/>
            </w:pPr>
            <w:r/>
            <w:r>
              <w:rPr>
                <w:b w:val="0"/>
                <w:i w:val="0"/>
                <w:sz w:val="17"/>
              </w:rPr>
              <w:t>8,410</w:t>
            </w:r>
          </w:p>
        </w:tc>
        <w:tc>
          <w:tcPr>
            <w:tcW w:type="dxa" w:w="1814"/>
            <w:shd w:val="clear" w:color="auto" w:fill="EEF3F8"/>
          </w:tcPr>
          <w:p>
            <w:pPr>
              <w:spacing w:after="20"/>
              <w:jc w:val="right"/>
            </w:pPr>
            <w:r/>
            <w:r>
              <w:rPr>
                <w:b w:val="0"/>
                <w:i w:val="0"/>
                <w:sz w:val="17"/>
              </w:rPr>
              <w:t>+17.5%</w:t>
            </w:r>
          </w:p>
        </w:tc>
      </w:tr>
      <w:tr>
        <w:trPr>
          <w:cantSplit/>
        </w:trPr>
        <w:tc>
          <w:tcPr>
            <w:tcW w:type="dxa" w:w="4252"/>
          </w:tcPr>
          <w:p>
            <w:pPr>
              <w:spacing w:after="20"/>
            </w:pPr>
            <w:r/>
            <w:r>
              <w:rPr>
                <w:b w:val="0"/>
                <w:i w:val="0"/>
                <w:sz w:val="17"/>
              </w:rPr>
              <w:t>Underlying growth -1 pt/yr</w:t>
            </w:r>
          </w:p>
        </w:tc>
        <w:tc>
          <w:tcPr>
            <w:tcW w:type="dxa" w:w="1587"/>
          </w:tcPr>
          <w:p>
            <w:pPr>
              <w:spacing w:after="20"/>
              <w:jc w:val="right"/>
            </w:pPr>
            <w:r/>
            <w:r>
              <w:rPr>
                <w:b w:val="0"/>
                <w:i w:val="0"/>
                <w:sz w:val="17"/>
              </w:rPr>
              <w:t>6,037</w:t>
            </w:r>
          </w:p>
        </w:tc>
        <w:tc>
          <w:tcPr>
            <w:tcW w:type="dxa" w:w="1587"/>
          </w:tcPr>
          <w:p>
            <w:pPr>
              <w:spacing w:after="20"/>
              <w:jc w:val="right"/>
            </w:pPr>
            <w:r/>
            <w:r>
              <w:rPr>
                <w:b w:val="0"/>
                <w:i w:val="0"/>
                <w:sz w:val="17"/>
              </w:rPr>
              <w:t>6,599</w:t>
            </w:r>
          </w:p>
        </w:tc>
        <w:tc>
          <w:tcPr>
            <w:tcW w:type="dxa" w:w="1814"/>
          </w:tcPr>
          <w:p>
            <w:pPr>
              <w:spacing w:after="20"/>
              <w:jc w:val="right"/>
            </w:pPr>
            <w:r/>
            <w:r>
              <w:rPr>
                <w:b w:val="0"/>
                <w:i w:val="0"/>
                <w:sz w:val="17"/>
              </w:rPr>
              <w:t>-7.8%</w:t>
            </w:r>
          </w:p>
        </w:tc>
      </w:tr>
    </w:tbl>
    <w:p>
      <w:pPr>
        <w:spacing w:after="40"/>
      </w:pPr>
    </w:p>
    <w:p>
      <w:r>
        <w:rPr>
          <w:b w:val="0"/>
          <w:i w:val="0"/>
        </w:rPr>
        <w:t xml:space="preserve">The biggest swing factor is </w:t>
      </w:r>
      <w:r>
        <w:rPr>
          <w:b/>
          <w:i w:val="0"/>
        </w:rPr>
        <w:t>underlying growth</w:t>
      </w:r>
      <w:r>
        <w:rPr>
          <w:b w:val="0"/>
          <w:i w:val="0"/>
        </w:rPr>
        <w:t>, not the 2026 shock: adding 2 points a year (closer to 2024–25 experience) raises 2035 demand by 17.5%, while lowering growth by 1 point cuts it by 7.8%. Removing the 2026 price shock raises 2035 demand by 6.0%; doubling the elasticities lowers it by 5.5%. Planning should therefore focus on tracking underlying growth in 2026–27 data.</w:t>
      </w:r>
    </w:p>
    <w:p>
      <w:pPr>
        <w:pStyle w:val="Heading2"/>
      </w:pPr>
      <w:r>
        <w:t>9.2 What the scenarios imply for stock and storage requirements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2608"/>
            <w:shd w:val="clear" w:color="auto" w:fill="1F4E79"/>
          </w:tcPr>
          <w:p>
            <w:pPr>
              <w:spacing w:after="20"/>
            </w:pPr>
            <w:r/>
            <w:r>
              <w:rPr>
                <w:b/>
                <w:color w:val="FFFFFF"/>
                <w:sz w:val="17"/>
              </w:rPr>
              <w:t>ML required for 30-day cover</w:t>
            </w:r>
          </w:p>
        </w:tc>
        <w:tc>
          <w:tcPr>
            <w:tcW w:type="dxa" w:w="1247"/>
            <w:shd w:val="clear" w:color="auto" w:fill="1F4E79"/>
          </w:tcPr>
          <w:p>
            <w:pPr>
              <w:spacing w:after="20"/>
            </w:pPr>
            <w:r/>
            <w:r>
              <w:rPr>
                <w:b/>
                <w:color w:val="FFFFFF"/>
                <w:sz w:val="17"/>
              </w:rPr>
              <w:t>2025</w:t>
            </w:r>
          </w:p>
        </w:tc>
        <w:tc>
          <w:tcPr>
            <w:tcW w:type="dxa" w:w="1417"/>
            <w:shd w:val="clear" w:color="auto" w:fill="1F4E79"/>
          </w:tcPr>
          <w:p>
            <w:pPr>
              <w:spacing w:after="20"/>
            </w:pPr>
            <w:r/>
            <w:r>
              <w:rPr>
                <w:b/>
                <w:color w:val="FFFFFF"/>
                <w:sz w:val="17"/>
              </w:rPr>
              <w:t>2030 Base</w:t>
            </w:r>
          </w:p>
        </w:tc>
        <w:tc>
          <w:tcPr>
            <w:tcW w:type="dxa" w:w="1417"/>
            <w:shd w:val="clear" w:color="auto" w:fill="1F4E79"/>
          </w:tcPr>
          <w:p>
            <w:pPr>
              <w:spacing w:after="20"/>
            </w:pPr>
            <w:r/>
            <w:r>
              <w:rPr>
                <w:b/>
                <w:color w:val="FFFFFF"/>
                <w:sz w:val="17"/>
              </w:rPr>
              <w:t>2030 High</w:t>
            </w:r>
          </w:p>
        </w:tc>
        <w:tc>
          <w:tcPr>
            <w:tcW w:type="dxa" w:w="1417"/>
            <w:shd w:val="clear" w:color="auto" w:fill="1F4E79"/>
          </w:tcPr>
          <w:p>
            <w:pPr>
              <w:spacing w:after="20"/>
            </w:pPr>
            <w:r/>
            <w:r>
              <w:rPr>
                <w:b/>
                <w:color w:val="FFFFFF"/>
                <w:sz w:val="17"/>
              </w:rPr>
              <w:t>2035 Base</w:t>
            </w:r>
          </w:p>
        </w:tc>
        <w:tc>
          <w:tcPr>
            <w:tcW w:type="dxa" w:w="1417"/>
            <w:shd w:val="clear" w:color="auto" w:fill="1F4E79"/>
          </w:tcPr>
          <w:p>
            <w:pPr>
              <w:spacing w:after="20"/>
            </w:pPr>
            <w:r/>
            <w:r>
              <w:rPr>
                <w:b/>
                <w:color w:val="FFFFFF"/>
                <w:sz w:val="17"/>
              </w:rPr>
              <w:t>2035 High</w:t>
            </w:r>
          </w:p>
        </w:tc>
      </w:tr>
      <w:tr>
        <w:trPr>
          <w:cantSplit/>
        </w:trPr>
        <w:tc>
          <w:tcPr>
            <w:tcW w:type="dxa" w:w="2608"/>
          </w:tcPr>
          <w:p>
            <w:pPr>
              <w:spacing w:after="20"/>
            </w:pPr>
            <w:r/>
            <w:r>
              <w:rPr>
                <w:b w:val="0"/>
                <w:i w:val="0"/>
                <w:sz w:val="17"/>
              </w:rPr>
              <w:t>Diesel (AGO)</w:t>
            </w:r>
          </w:p>
        </w:tc>
        <w:tc>
          <w:tcPr>
            <w:tcW w:type="dxa" w:w="1247"/>
          </w:tcPr>
          <w:p>
            <w:pPr>
              <w:spacing w:after="20"/>
              <w:jc w:val="right"/>
            </w:pPr>
            <w:r/>
            <w:r>
              <w:rPr>
                <w:b w:val="0"/>
                <w:i w:val="0"/>
                <w:sz w:val="17"/>
              </w:rPr>
              <w:t>236</w:t>
            </w:r>
          </w:p>
        </w:tc>
        <w:tc>
          <w:tcPr>
            <w:tcW w:type="dxa" w:w="1417"/>
          </w:tcPr>
          <w:p>
            <w:pPr>
              <w:spacing w:after="20"/>
              <w:jc w:val="right"/>
            </w:pPr>
            <w:r/>
            <w:r>
              <w:rPr>
                <w:b w:val="0"/>
                <w:i w:val="0"/>
                <w:sz w:val="17"/>
              </w:rPr>
              <w:t>252</w:t>
            </w:r>
          </w:p>
        </w:tc>
        <w:tc>
          <w:tcPr>
            <w:tcW w:type="dxa" w:w="1417"/>
          </w:tcPr>
          <w:p>
            <w:pPr>
              <w:spacing w:after="20"/>
              <w:jc w:val="right"/>
            </w:pPr>
            <w:r/>
            <w:r>
              <w:rPr>
                <w:b w:val="0"/>
                <w:i w:val="0"/>
                <w:sz w:val="17"/>
              </w:rPr>
              <w:t>274</w:t>
            </w:r>
          </w:p>
        </w:tc>
        <w:tc>
          <w:tcPr>
            <w:tcW w:type="dxa" w:w="1417"/>
          </w:tcPr>
          <w:p>
            <w:pPr>
              <w:spacing w:after="20"/>
              <w:jc w:val="right"/>
            </w:pPr>
            <w:r/>
            <w:r>
              <w:rPr>
                <w:b w:val="0"/>
                <w:i w:val="0"/>
                <w:sz w:val="17"/>
              </w:rPr>
              <w:t>289</w:t>
            </w:r>
          </w:p>
        </w:tc>
        <w:tc>
          <w:tcPr>
            <w:tcW w:type="dxa" w:w="1417"/>
          </w:tcPr>
          <w:p>
            <w:pPr>
              <w:spacing w:after="20"/>
              <w:jc w:val="right"/>
            </w:pPr>
            <w:r/>
            <w:r>
              <w:rPr>
                <w:b w:val="0"/>
                <w:i w:val="0"/>
                <w:sz w:val="17"/>
              </w:rPr>
              <w:t>324</w:t>
            </w:r>
          </w:p>
        </w:tc>
      </w:tr>
      <w:tr>
        <w:trPr>
          <w:cantSplit/>
        </w:trPr>
        <w:tc>
          <w:tcPr>
            <w:tcW w:type="dxa" w:w="2608"/>
            <w:shd w:val="clear" w:color="auto" w:fill="EEF3F8"/>
          </w:tcPr>
          <w:p>
            <w:pPr>
              <w:spacing w:after="20"/>
            </w:pPr>
            <w:r/>
            <w:r>
              <w:rPr>
                <w:b w:val="0"/>
                <w:i w:val="0"/>
                <w:sz w:val="17"/>
              </w:rPr>
              <w:t>Petrol (PMS)</w:t>
            </w:r>
          </w:p>
        </w:tc>
        <w:tc>
          <w:tcPr>
            <w:tcW w:type="dxa" w:w="1247"/>
            <w:shd w:val="clear" w:color="auto" w:fill="EEF3F8"/>
          </w:tcPr>
          <w:p>
            <w:pPr>
              <w:spacing w:after="20"/>
              <w:jc w:val="right"/>
            </w:pPr>
            <w:r/>
            <w:r>
              <w:rPr>
                <w:b w:val="0"/>
                <w:i w:val="0"/>
                <w:sz w:val="17"/>
              </w:rPr>
              <w:t>189</w:t>
            </w:r>
          </w:p>
        </w:tc>
        <w:tc>
          <w:tcPr>
            <w:tcW w:type="dxa" w:w="1417"/>
            <w:shd w:val="clear" w:color="auto" w:fill="EEF3F8"/>
          </w:tcPr>
          <w:p>
            <w:pPr>
              <w:spacing w:after="20"/>
              <w:jc w:val="right"/>
            </w:pPr>
            <w:r/>
            <w:r>
              <w:rPr>
                <w:b w:val="0"/>
                <w:i w:val="0"/>
                <w:sz w:val="17"/>
              </w:rPr>
              <w:t>214</w:t>
            </w:r>
          </w:p>
        </w:tc>
        <w:tc>
          <w:tcPr>
            <w:tcW w:type="dxa" w:w="1417"/>
            <w:shd w:val="clear" w:color="auto" w:fill="EEF3F8"/>
          </w:tcPr>
          <w:p>
            <w:pPr>
              <w:spacing w:after="20"/>
              <w:jc w:val="right"/>
            </w:pPr>
            <w:r/>
            <w:r>
              <w:rPr>
                <w:b w:val="0"/>
                <w:i w:val="0"/>
                <w:sz w:val="17"/>
              </w:rPr>
              <w:t>225</w:t>
            </w:r>
          </w:p>
        </w:tc>
        <w:tc>
          <w:tcPr>
            <w:tcW w:type="dxa" w:w="1417"/>
            <w:shd w:val="clear" w:color="auto" w:fill="EEF3F8"/>
          </w:tcPr>
          <w:p>
            <w:pPr>
              <w:spacing w:after="20"/>
              <w:jc w:val="right"/>
            </w:pPr>
            <w:r/>
            <w:r>
              <w:rPr>
                <w:b w:val="0"/>
                <w:i w:val="0"/>
                <w:sz w:val="17"/>
              </w:rPr>
              <w:t>244</w:t>
            </w:r>
          </w:p>
        </w:tc>
        <w:tc>
          <w:tcPr>
            <w:tcW w:type="dxa" w:w="1417"/>
            <w:shd w:val="clear" w:color="auto" w:fill="EEF3F8"/>
          </w:tcPr>
          <w:p>
            <w:pPr>
              <w:spacing w:after="20"/>
              <w:jc w:val="right"/>
            </w:pPr>
            <w:r/>
            <w:r>
              <w:rPr>
                <w:b w:val="0"/>
                <w:i w:val="0"/>
                <w:sz w:val="17"/>
              </w:rPr>
              <w:t>264</w:t>
            </w:r>
          </w:p>
        </w:tc>
      </w:tr>
      <w:tr>
        <w:trPr>
          <w:cantSplit/>
        </w:trPr>
        <w:tc>
          <w:tcPr>
            <w:tcW w:type="dxa" w:w="2608"/>
          </w:tcPr>
          <w:p>
            <w:pPr>
              <w:spacing w:after="20"/>
            </w:pPr>
            <w:r/>
            <w:r>
              <w:rPr>
                <w:b w:val="0"/>
                <w:i w:val="0"/>
                <w:sz w:val="17"/>
              </w:rPr>
              <w:t>Jet fuel*</w:t>
            </w:r>
          </w:p>
        </w:tc>
        <w:tc>
          <w:tcPr>
            <w:tcW w:type="dxa" w:w="1247"/>
          </w:tcPr>
          <w:p>
            <w:pPr>
              <w:spacing w:after="20"/>
              <w:jc w:val="right"/>
            </w:pPr>
            <w:r/>
            <w:r>
              <w:rPr>
                <w:b w:val="0"/>
                <w:i w:val="0"/>
                <w:sz w:val="17"/>
              </w:rPr>
              <w:t>73</w:t>
            </w:r>
          </w:p>
        </w:tc>
        <w:tc>
          <w:tcPr>
            <w:tcW w:type="dxa" w:w="1417"/>
          </w:tcPr>
          <w:p>
            <w:pPr>
              <w:spacing w:after="20"/>
              <w:jc w:val="right"/>
            </w:pPr>
            <w:r/>
            <w:r>
              <w:rPr>
                <w:b w:val="0"/>
                <w:i w:val="0"/>
                <w:sz w:val="17"/>
              </w:rPr>
              <w:t>80</w:t>
            </w:r>
          </w:p>
        </w:tc>
        <w:tc>
          <w:tcPr>
            <w:tcW w:type="dxa" w:w="1417"/>
          </w:tcPr>
          <w:p>
            <w:pPr>
              <w:spacing w:after="20"/>
              <w:jc w:val="right"/>
            </w:pPr>
            <w:r/>
            <w:r>
              <w:rPr>
                <w:b w:val="0"/>
                <w:i w:val="0"/>
                <w:sz w:val="17"/>
              </w:rPr>
              <w:t>81</w:t>
            </w:r>
          </w:p>
        </w:tc>
        <w:tc>
          <w:tcPr>
            <w:tcW w:type="dxa" w:w="1417"/>
          </w:tcPr>
          <w:p>
            <w:pPr>
              <w:spacing w:after="20"/>
              <w:jc w:val="right"/>
            </w:pPr>
            <w:r/>
            <w:r>
              <w:rPr>
                <w:b w:val="0"/>
                <w:i w:val="0"/>
                <w:sz w:val="17"/>
              </w:rPr>
              <w:t>86</w:t>
            </w:r>
          </w:p>
        </w:tc>
        <w:tc>
          <w:tcPr>
            <w:tcW w:type="dxa" w:w="1417"/>
          </w:tcPr>
          <w:p>
            <w:pPr>
              <w:spacing w:after="20"/>
              <w:jc w:val="right"/>
            </w:pPr>
            <w:r/>
            <w:r>
              <w:rPr>
                <w:b w:val="0"/>
                <w:i w:val="0"/>
                <w:sz w:val="17"/>
              </w:rPr>
              <w:t>89</w:t>
            </w:r>
          </w:p>
        </w:tc>
      </w:tr>
    </w:tbl>
    <w:p>
      <w:r>
        <w:rPr>
          <w:i/>
          <w:sz w:val="16"/>
        </w:rPr>
        <w:t>30 × daily demand, using PDP-implied litres per tonne. Compare with gross licensed capacity: diesel 755 ML, petrol 463 ML, jet 232 ML.</w:t>
      </w:r>
    </w:p>
    <w:p>
      <w:r>
        <w:rPr>
          <w:b w:val="0"/>
          <w:i w:val="0"/>
        </w:rPr>
        <w:t>Even under the high-demand case in 2035, the 30-day requirement for each white fuel is well below today’s gross licensed capacity, so the storage question is about ownership, financing and location (inland versus coastal), not total tank volume, with the exception of LPG (Section 11).</w:t>
      </w:r>
    </w:p>
    <w:p>
      <w:r>
        <w:br w:type="page"/>
      </w:r>
    </w:p>
    <w:p>
      <w:pPr>
        <w:pStyle w:val="Heading1"/>
      </w:pPr>
      <w:r>
        <w:t>10. Supply security</w:t>
      </w:r>
    </w:p>
    <w:p>
      <w:pPr>
        <w:pStyle w:val="Heading2"/>
      </w:pPr>
      <w:r>
        <w:t>10.1 Stock cover against the planning standard</w:t>
      </w:r>
    </w:p>
    <w:p>
      <w:r>
        <w:rPr>
          <w:b w:val="0"/>
          <w:i w:val="0"/>
        </w:rPr>
        <w:t>The PDP’s standard is 30 days: 15 days of minimum operational stock plus 15 days of strategic reserve. Reported stock-cover figures in 2026 (official statements as carried by the press) were:</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474"/>
            <w:shd w:val="clear" w:color="auto" w:fill="1F4E79"/>
          </w:tcPr>
          <w:p>
            <w:pPr>
              <w:spacing w:after="20"/>
            </w:pPr>
            <w:r/>
            <w:r>
              <w:rPr>
                <w:b/>
                <w:color w:val="FFFFFF"/>
                <w:sz w:val="17"/>
              </w:rPr>
              <w:t>Product</w:t>
            </w:r>
          </w:p>
        </w:tc>
        <w:tc>
          <w:tcPr>
            <w:tcW w:type="dxa" w:w="2268"/>
            <w:shd w:val="clear" w:color="auto" w:fill="1F4E79"/>
          </w:tcPr>
          <w:p>
            <w:pPr>
              <w:spacing w:after="20"/>
            </w:pPr>
            <w:r/>
            <w:r>
              <w:rPr>
                <w:b/>
                <w:color w:val="FFFFFF"/>
                <w:sz w:val="17"/>
              </w:rPr>
              <w:t>Treasury / Ministry report, ~2 April</w:t>
            </w:r>
          </w:p>
        </w:tc>
        <w:tc>
          <w:tcPr>
            <w:tcW w:type="dxa" w:w="2041"/>
            <w:shd w:val="clear" w:color="auto" w:fill="1F4E79"/>
          </w:tcPr>
          <w:p>
            <w:pPr>
              <w:spacing w:after="20"/>
            </w:pPr>
            <w:r/>
            <w:r>
              <w:rPr>
                <w:b/>
                <w:color w:val="FFFFFF"/>
                <w:sz w:val="17"/>
              </w:rPr>
              <w:t>Ministry report, adjusted, ~2 April</w:t>
            </w:r>
          </w:p>
        </w:tc>
        <w:tc>
          <w:tcPr>
            <w:tcW w:type="dxa" w:w="1474"/>
            <w:shd w:val="clear" w:color="auto" w:fill="1F4E79"/>
          </w:tcPr>
          <w:p>
            <w:pPr>
              <w:spacing w:after="20"/>
            </w:pPr>
            <w:r/>
            <w:r>
              <w:rPr>
                <w:b/>
                <w:color w:val="FFFFFF"/>
                <w:sz w:val="17"/>
              </w:rPr>
              <w:t>EPRA, 21 May</w:t>
            </w:r>
          </w:p>
        </w:tc>
        <w:tc>
          <w:tcPr>
            <w:tcW w:type="dxa" w:w="1814"/>
            <w:shd w:val="clear" w:color="auto" w:fill="1F4E79"/>
          </w:tcPr>
          <w:p>
            <w:pPr>
              <w:spacing w:after="20"/>
            </w:pPr>
            <w:r/>
            <w:r>
              <w:rPr>
                <w:b/>
                <w:color w:val="FFFFFF"/>
                <w:sz w:val="17"/>
              </w:rPr>
              <w:t>Gap to 30 days (days)</w:t>
            </w:r>
          </w:p>
        </w:tc>
      </w:tr>
      <w:tr>
        <w:trPr>
          <w:cantSplit/>
        </w:trPr>
        <w:tc>
          <w:tcPr>
            <w:tcW w:type="dxa" w:w="1474"/>
          </w:tcPr>
          <w:p>
            <w:pPr>
              <w:spacing w:after="20"/>
            </w:pPr>
            <w:r/>
            <w:r>
              <w:rPr>
                <w:b w:val="0"/>
                <w:i w:val="0"/>
                <w:sz w:val="17"/>
              </w:rPr>
              <w:t>Petrol</w:t>
            </w:r>
          </w:p>
        </w:tc>
        <w:tc>
          <w:tcPr>
            <w:tcW w:type="dxa" w:w="2268"/>
          </w:tcPr>
          <w:p>
            <w:pPr>
              <w:spacing w:after="20"/>
            </w:pPr>
            <w:r/>
            <w:r>
              <w:rPr>
                <w:b w:val="0"/>
                <w:i w:val="0"/>
                <w:sz w:val="17"/>
              </w:rPr>
              <w:t>16 days</w:t>
            </w:r>
          </w:p>
        </w:tc>
        <w:tc>
          <w:tcPr>
            <w:tcW w:type="dxa" w:w="2041"/>
          </w:tcPr>
          <w:p>
            <w:pPr>
              <w:spacing w:after="20"/>
            </w:pPr>
            <w:r/>
            <w:r>
              <w:rPr>
                <w:b w:val="0"/>
                <w:i w:val="0"/>
                <w:sz w:val="17"/>
              </w:rPr>
              <w:t>13 days</w:t>
            </w:r>
          </w:p>
        </w:tc>
        <w:tc>
          <w:tcPr>
            <w:tcW w:type="dxa" w:w="1474"/>
          </w:tcPr>
          <w:p>
            <w:pPr>
              <w:spacing w:after="20"/>
            </w:pPr>
            <w:r/>
            <w:r>
              <w:rPr>
                <w:b w:val="0"/>
                <w:i w:val="0"/>
                <w:sz w:val="17"/>
              </w:rPr>
              <w:t>28 days</w:t>
            </w:r>
          </w:p>
        </w:tc>
        <w:tc>
          <w:tcPr>
            <w:tcW w:type="dxa" w:w="1814"/>
          </w:tcPr>
          <w:p>
            <w:pPr>
              <w:spacing w:after="20"/>
            </w:pPr>
            <w:r/>
            <w:r>
              <w:rPr>
                <w:b w:val="0"/>
                <w:i w:val="0"/>
                <w:sz w:val="17"/>
              </w:rPr>
              <w:t>2 to 17</w:t>
            </w:r>
          </w:p>
        </w:tc>
      </w:tr>
      <w:tr>
        <w:trPr>
          <w:cantSplit/>
        </w:trPr>
        <w:tc>
          <w:tcPr>
            <w:tcW w:type="dxa" w:w="1474"/>
            <w:shd w:val="clear" w:color="auto" w:fill="EEF3F8"/>
          </w:tcPr>
          <w:p>
            <w:pPr>
              <w:spacing w:after="20"/>
            </w:pPr>
            <w:r/>
            <w:r>
              <w:rPr>
                <w:b w:val="0"/>
                <w:i w:val="0"/>
                <w:sz w:val="17"/>
              </w:rPr>
              <w:t>Diesel</w:t>
            </w:r>
          </w:p>
        </w:tc>
        <w:tc>
          <w:tcPr>
            <w:tcW w:type="dxa" w:w="2268"/>
            <w:shd w:val="clear" w:color="auto" w:fill="EEF3F8"/>
          </w:tcPr>
          <w:p>
            <w:pPr>
              <w:spacing w:after="20"/>
            </w:pPr>
            <w:r/>
            <w:r>
              <w:rPr>
                <w:b w:val="0"/>
                <w:i w:val="0"/>
                <w:sz w:val="17"/>
              </w:rPr>
              <w:t>19 days</w:t>
            </w:r>
          </w:p>
        </w:tc>
        <w:tc>
          <w:tcPr>
            <w:tcW w:type="dxa" w:w="2041"/>
            <w:shd w:val="clear" w:color="auto" w:fill="EEF3F8"/>
          </w:tcPr>
          <w:p>
            <w:pPr>
              <w:spacing w:after="20"/>
            </w:pPr>
            <w:r/>
            <w:r>
              <w:rPr>
                <w:b w:val="0"/>
                <w:i w:val="0"/>
                <w:sz w:val="17"/>
              </w:rPr>
              <w:t>16 days</w:t>
            </w:r>
          </w:p>
        </w:tc>
        <w:tc>
          <w:tcPr>
            <w:tcW w:type="dxa" w:w="1474"/>
            <w:shd w:val="clear" w:color="auto" w:fill="EEF3F8"/>
          </w:tcPr>
          <w:p>
            <w:pPr>
              <w:spacing w:after="20"/>
            </w:pPr>
            <w:r/>
            <w:r>
              <w:rPr>
                <w:b w:val="0"/>
                <w:i w:val="0"/>
                <w:sz w:val="17"/>
              </w:rPr>
              <w:t>23 days</w:t>
            </w:r>
          </w:p>
        </w:tc>
        <w:tc>
          <w:tcPr>
            <w:tcW w:type="dxa" w:w="1814"/>
            <w:shd w:val="clear" w:color="auto" w:fill="EEF3F8"/>
          </w:tcPr>
          <w:p>
            <w:pPr>
              <w:spacing w:after="20"/>
            </w:pPr>
            <w:r/>
            <w:r>
              <w:rPr>
                <w:b w:val="0"/>
                <w:i w:val="0"/>
                <w:sz w:val="17"/>
              </w:rPr>
              <w:t>7 to 14</w:t>
            </w:r>
          </w:p>
        </w:tc>
      </w:tr>
      <w:tr>
        <w:trPr>
          <w:cantSplit/>
        </w:trPr>
        <w:tc>
          <w:tcPr>
            <w:tcW w:type="dxa" w:w="1474"/>
          </w:tcPr>
          <w:p>
            <w:pPr>
              <w:spacing w:after="20"/>
            </w:pPr>
            <w:r/>
            <w:r>
              <w:rPr>
                <w:b w:val="0"/>
                <w:i w:val="0"/>
                <w:sz w:val="17"/>
              </w:rPr>
              <w:t>Jet fuel</w:t>
            </w:r>
          </w:p>
        </w:tc>
        <w:tc>
          <w:tcPr>
            <w:tcW w:type="dxa" w:w="2268"/>
          </w:tcPr>
          <w:p>
            <w:pPr>
              <w:spacing w:after="20"/>
            </w:pPr>
            <w:r/>
            <w:r>
              <w:rPr>
                <w:b w:val="0"/>
                <w:i w:val="0"/>
                <w:sz w:val="17"/>
              </w:rPr>
              <w:t>49 days</w:t>
            </w:r>
          </w:p>
        </w:tc>
        <w:tc>
          <w:tcPr>
            <w:tcW w:type="dxa" w:w="2041"/>
          </w:tcPr>
          <w:p>
            <w:pPr>
              <w:spacing w:after="20"/>
            </w:pPr>
            <w:r/>
            <w:r>
              <w:rPr>
                <w:b w:val="0"/>
                <w:i w:val="0"/>
                <w:sz w:val="17"/>
              </w:rPr>
              <w:t>46 days</w:t>
            </w:r>
          </w:p>
        </w:tc>
        <w:tc>
          <w:tcPr>
            <w:tcW w:type="dxa" w:w="1474"/>
          </w:tcPr>
          <w:p>
            <w:pPr>
              <w:spacing w:after="20"/>
            </w:pPr>
            <w:r/>
            <w:r>
              <w:rPr>
                <w:b w:val="0"/>
                <w:i w:val="0"/>
                <w:sz w:val="17"/>
              </w:rPr>
              <w:t>—</w:t>
            </w:r>
          </w:p>
        </w:tc>
        <w:tc>
          <w:tcPr>
            <w:tcW w:type="dxa" w:w="1814"/>
          </w:tcPr>
          <w:p>
            <w:pPr>
              <w:spacing w:after="20"/>
            </w:pPr>
            <w:r/>
            <w:r>
              <w:rPr>
                <w:b w:val="0"/>
                <w:i w:val="0"/>
                <w:sz w:val="17"/>
              </w:rPr>
              <w:t>none</w:t>
            </w:r>
          </w:p>
        </w:tc>
      </w:tr>
    </w:tbl>
    <w:p>
      <w:r>
        <w:rPr>
          <w:i/>
          <w:sz w:val="16"/>
        </w:rPr>
        <w:t>Figures were publicly contested and not independently verified here. The adjusted figures reflect the Ministry’s own estimate of remaining days as at 2 April.</w:t>
      </w:r>
    </w:p>
    <w:p>
      <w:r>
        <w:rPr>
          <w:b w:val="0"/>
          <w:i w:val="0"/>
        </w:rPr>
        <w:t xml:space="preserve">At 2025 average daily demand (petrol 6.3 million litres, diesel 7.9 million litres), the shortfall against 30 days is </w:t>
      </w:r>
      <w:r>
        <w:rPr>
          <w:b/>
          <w:i w:val="0"/>
        </w:rPr>
        <w:t>13–107 million litres of petrol and 55–110 million litres of diesel</w:t>
      </w:r>
      <w:r>
        <w:rPr>
          <w:b w:val="0"/>
          <w:i w:val="0"/>
        </w:rPr>
        <w:t>, depending on which statement is used. Importantly, the spread between statements (13 to 28 days for petrol) is itself a finding: Kenya lacked a single, published, audited daily stock-cover indicator at the moment it was most needed.</w:t>
      </w:r>
    </w:p>
    <w:p>
      <w:pPr>
        <w:pStyle w:val="Heading2"/>
      </w:pPr>
      <w:r>
        <w:t>10.2 Tanks were not the constraint</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701"/>
            <w:shd w:val="clear" w:color="auto" w:fill="1F4E79"/>
          </w:tcPr>
          <w:p>
            <w:pPr>
              <w:spacing w:after="20"/>
            </w:pPr>
            <w:r/>
            <w:r>
              <w:rPr>
                <w:b/>
                <w:color w:val="FFFFFF"/>
                <w:sz w:val="17"/>
              </w:rPr>
              <w:t>Product</w:t>
            </w:r>
          </w:p>
        </w:tc>
        <w:tc>
          <w:tcPr>
            <w:tcW w:type="dxa" w:w="1814"/>
            <w:shd w:val="clear" w:color="auto" w:fill="1F4E79"/>
          </w:tcPr>
          <w:p>
            <w:pPr>
              <w:spacing w:after="20"/>
            </w:pPr>
            <w:r/>
            <w:r>
              <w:rPr>
                <w:b/>
                <w:color w:val="FFFFFF"/>
                <w:sz w:val="17"/>
              </w:rPr>
              <w:t>Daily demand 2025 (ML)</w:t>
            </w:r>
          </w:p>
        </w:tc>
        <w:tc>
          <w:tcPr>
            <w:tcW w:type="dxa" w:w="1928"/>
            <w:shd w:val="clear" w:color="auto" w:fill="1F4E79"/>
          </w:tcPr>
          <w:p>
            <w:pPr>
              <w:spacing w:after="20"/>
            </w:pPr>
            <w:r/>
            <w:r>
              <w:rPr>
                <w:b/>
                <w:color w:val="FFFFFF"/>
                <w:sz w:val="17"/>
              </w:rPr>
              <w:t>Gross licensed capacity (ML)</w:t>
            </w:r>
          </w:p>
        </w:tc>
        <w:tc>
          <w:tcPr>
            <w:tcW w:type="dxa" w:w="2268"/>
            <w:shd w:val="clear" w:color="auto" w:fill="1F4E79"/>
          </w:tcPr>
          <w:p>
            <w:pPr>
              <w:spacing w:after="20"/>
            </w:pPr>
            <w:r/>
            <w:r>
              <w:rPr>
                <w:b/>
                <w:color w:val="FFFFFF"/>
                <w:sz w:val="17"/>
              </w:rPr>
              <w:t>Days of demand if every tank were full</w:t>
            </w:r>
          </w:p>
        </w:tc>
        <w:tc>
          <w:tcPr>
            <w:tcW w:type="dxa" w:w="1814"/>
            <w:shd w:val="clear" w:color="auto" w:fill="1F4E79"/>
          </w:tcPr>
          <w:p>
            <w:pPr>
              <w:spacing w:after="20"/>
            </w:pPr>
            <w:r/>
            <w:r>
              <w:rPr>
                <w:b/>
                <w:color w:val="FFFFFF"/>
                <w:sz w:val="17"/>
              </w:rPr>
              <w:t>Stock needed for 30 days (ML)</w:t>
            </w:r>
          </w:p>
        </w:tc>
      </w:tr>
      <w:tr>
        <w:trPr>
          <w:cantSplit/>
        </w:trPr>
        <w:tc>
          <w:tcPr>
            <w:tcW w:type="dxa" w:w="1701"/>
          </w:tcPr>
          <w:p>
            <w:pPr>
              <w:spacing w:after="20"/>
            </w:pPr>
            <w:r/>
            <w:r>
              <w:rPr>
                <w:b w:val="0"/>
                <w:i w:val="0"/>
                <w:sz w:val="17"/>
              </w:rPr>
              <w:t>Diesel (AGO)</w:t>
            </w:r>
          </w:p>
        </w:tc>
        <w:tc>
          <w:tcPr>
            <w:tcW w:type="dxa" w:w="1814"/>
          </w:tcPr>
          <w:p>
            <w:pPr>
              <w:spacing w:after="20"/>
              <w:jc w:val="right"/>
            </w:pPr>
            <w:r/>
            <w:r>
              <w:rPr>
                <w:b w:val="0"/>
                <w:i w:val="0"/>
                <w:sz w:val="17"/>
              </w:rPr>
              <w:t>7.9</w:t>
            </w:r>
          </w:p>
        </w:tc>
        <w:tc>
          <w:tcPr>
            <w:tcW w:type="dxa" w:w="1928"/>
          </w:tcPr>
          <w:p>
            <w:pPr>
              <w:spacing w:after="20"/>
              <w:jc w:val="right"/>
            </w:pPr>
            <w:r/>
            <w:r>
              <w:rPr>
                <w:b w:val="0"/>
                <w:i w:val="0"/>
                <w:sz w:val="17"/>
              </w:rPr>
              <w:t>755</w:t>
            </w:r>
          </w:p>
        </w:tc>
        <w:tc>
          <w:tcPr>
            <w:tcW w:type="dxa" w:w="2268"/>
          </w:tcPr>
          <w:p>
            <w:pPr>
              <w:spacing w:after="20"/>
              <w:jc w:val="right"/>
            </w:pPr>
            <w:r/>
            <w:r>
              <w:rPr>
                <w:b w:val="0"/>
                <w:i w:val="0"/>
                <w:sz w:val="17"/>
              </w:rPr>
              <w:t>96</w:t>
            </w:r>
          </w:p>
        </w:tc>
        <w:tc>
          <w:tcPr>
            <w:tcW w:type="dxa" w:w="1814"/>
          </w:tcPr>
          <w:p>
            <w:pPr>
              <w:spacing w:after="20"/>
              <w:jc w:val="right"/>
            </w:pPr>
            <w:r/>
            <w:r>
              <w:rPr>
                <w:b w:val="0"/>
                <w:i w:val="0"/>
                <w:sz w:val="17"/>
              </w:rPr>
              <w:t>236</w:t>
            </w:r>
          </w:p>
        </w:tc>
      </w:tr>
      <w:tr>
        <w:trPr>
          <w:cantSplit/>
        </w:trPr>
        <w:tc>
          <w:tcPr>
            <w:tcW w:type="dxa" w:w="1701"/>
            <w:shd w:val="clear" w:color="auto" w:fill="EEF3F8"/>
          </w:tcPr>
          <w:p>
            <w:pPr>
              <w:spacing w:after="20"/>
            </w:pPr>
            <w:r/>
            <w:r>
              <w:rPr>
                <w:b w:val="0"/>
                <w:i w:val="0"/>
                <w:sz w:val="17"/>
              </w:rPr>
              <w:t>Petrol (PMS)</w:t>
            </w:r>
          </w:p>
        </w:tc>
        <w:tc>
          <w:tcPr>
            <w:tcW w:type="dxa" w:w="1814"/>
            <w:shd w:val="clear" w:color="auto" w:fill="EEF3F8"/>
          </w:tcPr>
          <w:p>
            <w:pPr>
              <w:spacing w:after="20"/>
              <w:jc w:val="right"/>
            </w:pPr>
            <w:r/>
            <w:r>
              <w:rPr>
                <w:b w:val="0"/>
                <w:i w:val="0"/>
                <w:sz w:val="17"/>
              </w:rPr>
              <w:t>6.3</w:t>
            </w:r>
          </w:p>
        </w:tc>
        <w:tc>
          <w:tcPr>
            <w:tcW w:type="dxa" w:w="1928"/>
            <w:shd w:val="clear" w:color="auto" w:fill="EEF3F8"/>
          </w:tcPr>
          <w:p>
            <w:pPr>
              <w:spacing w:after="20"/>
              <w:jc w:val="right"/>
            </w:pPr>
            <w:r/>
            <w:r>
              <w:rPr>
                <w:b w:val="0"/>
                <w:i w:val="0"/>
                <w:sz w:val="17"/>
              </w:rPr>
              <w:t>463</w:t>
            </w:r>
          </w:p>
        </w:tc>
        <w:tc>
          <w:tcPr>
            <w:tcW w:type="dxa" w:w="2268"/>
            <w:shd w:val="clear" w:color="auto" w:fill="EEF3F8"/>
          </w:tcPr>
          <w:p>
            <w:pPr>
              <w:spacing w:after="20"/>
              <w:jc w:val="right"/>
            </w:pPr>
            <w:r/>
            <w:r>
              <w:rPr>
                <w:b w:val="0"/>
                <w:i w:val="0"/>
                <w:sz w:val="17"/>
              </w:rPr>
              <w:t>73</w:t>
            </w:r>
          </w:p>
        </w:tc>
        <w:tc>
          <w:tcPr>
            <w:tcW w:type="dxa" w:w="1814"/>
            <w:shd w:val="clear" w:color="auto" w:fill="EEF3F8"/>
          </w:tcPr>
          <w:p>
            <w:pPr>
              <w:spacing w:after="20"/>
              <w:jc w:val="right"/>
            </w:pPr>
            <w:r/>
            <w:r>
              <w:rPr>
                <w:b w:val="0"/>
                <w:i w:val="0"/>
                <w:sz w:val="17"/>
              </w:rPr>
              <w:t>189</w:t>
            </w:r>
          </w:p>
        </w:tc>
      </w:tr>
      <w:tr>
        <w:trPr>
          <w:cantSplit/>
        </w:trPr>
        <w:tc>
          <w:tcPr>
            <w:tcW w:type="dxa" w:w="1701"/>
          </w:tcPr>
          <w:p>
            <w:pPr>
              <w:spacing w:after="20"/>
            </w:pPr>
            <w:r/>
            <w:r>
              <w:rPr>
                <w:b w:val="0"/>
                <w:i w:val="0"/>
                <w:sz w:val="17"/>
              </w:rPr>
              <w:t>Jet fuel*</w:t>
            </w:r>
          </w:p>
        </w:tc>
        <w:tc>
          <w:tcPr>
            <w:tcW w:type="dxa" w:w="1814"/>
          </w:tcPr>
          <w:p>
            <w:pPr>
              <w:spacing w:after="20"/>
              <w:jc w:val="right"/>
            </w:pPr>
            <w:r/>
            <w:r>
              <w:rPr>
                <w:b w:val="0"/>
                <w:i w:val="0"/>
                <w:sz w:val="17"/>
              </w:rPr>
              <w:t>2.4</w:t>
            </w:r>
          </w:p>
        </w:tc>
        <w:tc>
          <w:tcPr>
            <w:tcW w:type="dxa" w:w="1928"/>
          </w:tcPr>
          <w:p>
            <w:pPr>
              <w:spacing w:after="20"/>
              <w:jc w:val="right"/>
            </w:pPr>
            <w:r/>
            <w:r>
              <w:rPr>
                <w:b w:val="0"/>
                <w:i w:val="0"/>
                <w:sz w:val="17"/>
              </w:rPr>
              <w:t>232</w:t>
            </w:r>
          </w:p>
        </w:tc>
        <w:tc>
          <w:tcPr>
            <w:tcW w:type="dxa" w:w="2268"/>
          </w:tcPr>
          <w:p>
            <w:pPr>
              <w:spacing w:after="20"/>
              <w:jc w:val="right"/>
            </w:pPr>
            <w:r/>
            <w:r>
              <w:rPr>
                <w:b w:val="0"/>
                <w:i w:val="0"/>
                <w:sz w:val="17"/>
              </w:rPr>
              <w:t>95</w:t>
            </w:r>
          </w:p>
        </w:tc>
        <w:tc>
          <w:tcPr>
            <w:tcW w:type="dxa" w:w="1814"/>
          </w:tcPr>
          <w:p>
            <w:pPr>
              <w:spacing w:after="20"/>
              <w:jc w:val="right"/>
            </w:pPr>
            <w:r/>
            <w:r>
              <w:rPr>
                <w:b w:val="0"/>
                <w:i w:val="0"/>
                <w:sz w:val="17"/>
              </w:rPr>
              <w:t>73</w:t>
            </w:r>
          </w:p>
        </w:tc>
      </w:tr>
    </w:tbl>
    <w:p>
      <w:r>
        <w:rPr>
          <w:i/>
          <w:sz w:val="16"/>
        </w:rPr>
        <w:t>Capacity: PDP Table 5.7 (licensed facilities, March 2025). Gross capacity overstates usable space (tank bottoms, working stock, product segregation, transit volumes). Conversion litres per tonne are those implied by the PDP base year.</w:t>
      </w:r>
    </w:p>
    <w:p>
      <w:r>
        <w:rPr>
          <w:b w:val="0"/>
          <w:i w:val="0"/>
        </w:rPr>
        <w:t xml:space="preserve">Gross capacity covers 73–96 days of demand against a 30-day requirement, so the 2026 stress came from </w:t>
      </w:r>
      <w:r>
        <w:rPr>
          <w:b/>
          <w:i w:val="0"/>
        </w:rPr>
        <w:t>inventory and procurement</w:t>
      </w:r>
      <w:r>
        <w:rPr>
          <w:b w:val="0"/>
          <w:i w:val="0"/>
        </w:rPr>
        <w:t xml:space="preserve"> (what was in the tanks and when cargoes arrived), not from lack of tank space. This changes the investment message: building strategic reserves means financing and owning product, not just tanks.</w:t>
      </w:r>
    </w:p>
    <w:p>
      <w:pPr>
        <w:pStyle w:val="Heading2"/>
      </w:pPr>
      <w:r>
        <w:t>10.3 What reserves would cost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814"/>
            <w:shd w:val="clear" w:color="auto" w:fill="1F4E79"/>
          </w:tcPr>
          <w:p>
            <w:pPr>
              <w:spacing w:after="20"/>
            </w:pPr>
            <w:r/>
            <w:r>
              <w:rPr>
                <w:b/>
                <w:color w:val="FFFFFF"/>
                <w:sz w:val="17"/>
              </w:rPr>
              <w:t>Days of petrol + diesel cover</w:t>
            </w:r>
          </w:p>
        </w:tc>
        <w:tc>
          <w:tcPr>
            <w:tcW w:type="dxa" w:w="1247"/>
            <w:shd w:val="clear" w:color="auto" w:fill="1F4E79"/>
          </w:tcPr>
          <w:p>
            <w:pPr>
              <w:spacing w:after="20"/>
            </w:pPr>
            <w:r/>
            <w:r>
              <w:rPr>
                <w:b/>
                <w:color w:val="FFFFFF"/>
                <w:sz w:val="17"/>
              </w:rPr>
              <w:t>Volume (ML)</w:t>
            </w:r>
          </w:p>
        </w:tc>
        <w:tc>
          <w:tcPr>
            <w:tcW w:type="dxa" w:w="1701"/>
            <w:shd w:val="clear" w:color="auto" w:fill="1F4E79"/>
          </w:tcPr>
          <w:p>
            <w:pPr>
              <w:spacing w:after="20"/>
            </w:pPr>
            <w:r/>
            <w:r>
              <w:rPr>
                <w:b/>
                <w:color w:val="FFFFFF"/>
                <w:sz w:val="17"/>
              </w:rPr>
              <w:t>Inventory value (US$ m)</w:t>
            </w:r>
          </w:p>
        </w:tc>
        <w:tc>
          <w:tcPr>
            <w:tcW w:type="dxa" w:w="1701"/>
            <w:shd w:val="clear" w:color="auto" w:fill="1F4E79"/>
          </w:tcPr>
          <w:p>
            <w:pPr>
              <w:spacing w:after="20"/>
            </w:pPr>
            <w:r/>
            <w:r>
              <w:rPr>
                <w:b/>
                <w:color w:val="FFFFFF"/>
                <w:sz w:val="17"/>
              </w:rPr>
              <w:t>Inventory value (KSh bn)</w:t>
            </w:r>
          </w:p>
        </w:tc>
        <w:tc>
          <w:tcPr>
            <w:tcW w:type="dxa" w:w="1928"/>
            <w:shd w:val="clear" w:color="auto" w:fill="1F4E79"/>
          </w:tcPr>
          <w:p>
            <w:pPr>
              <w:spacing w:after="20"/>
            </w:pPr>
            <w:r/>
            <w:r>
              <w:rPr>
                <w:b/>
                <w:color w:val="FFFFFF"/>
                <w:sz w:val="17"/>
              </w:rPr>
              <w:t>Carrying cost at 10% (US$ m a year)</w:t>
            </w:r>
          </w:p>
        </w:tc>
        <w:tc>
          <w:tcPr>
            <w:tcW w:type="dxa" w:w="1134"/>
            <w:shd w:val="clear" w:color="auto" w:fill="1F4E79"/>
          </w:tcPr>
          <w:p>
            <w:pPr>
              <w:spacing w:after="20"/>
            </w:pPr>
            <w:r/>
            <w:r>
              <w:rPr>
                <w:b/>
                <w:color w:val="FFFFFF"/>
                <w:sz w:val="17"/>
              </w:rPr>
              <w:t>(KSh bn a year)</w:t>
            </w:r>
          </w:p>
        </w:tc>
      </w:tr>
      <w:tr>
        <w:trPr>
          <w:cantSplit/>
        </w:trPr>
        <w:tc>
          <w:tcPr>
            <w:tcW w:type="dxa" w:w="1814"/>
          </w:tcPr>
          <w:p>
            <w:pPr>
              <w:spacing w:after="20"/>
            </w:pPr>
            <w:r/>
            <w:r>
              <w:rPr>
                <w:b w:val="0"/>
                <w:i w:val="0"/>
                <w:sz w:val="17"/>
              </w:rPr>
              <w:t>15</w:t>
            </w:r>
          </w:p>
        </w:tc>
        <w:tc>
          <w:tcPr>
            <w:tcW w:type="dxa" w:w="1247"/>
          </w:tcPr>
          <w:p>
            <w:pPr>
              <w:spacing w:after="20"/>
              <w:jc w:val="right"/>
            </w:pPr>
            <w:r/>
            <w:r>
              <w:rPr>
                <w:b w:val="0"/>
                <w:i w:val="0"/>
                <w:sz w:val="17"/>
              </w:rPr>
              <w:t>213</w:t>
            </w:r>
          </w:p>
        </w:tc>
        <w:tc>
          <w:tcPr>
            <w:tcW w:type="dxa" w:w="1701"/>
          </w:tcPr>
          <w:p>
            <w:pPr>
              <w:spacing w:after="20"/>
              <w:jc w:val="right"/>
            </w:pPr>
            <w:r/>
            <w:r>
              <w:rPr>
                <w:b w:val="0"/>
                <w:i w:val="0"/>
                <w:sz w:val="17"/>
              </w:rPr>
              <w:t>196</w:t>
            </w:r>
          </w:p>
        </w:tc>
        <w:tc>
          <w:tcPr>
            <w:tcW w:type="dxa" w:w="1701"/>
          </w:tcPr>
          <w:p>
            <w:pPr>
              <w:spacing w:after="20"/>
              <w:jc w:val="right"/>
            </w:pPr>
            <w:r/>
            <w:r>
              <w:rPr>
                <w:b w:val="0"/>
                <w:i w:val="0"/>
                <w:sz w:val="17"/>
              </w:rPr>
              <w:t>25.3</w:t>
            </w:r>
          </w:p>
        </w:tc>
        <w:tc>
          <w:tcPr>
            <w:tcW w:type="dxa" w:w="1928"/>
          </w:tcPr>
          <w:p>
            <w:pPr>
              <w:spacing w:after="20"/>
              <w:jc w:val="right"/>
            </w:pPr>
            <w:r/>
            <w:r>
              <w:rPr>
                <w:b w:val="0"/>
                <w:i w:val="0"/>
                <w:sz w:val="17"/>
              </w:rPr>
              <w:t>20</w:t>
            </w:r>
          </w:p>
        </w:tc>
        <w:tc>
          <w:tcPr>
            <w:tcW w:type="dxa" w:w="1134"/>
          </w:tcPr>
          <w:p>
            <w:pPr>
              <w:spacing w:after="20"/>
              <w:jc w:val="right"/>
            </w:pPr>
            <w:r/>
            <w:r>
              <w:rPr>
                <w:b w:val="0"/>
                <w:i w:val="0"/>
                <w:sz w:val="17"/>
              </w:rPr>
              <w:t>2.5</w:t>
            </w:r>
          </w:p>
        </w:tc>
      </w:tr>
      <w:tr>
        <w:trPr>
          <w:cantSplit/>
        </w:trPr>
        <w:tc>
          <w:tcPr>
            <w:tcW w:type="dxa" w:w="1814"/>
            <w:shd w:val="clear" w:color="auto" w:fill="EEF3F8"/>
          </w:tcPr>
          <w:p>
            <w:pPr>
              <w:spacing w:after="20"/>
            </w:pPr>
            <w:r/>
            <w:r>
              <w:rPr>
                <w:b w:val="0"/>
                <w:i w:val="0"/>
                <w:sz w:val="17"/>
              </w:rPr>
              <w:t>30</w:t>
            </w:r>
          </w:p>
        </w:tc>
        <w:tc>
          <w:tcPr>
            <w:tcW w:type="dxa" w:w="1247"/>
            <w:shd w:val="clear" w:color="auto" w:fill="EEF3F8"/>
          </w:tcPr>
          <w:p>
            <w:pPr>
              <w:spacing w:after="20"/>
              <w:jc w:val="right"/>
            </w:pPr>
            <w:r/>
            <w:r>
              <w:rPr>
                <w:b w:val="0"/>
                <w:i w:val="0"/>
                <w:sz w:val="17"/>
              </w:rPr>
              <w:t>426</w:t>
            </w:r>
          </w:p>
        </w:tc>
        <w:tc>
          <w:tcPr>
            <w:tcW w:type="dxa" w:w="1701"/>
            <w:shd w:val="clear" w:color="auto" w:fill="EEF3F8"/>
          </w:tcPr>
          <w:p>
            <w:pPr>
              <w:spacing w:after="20"/>
              <w:jc w:val="right"/>
            </w:pPr>
            <w:r/>
            <w:r>
              <w:rPr>
                <w:b w:val="0"/>
                <w:i w:val="0"/>
                <w:sz w:val="17"/>
              </w:rPr>
              <w:t>392</w:t>
            </w:r>
          </w:p>
        </w:tc>
        <w:tc>
          <w:tcPr>
            <w:tcW w:type="dxa" w:w="1701"/>
            <w:shd w:val="clear" w:color="auto" w:fill="EEF3F8"/>
          </w:tcPr>
          <w:p>
            <w:pPr>
              <w:spacing w:after="20"/>
              <w:jc w:val="right"/>
            </w:pPr>
            <w:r/>
            <w:r>
              <w:rPr>
                <w:b w:val="0"/>
                <w:i w:val="0"/>
                <w:sz w:val="17"/>
              </w:rPr>
              <w:t>50.6</w:t>
            </w:r>
          </w:p>
        </w:tc>
        <w:tc>
          <w:tcPr>
            <w:tcW w:type="dxa" w:w="1928"/>
            <w:shd w:val="clear" w:color="auto" w:fill="EEF3F8"/>
          </w:tcPr>
          <w:p>
            <w:pPr>
              <w:spacing w:after="20"/>
              <w:jc w:val="right"/>
            </w:pPr>
            <w:r/>
            <w:r>
              <w:rPr>
                <w:b w:val="0"/>
                <w:i w:val="0"/>
                <w:sz w:val="17"/>
              </w:rPr>
              <w:t>39</w:t>
            </w:r>
          </w:p>
        </w:tc>
        <w:tc>
          <w:tcPr>
            <w:tcW w:type="dxa" w:w="1134"/>
            <w:shd w:val="clear" w:color="auto" w:fill="EEF3F8"/>
          </w:tcPr>
          <w:p>
            <w:pPr>
              <w:spacing w:after="20"/>
              <w:jc w:val="right"/>
            </w:pPr>
            <w:r/>
            <w:r>
              <w:rPr>
                <w:b w:val="0"/>
                <w:i w:val="0"/>
                <w:sz w:val="17"/>
              </w:rPr>
              <w:t>5.1</w:t>
            </w:r>
          </w:p>
        </w:tc>
      </w:tr>
      <w:tr>
        <w:trPr>
          <w:cantSplit/>
        </w:trPr>
        <w:tc>
          <w:tcPr>
            <w:tcW w:type="dxa" w:w="1814"/>
          </w:tcPr>
          <w:p>
            <w:pPr>
              <w:spacing w:after="20"/>
            </w:pPr>
            <w:r/>
            <w:r>
              <w:rPr>
                <w:b w:val="0"/>
                <w:i w:val="0"/>
                <w:sz w:val="17"/>
              </w:rPr>
              <w:t>60</w:t>
            </w:r>
          </w:p>
        </w:tc>
        <w:tc>
          <w:tcPr>
            <w:tcW w:type="dxa" w:w="1247"/>
          </w:tcPr>
          <w:p>
            <w:pPr>
              <w:spacing w:after="20"/>
              <w:jc w:val="right"/>
            </w:pPr>
            <w:r/>
            <w:r>
              <w:rPr>
                <w:b w:val="0"/>
                <w:i w:val="0"/>
                <w:sz w:val="17"/>
              </w:rPr>
              <w:t>851</w:t>
            </w:r>
          </w:p>
        </w:tc>
        <w:tc>
          <w:tcPr>
            <w:tcW w:type="dxa" w:w="1701"/>
          </w:tcPr>
          <w:p>
            <w:pPr>
              <w:spacing w:after="20"/>
              <w:jc w:val="right"/>
            </w:pPr>
            <w:r/>
            <w:r>
              <w:rPr>
                <w:b w:val="0"/>
                <w:i w:val="0"/>
                <w:sz w:val="17"/>
              </w:rPr>
              <w:t>783</w:t>
            </w:r>
          </w:p>
        </w:tc>
        <w:tc>
          <w:tcPr>
            <w:tcW w:type="dxa" w:w="1701"/>
          </w:tcPr>
          <w:p>
            <w:pPr>
              <w:spacing w:after="20"/>
              <w:jc w:val="right"/>
            </w:pPr>
            <w:r/>
            <w:r>
              <w:rPr>
                <w:b w:val="0"/>
                <w:i w:val="0"/>
                <w:sz w:val="17"/>
              </w:rPr>
              <w:t>101.2</w:t>
            </w:r>
          </w:p>
        </w:tc>
        <w:tc>
          <w:tcPr>
            <w:tcW w:type="dxa" w:w="1928"/>
          </w:tcPr>
          <w:p>
            <w:pPr>
              <w:spacing w:after="20"/>
              <w:jc w:val="right"/>
            </w:pPr>
            <w:r/>
            <w:r>
              <w:rPr>
                <w:b w:val="0"/>
                <w:i w:val="0"/>
                <w:sz w:val="17"/>
              </w:rPr>
              <w:t>78</w:t>
            </w:r>
          </w:p>
        </w:tc>
        <w:tc>
          <w:tcPr>
            <w:tcW w:type="dxa" w:w="1134"/>
          </w:tcPr>
          <w:p>
            <w:pPr>
              <w:spacing w:after="20"/>
              <w:jc w:val="right"/>
            </w:pPr>
            <w:r/>
            <w:r>
              <w:rPr>
                <w:b w:val="0"/>
                <w:i w:val="0"/>
                <w:sz w:val="17"/>
              </w:rPr>
              <w:t>10.1</w:t>
            </w:r>
          </w:p>
        </w:tc>
      </w:tr>
      <w:tr>
        <w:trPr>
          <w:cantSplit/>
        </w:trPr>
        <w:tc>
          <w:tcPr>
            <w:tcW w:type="dxa" w:w="1814"/>
            <w:shd w:val="clear" w:color="auto" w:fill="EEF3F8"/>
          </w:tcPr>
          <w:p>
            <w:pPr>
              <w:spacing w:after="20"/>
            </w:pPr>
            <w:r/>
            <w:r>
              <w:rPr>
                <w:b w:val="0"/>
                <w:i w:val="0"/>
                <w:sz w:val="17"/>
              </w:rPr>
              <w:t>90</w:t>
            </w:r>
          </w:p>
        </w:tc>
        <w:tc>
          <w:tcPr>
            <w:tcW w:type="dxa" w:w="1247"/>
            <w:shd w:val="clear" w:color="auto" w:fill="EEF3F8"/>
          </w:tcPr>
          <w:p>
            <w:pPr>
              <w:spacing w:after="20"/>
              <w:jc w:val="right"/>
            </w:pPr>
            <w:r/>
            <w:r>
              <w:rPr>
                <w:b w:val="0"/>
                <w:i w:val="0"/>
                <w:sz w:val="17"/>
              </w:rPr>
              <w:t>1,276</w:t>
            </w:r>
          </w:p>
        </w:tc>
        <w:tc>
          <w:tcPr>
            <w:tcW w:type="dxa" w:w="1701"/>
            <w:shd w:val="clear" w:color="auto" w:fill="EEF3F8"/>
          </w:tcPr>
          <w:p>
            <w:pPr>
              <w:spacing w:after="20"/>
              <w:jc w:val="right"/>
            </w:pPr>
            <w:r/>
            <w:r>
              <w:rPr>
                <w:b w:val="0"/>
                <w:i w:val="0"/>
                <w:sz w:val="17"/>
              </w:rPr>
              <w:t>1,175</w:t>
            </w:r>
          </w:p>
        </w:tc>
        <w:tc>
          <w:tcPr>
            <w:tcW w:type="dxa" w:w="1701"/>
            <w:shd w:val="clear" w:color="auto" w:fill="EEF3F8"/>
          </w:tcPr>
          <w:p>
            <w:pPr>
              <w:spacing w:after="20"/>
              <w:jc w:val="right"/>
            </w:pPr>
            <w:r/>
            <w:r>
              <w:rPr>
                <w:b w:val="0"/>
                <w:i w:val="0"/>
                <w:sz w:val="17"/>
              </w:rPr>
              <w:t>151.8</w:t>
            </w:r>
          </w:p>
        </w:tc>
        <w:tc>
          <w:tcPr>
            <w:tcW w:type="dxa" w:w="1928"/>
            <w:shd w:val="clear" w:color="auto" w:fill="EEF3F8"/>
          </w:tcPr>
          <w:p>
            <w:pPr>
              <w:spacing w:after="20"/>
              <w:jc w:val="right"/>
            </w:pPr>
            <w:r/>
            <w:r>
              <w:rPr>
                <w:b w:val="0"/>
                <w:i w:val="0"/>
                <w:sz w:val="17"/>
              </w:rPr>
              <w:t>118</w:t>
            </w:r>
          </w:p>
        </w:tc>
        <w:tc>
          <w:tcPr>
            <w:tcW w:type="dxa" w:w="1134"/>
            <w:shd w:val="clear" w:color="auto" w:fill="EEF3F8"/>
          </w:tcPr>
          <w:p>
            <w:pPr>
              <w:spacing w:after="20"/>
              <w:jc w:val="right"/>
            </w:pPr>
            <w:r/>
            <w:r>
              <w:rPr>
                <w:b w:val="0"/>
                <w:i w:val="0"/>
                <w:sz w:val="17"/>
              </w:rPr>
              <w:t>15.2</w:t>
            </w:r>
          </w:p>
        </w:tc>
      </w:tr>
    </w:tbl>
    <w:p>
      <w:r>
        <w:rPr>
          <w:i/>
          <w:sz w:val="16"/>
        </w:rPr>
        <w:t>Valued at August 2026 landed costs (petrol US$874/m³; diesel US$957/m³) and 2025 average daily demand; 129.2 KSh per US$. Financing cost only; excludes storage fees, losses and rotation. Illustrative arithmetic.</w:t>
      </w:r>
    </w:p>
    <w:p>
      <w:r>
        <w:rPr>
          <w:b w:val="0"/>
          <w:i w:val="0"/>
        </w:rPr>
        <w:t>The strategic half of the PDP standard (15 days of petrol and diesel) would tie up about US$196 million (KSh 25 billion) in product at 2026 prices, costing roughly US$20 million (KSh 2.5 billion) a year to finance at 10%. Bringing cover to 90 days, as some commentators have argued, would require about US$1.2 billion (KSh 152 billion) in inventory and about KSh 15 billion a year in financing, around 85% of licensed white-fuel capacity. Because inventory is priced at the cost of the day, a reserve bought during a price spike costs far more than one built gradually in calm markets: an argument for a rules-based, gradual build.</w:t>
      </w:r>
    </w:p>
    <w:p>
      <w:pPr>
        <w:pStyle w:val="Heading2"/>
      </w:pPr>
      <w:r>
        <w:t>10.4 Supply-security traffic light (analytical framework)</w:t>
      </w:r>
    </w:p>
    <w:p>
      <w:r>
        <w:rPr>
          <w:b w:val="0"/>
          <w:i w:val="0"/>
        </w:rPr>
        <w:t xml:space="preserve">Thresholds are the author’s, not official: GREEN ≥ 30 days (PDP standard); AMBER 15–29 days; RED &lt; 15 days. Using the lowest reported April figure: petrol AMBER/RED boundary (13–16 days), diesel AMBER (16–19), jet GREEN (46–49), LPG </w:t>
      </w:r>
      <w:r>
        <w:rPr>
          <w:b/>
          <w:i w:val="0"/>
        </w:rPr>
        <w:t>not reported</w:t>
      </w:r>
      <w:r>
        <w:rPr>
          <w:b w:val="0"/>
          <w:i w:val="0"/>
        </w:rPr>
        <w:t xml:space="preserve"> (no published stock cover; flagged as a data gap). A supply–demand balance sheet by product (opening stock, imports, production, consumption, exports, closing stock) could not be constructed because monthly stock and import-by-product data were not available; this is the most valuable data to request from EPRA and KRA.</w:t>
      </w:r>
    </w:p>
    <w:p>
      <w:pPr>
        <w:pStyle w:val="Heading1"/>
      </w:pPr>
      <w:r>
        <w:t>11. Infrastructure requirements</w:t>
      </w:r>
    </w:p>
    <w:p>
      <w:r>
        <w:rPr>
          <w:b/>
          <w:i w:val="0"/>
        </w:rPr>
        <w:t>White fuels.</w:t>
      </w:r>
      <w:r>
        <w:rPr>
          <w:b w:val="0"/>
          <w:i w:val="0"/>
        </w:rPr>
        <w:t xml:space="preserve"> The PDP concludes that storage is adequate for petrol, diesel, kerosene and jet fuel through 2029, and recommends upgrading Mombasa–Nairobi Line 5, building a Line 7 by 2028 and a Sinendet–Kisumu pipeline by 2029. Two PDP statements are worth noting: Line 2 (Nairobi–Eldoret) and Line 3 (Sinendet–Kisumu) already run at maximum utilisation; and the planning supply for 2025 is 6,420 million litres against white-fuel demand of 5,933 million litres, the difference being exactly 30 days of demand.</w:t>
      </w:r>
    </w:p>
    <w:p>
      <w:r>
        <w:rPr>
          <w:b/>
          <w:i w:val="0"/>
        </w:rPr>
        <w:t>LPG.</w:t>
      </w:r>
      <w:r>
        <w:rPr>
          <w:b w:val="0"/>
          <w:i w:val="0"/>
        </w:rPr>
        <w:t xml:space="preserve"> Using the PDP’s own method (required storage = planned supply ÷ 12, where planned supply = demand × (1 + 30/365)), and demand from this report’s scenarios: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134"/>
            <w:shd w:val="clear" w:color="auto" w:fill="1F4E79"/>
          </w:tcPr>
          <w:p>
            <w:pPr>
              <w:spacing w:after="20"/>
            </w:pPr>
            <w:r/>
            <w:r>
              <w:rPr>
                <w:b/>
                <w:color w:val="FFFFFF"/>
                <w:sz w:val="17"/>
              </w:rPr>
              <w:t>Year</w:t>
            </w:r>
          </w:p>
        </w:tc>
        <w:tc>
          <w:tcPr>
            <w:tcW w:type="dxa" w:w="2268"/>
            <w:shd w:val="clear" w:color="auto" w:fill="1F4E79"/>
          </w:tcPr>
          <w:p>
            <w:pPr>
              <w:spacing w:after="20"/>
            </w:pPr>
            <w:r/>
            <w:r>
              <w:rPr>
                <w:b/>
                <w:color w:val="FFFFFF"/>
                <w:sz w:val="17"/>
              </w:rPr>
              <w:t>Baseline demand (kt)</w:t>
            </w:r>
          </w:p>
        </w:tc>
        <w:tc>
          <w:tcPr>
            <w:tcW w:type="dxa" w:w="2268"/>
            <w:shd w:val="clear" w:color="auto" w:fill="1F4E79"/>
          </w:tcPr>
          <w:p>
            <w:pPr>
              <w:spacing w:after="20"/>
            </w:pPr>
            <w:r/>
            <w:r>
              <w:rPr>
                <w:b/>
                <w:color w:val="FFFFFF"/>
                <w:sz w:val="17"/>
              </w:rPr>
              <w:t>Required storage (kt)</w:t>
            </w:r>
          </w:p>
        </w:tc>
        <w:tc>
          <w:tcPr>
            <w:tcW w:type="dxa" w:w="1701"/>
            <w:shd w:val="clear" w:color="auto" w:fill="1F4E79"/>
          </w:tcPr>
          <w:p>
            <w:pPr>
              <w:spacing w:after="20"/>
            </w:pPr>
            <w:r/>
            <w:r>
              <w:rPr>
                <w:b/>
                <w:color w:val="FFFFFF"/>
                <w:sz w:val="17"/>
              </w:rPr>
              <w:t>Installed (kt)</w:t>
            </w:r>
          </w:p>
        </w:tc>
        <w:tc>
          <w:tcPr>
            <w:tcW w:type="dxa" w:w="1701"/>
            <w:shd w:val="clear" w:color="auto" w:fill="1F4E79"/>
          </w:tcPr>
          <w:p>
            <w:pPr>
              <w:spacing w:after="20"/>
            </w:pPr>
            <w:r/>
            <w:r>
              <w:rPr>
                <w:b/>
                <w:color w:val="FFFFFF"/>
                <w:sz w:val="17"/>
              </w:rPr>
              <w:t>Headroom (kt)</w:t>
            </w:r>
          </w:p>
        </w:tc>
      </w:tr>
      <w:tr>
        <w:trPr>
          <w:cantSplit/>
        </w:trPr>
        <w:tc>
          <w:tcPr>
            <w:tcW w:type="dxa" w:w="1134"/>
          </w:tcPr>
          <w:p>
            <w:pPr>
              <w:spacing w:after="20"/>
            </w:pPr>
            <w:r/>
            <w:r>
              <w:rPr>
                <w:b w:val="0"/>
                <w:i w:val="0"/>
                <w:sz w:val="17"/>
              </w:rPr>
              <w:t>2025</w:t>
            </w:r>
          </w:p>
        </w:tc>
        <w:tc>
          <w:tcPr>
            <w:tcW w:type="dxa" w:w="2268"/>
          </w:tcPr>
          <w:p>
            <w:pPr>
              <w:spacing w:after="20"/>
              <w:jc w:val="right"/>
            </w:pPr>
            <w:r/>
            <w:r>
              <w:rPr>
                <w:b w:val="0"/>
                <w:i w:val="0"/>
                <w:sz w:val="17"/>
              </w:rPr>
              <w:t>476</w:t>
            </w:r>
          </w:p>
        </w:tc>
        <w:tc>
          <w:tcPr>
            <w:tcW w:type="dxa" w:w="2268"/>
          </w:tcPr>
          <w:p>
            <w:pPr>
              <w:spacing w:after="20"/>
              <w:jc w:val="right"/>
            </w:pPr>
            <w:r/>
            <w:r>
              <w:rPr>
                <w:b w:val="0"/>
                <w:i w:val="0"/>
                <w:sz w:val="17"/>
              </w:rPr>
              <w:t>42.9</w:t>
            </w:r>
          </w:p>
        </w:tc>
        <w:tc>
          <w:tcPr>
            <w:tcW w:type="dxa" w:w="1701"/>
          </w:tcPr>
          <w:p>
            <w:pPr>
              <w:spacing w:after="20"/>
              <w:jc w:val="right"/>
            </w:pPr>
            <w:r/>
            <w:r>
              <w:rPr>
                <w:b w:val="0"/>
                <w:i w:val="0"/>
                <w:sz w:val="17"/>
              </w:rPr>
              <w:t>44.4</w:t>
            </w:r>
          </w:p>
        </w:tc>
        <w:tc>
          <w:tcPr>
            <w:tcW w:type="dxa" w:w="1701"/>
          </w:tcPr>
          <w:p>
            <w:pPr>
              <w:spacing w:after="20"/>
              <w:jc w:val="right"/>
            </w:pPr>
            <w:r/>
            <w:r>
              <w:rPr>
                <w:b w:val="0"/>
                <w:i w:val="0"/>
                <w:sz w:val="17"/>
              </w:rPr>
              <w:t>+1.5</w:t>
            </w:r>
          </w:p>
        </w:tc>
      </w:tr>
      <w:tr>
        <w:trPr>
          <w:cantSplit/>
        </w:trPr>
        <w:tc>
          <w:tcPr>
            <w:tcW w:type="dxa" w:w="1134"/>
            <w:shd w:val="clear" w:color="auto" w:fill="EEF3F8"/>
          </w:tcPr>
          <w:p>
            <w:pPr>
              <w:spacing w:after="20"/>
            </w:pPr>
            <w:r/>
            <w:r>
              <w:rPr>
                <w:b w:val="0"/>
                <w:i w:val="0"/>
                <w:sz w:val="17"/>
              </w:rPr>
              <w:t>2026</w:t>
            </w:r>
          </w:p>
        </w:tc>
        <w:tc>
          <w:tcPr>
            <w:tcW w:type="dxa" w:w="2268"/>
            <w:shd w:val="clear" w:color="auto" w:fill="EEF3F8"/>
          </w:tcPr>
          <w:p>
            <w:pPr>
              <w:spacing w:after="20"/>
              <w:jc w:val="right"/>
            </w:pPr>
            <w:r/>
            <w:r>
              <w:rPr>
                <w:b w:val="0"/>
                <w:i w:val="0"/>
                <w:sz w:val="17"/>
              </w:rPr>
              <w:t>503</w:t>
            </w:r>
          </w:p>
        </w:tc>
        <w:tc>
          <w:tcPr>
            <w:tcW w:type="dxa" w:w="2268"/>
            <w:shd w:val="clear" w:color="auto" w:fill="EEF3F8"/>
          </w:tcPr>
          <w:p>
            <w:pPr>
              <w:spacing w:after="20"/>
              <w:jc w:val="right"/>
            </w:pPr>
            <w:r/>
            <w:r>
              <w:rPr>
                <w:b w:val="0"/>
                <w:i w:val="0"/>
                <w:sz w:val="17"/>
              </w:rPr>
              <w:t>45.4</w:t>
            </w:r>
          </w:p>
        </w:tc>
        <w:tc>
          <w:tcPr>
            <w:tcW w:type="dxa" w:w="1701"/>
            <w:shd w:val="clear" w:color="auto" w:fill="EEF3F8"/>
          </w:tcPr>
          <w:p>
            <w:pPr>
              <w:spacing w:after="20"/>
              <w:jc w:val="right"/>
            </w:pPr>
            <w:r/>
            <w:r>
              <w:rPr>
                <w:b w:val="0"/>
                <w:i w:val="0"/>
                <w:sz w:val="17"/>
              </w:rPr>
              <w:t>44.4</w:t>
            </w:r>
          </w:p>
        </w:tc>
        <w:tc>
          <w:tcPr>
            <w:tcW w:type="dxa" w:w="1701"/>
            <w:shd w:val="clear" w:color="auto" w:fill="EEF3F8"/>
          </w:tcPr>
          <w:p>
            <w:pPr>
              <w:spacing w:after="20"/>
              <w:jc w:val="right"/>
            </w:pPr>
            <w:r/>
            <w:r>
              <w:rPr>
                <w:b w:val="0"/>
                <w:i w:val="0"/>
                <w:sz w:val="17"/>
              </w:rPr>
              <w:t>-1.0</w:t>
            </w:r>
          </w:p>
        </w:tc>
      </w:tr>
      <w:tr>
        <w:trPr>
          <w:cantSplit/>
        </w:trPr>
        <w:tc>
          <w:tcPr>
            <w:tcW w:type="dxa" w:w="1134"/>
          </w:tcPr>
          <w:p>
            <w:pPr>
              <w:spacing w:after="20"/>
            </w:pPr>
            <w:r/>
            <w:r>
              <w:rPr>
                <w:b w:val="0"/>
                <w:i w:val="0"/>
                <w:sz w:val="17"/>
              </w:rPr>
              <w:t>2027</w:t>
            </w:r>
          </w:p>
        </w:tc>
        <w:tc>
          <w:tcPr>
            <w:tcW w:type="dxa" w:w="2268"/>
          </w:tcPr>
          <w:p>
            <w:pPr>
              <w:spacing w:after="20"/>
              <w:jc w:val="right"/>
            </w:pPr>
            <w:r/>
            <w:r>
              <w:rPr>
                <w:b w:val="0"/>
                <w:i w:val="0"/>
                <w:sz w:val="17"/>
              </w:rPr>
              <w:t>536</w:t>
            </w:r>
          </w:p>
        </w:tc>
        <w:tc>
          <w:tcPr>
            <w:tcW w:type="dxa" w:w="2268"/>
          </w:tcPr>
          <w:p>
            <w:pPr>
              <w:spacing w:after="20"/>
              <w:jc w:val="right"/>
            </w:pPr>
            <w:r/>
            <w:r>
              <w:rPr>
                <w:b w:val="0"/>
                <w:i w:val="0"/>
                <w:sz w:val="17"/>
              </w:rPr>
              <w:t>48.3</w:t>
            </w:r>
          </w:p>
        </w:tc>
        <w:tc>
          <w:tcPr>
            <w:tcW w:type="dxa" w:w="1701"/>
          </w:tcPr>
          <w:p>
            <w:pPr>
              <w:spacing w:after="20"/>
              <w:jc w:val="right"/>
            </w:pPr>
            <w:r/>
            <w:r>
              <w:rPr>
                <w:b w:val="0"/>
                <w:i w:val="0"/>
                <w:sz w:val="17"/>
              </w:rPr>
              <w:t>44.4</w:t>
            </w:r>
          </w:p>
        </w:tc>
        <w:tc>
          <w:tcPr>
            <w:tcW w:type="dxa" w:w="1701"/>
          </w:tcPr>
          <w:p>
            <w:pPr>
              <w:spacing w:after="20"/>
              <w:jc w:val="right"/>
            </w:pPr>
            <w:r/>
            <w:r>
              <w:rPr>
                <w:b w:val="0"/>
                <w:i w:val="0"/>
                <w:sz w:val="17"/>
              </w:rPr>
              <w:t>-3.9</w:t>
            </w:r>
          </w:p>
        </w:tc>
      </w:tr>
      <w:tr>
        <w:trPr>
          <w:cantSplit/>
        </w:trPr>
        <w:tc>
          <w:tcPr>
            <w:tcW w:type="dxa" w:w="1134"/>
            <w:shd w:val="clear" w:color="auto" w:fill="EEF3F8"/>
          </w:tcPr>
          <w:p>
            <w:pPr>
              <w:spacing w:after="20"/>
            </w:pPr>
            <w:r/>
            <w:r>
              <w:rPr>
                <w:b w:val="0"/>
                <w:i w:val="0"/>
                <w:sz w:val="17"/>
              </w:rPr>
              <w:t>2028</w:t>
            </w:r>
          </w:p>
        </w:tc>
        <w:tc>
          <w:tcPr>
            <w:tcW w:type="dxa" w:w="2268"/>
            <w:shd w:val="clear" w:color="auto" w:fill="EEF3F8"/>
          </w:tcPr>
          <w:p>
            <w:pPr>
              <w:spacing w:after="20"/>
              <w:jc w:val="right"/>
            </w:pPr>
            <w:r/>
            <w:r>
              <w:rPr>
                <w:b w:val="0"/>
                <w:i w:val="0"/>
                <w:sz w:val="17"/>
              </w:rPr>
              <w:t>571</w:t>
            </w:r>
          </w:p>
        </w:tc>
        <w:tc>
          <w:tcPr>
            <w:tcW w:type="dxa" w:w="2268"/>
            <w:shd w:val="clear" w:color="auto" w:fill="EEF3F8"/>
          </w:tcPr>
          <w:p>
            <w:pPr>
              <w:spacing w:after="20"/>
              <w:jc w:val="right"/>
            </w:pPr>
            <w:r/>
            <w:r>
              <w:rPr>
                <w:b w:val="0"/>
                <w:i w:val="0"/>
                <w:sz w:val="17"/>
              </w:rPr>
              <w:t>51.5</w:t>
            </w:r>
          </w:p>
        </w:tc>
        <w:tc>
          <w:tcPr>
            <w:tcW w:type="dxa" w:w="1701"/>
            <w:shd w:val="clear" w:color="auto" w:fill="EEF3F8"/>
          </w:tcPr>
          <w:p>
            <w:pPr>
              <w:spacing w:after="20"/>
              <w:jc w:val="right"/>
            </w:pPr>
            <w:r/>
            <w:r>
              <w:rPr>
                <w:b w:val="0"/>
                <w:i w:val="0"/>
                <w:sz w:val="17"/>
              </w:rPr>
              <w:t>44.4</w:t>
            </w:r>
          </w:p>
        </w:tc>
        <w:tc>
          <w:tcPr>
            <w:tcW w:type="dxa" w:w="1701"/>
            <w:shd w:val="clear" w:color="auto" w:fill="EEF3F8"/>
          </w:tcPr>
          <w:p>
            <w:pPr>
              <w:spacing w:after="20"/>
              <w:jc w:val="right"/>
            </w:pPr>
            <w:r/>
            <w:r>
              <w:rPr>
                <w:b w:val="0"/>
                <w:i w:val="0"/>
                <w:sz w:val="17"/>
              </w:rPr>
              <w:t>-7.0</w:t>
            </w:r>
          </w:p>
        </w:tc>
      </w:tr>
      <w:tr>
        <w:trPr>
          <w:cantSplit/>
        </w:trPr>
        <w:tc>
          <w:tcPr>
            <w:tcW w:type="dxa" w:w="1134"/>
          </w:tcPr>
          <w:p>
            <w:pPr>
              <w:spacing w:after="20"/>
            </w:pPr>
            <w:r/>
            <w:r>
              <w:rPr>
                <w:b w:val="0"/>
                <w:i w:val="0"/>
                <w:sz w:val="17"/>
              </w:rPr>
              <w:t>2029</w:t>
            </w:r>
          </w:p>
        </w:tc>
        <w:tc>
          <w:tcPr>
            <w:tcW w:type="dxa" w:w="2268"/>
          </w:tcPr>
          <w:p>
            <w:pPr>
              <w:spacing w:after="20"/>
              <w:jc w:val="right"/>
            </w:pPr>
            <w:r/>
            <w:r>
              <w:rPr>
                <w:b w:val="0"/>
                <w:i w:val="0"/>
                <w:sz w:val="17"/>
              </w:rPr>
              <w:t>612</w:t>
            </w:r>
          </w:p>
        </w:tc>
        <w:tc>
          <w:tcPr>
            <w:tcW w:type="dxa" w:w="2268"/>
          </w:tcPr>
          <w:p>
            <w:pPr>
              <w:spacing w:after="20"/>
              <w:jc w:val="right"/>
            </w:pPr>
            <w:r/>
            <w:r>
              <w:rPr>
                <w:b w:val="0"/>
                <w:i w:val="0"/>
                <w:sz w:val="17"/>
              </w:rPr>
              <w:t>55.2</w:t>
            </w:r>
          </w:p>
        </w:tc>
        <w:tc>
          <w:tcPr>
            <w:tcW w:type="dxa" w:w="1701"/>
          </w:tcPr>
          <w:p>
            <w:pPr>
              <w:spacing w:after="20"/>
              <w:jc w:val="right"/>
            </w:pPr>
            <w:r/>
            <w:r>
              <w:rPr>
                <w:b w:val="0"/>
                <w:i w:val="0"/>
                <w:sz w:val="17"/>
              </w:rPr>
              <w:t>44.4</w:t>
            </w:r>
          </w:p>
        </w:tc>
        <w:tc>
          <w:tcPr>
            <w:tcW w:type="dxa" w:w="1701"/>
          </w:tcPr>
          <w:p>
            <w:pPr>
              <w:spacing w:after="20"/>
              <w:jc w:val="right"/>
            </w:pPr>
            <w:r/>
            <w:r>
              <w:rPr>
                <w:b w:val="0"/>
                <w:i w:val="0"/>
                <w:sz w:val="17"/>
              </w:rPr>
              <w:t>-10.8</w:t>
            </w:r>
          </w:p>
        </w:tc>
      </w:tr>
      <w:tr>
        <w:trPr>
          <w:cantSplit/>
        </w:trPr>
        <w:tc>
          <w:tcPr>
            <w:tcW w:type="dxa" w:w="1134"/>
            <w:shd w:val="clear" w:color="auto" w:fill="EEF3F8"/>
          </w:tcPr>
          <w:p>
            <w:pPr>
              <w:spacing w:after="20"/>
            </w:pPr>
            <w:r/>
            <w:r>
              <w:rPr>
                <w:b w:val="0"/>
                <w:i w:val="0"/>
                <w:sz w:val="17"/>
              </w:rPr>
              <w:t>2030</w:t>
            </w:r>
          </w:p>
        </w:tc>
        <w:tc>
          <w:tcPr>
            <w:tcW w:type="dxa" w:w="2268"/>
            <w:shd w:val="clear" w:color="auto" w:fill="EEF3F8"/>
          </w:tcPr>
          <w:p>
            <w:pPr>
              <w:spacing w:after="20"/>
              <w:jc w:val="right"/>
            </w:pPr>
            <w:r/>
            <w:r>
              <w:rPr>
                <w:b w:val="0"/>
                <w:i w:val="0"/>
                <w:sz w:val="17"/>
              </w:rPr>
              <w:t>648</w:t>
            </w:r>
          </w:p>
        </w:tc>
        <w:tc>
          <w:tcPr>
            <w:tcW w:type="dxa" w:w="2268"/>
            <w:shd w:val="clear" w:color="auto" w:fill="EEF3F8"/>
          </w:tcPr>
          <w:p>
            <w:pPr>
              <w:spacing w:after="20"/>
              <w:jc w:val="right"/>
            </w:pPr>
            <w:r/>
            <w:r>
              <w:rPr>
                <w:b w:val="0"/>
                <w:i w:val="0"/>
                <w:sz w:val="17"/>
              </w:rPr>
              <w:t>58.4</w:t>
            </w:r>
          </w:p>
        </w:tc>
        <w:tc>
          <w:tcPr>
            <w:tcW w:type="dxa" w:w="1701"/>
            <w:shd w:val="clear" w:color="auto" w:fill="EEF3F8"/>
          </w:tcPr>
          <w:p>
            <w:pPr>
              <w:spacing w:after="20"/>
              <w:jc w:val="right"/>
            </w:pPr>
            <w:r/>
            <w:r>
              <w:rPr>
                <w:b w:val="0"/>
                <w:i w:val="0"/>
                <w:sz w:val="17"/>
              </w:rPr>
              <w:t>44.4</w:t>
            </w:r>
          </w:p>
        </w:tc>
        <w:tc>
          <w:tcPr>
            <w:tcW w:type="dxa" w:w="1701"/>
            <w:shd w:val="clear" w:color="auto" w:fill="EEF3F8"/>
          </w:tcPr>
          <w:p>
            <w:pPr>
              <w:spacing w:after="20"/>
              <w:jc w:val="right"/>
            </w:pPr>
            <w:r/>
            <w:r>
              <w:rPr>
                <w:b w:val="0"/>
                <w:i w:val="0"/>
                <w:sz w:val="17"/>
              </w:rPr>
              <w:t>-14.0</w:t>
            </w:r>
          </w:p>
        </w:tc>
      </w:tr>
    </w:tbl>
    <w:p>
      <w:r>
        <w:rPr>
          <w:i/>
          <w:sz w:val="16"/>
        </w:rPr>
        <w:t>Installed capacity as at March 2025 (PDP). The 10 kt Lake Gas facility, expected by June 2025 in the PDP, is not in the 44.4 kt; its commissioning status was not verified.</w:t>
      </w:r>
    </w:p>
    <w:p>
      <w:pPr>
        <w:jc w:val="center"/>
      </w:pPr>
      <w:r>
        <w:drawing>
          <wp:inline xmlns:a="http://schemas.openxmlformats.org/drawingml/2006/main" xmlns:pic="http://schemas.openxmlformats.org/drawingml/2006/picture">
            <wp:extent cx="5220000" cy="2227200"/>
            <wp:docPr id="10" name="Picture 10"/>
            <wp:cNvGraphicFramePr>
              <a:graphicFrameLocks noChangeAspect="1"/>
            </wp:cNvGraphicFramePr>
            <a:graphic>
              <a:graphicData uri="http://schemas.openxmlformats.org/drawingml/2006/picture">
                <pic:pic>
                  <pic:nvPicPr>
                    <pic:cNvPr id="0" name="f7_lpg_storage.png"/>
                    <pic:cNvPicPr/>
                  </pic:nvPicPr>
                  <pic:blipFill>
                    <a:blip r:embed="rId19"/>
                    <a:stretch>
                      <a:fillRect/>
                    </a:stretch>
                  </pic:blipFill>
                  <pic:spPr>
                    <a:xfrm>
                      <a:off x="0" y="0"/>
                      <a:ext cx="5220000" cy="2227200"/>
                    </a:xfrm>
                    <a:prstGeom prst="rect"/>
                  </pic:spPr>
                </pic:pic>
              </a:graphicData>
            </a:graphic>
          </wp:inline>
        </w:drawing>
      </w:r>
    </w:p>
    <w:p>
      <w:pPr>
        <w:jc w:val="center"/>
      </w:pPr>
      <w:r>
        <w:rPr>
          <w:i/>
          <w:sz w:val="17"/>
        </w:rPr>
        <w:t>Figure 10. Required LPG storage by scenario against installed capacity.</w:t>
      </w:r>
    </w:p>
    <w:p>
      <w:r>
        <w:rPr>
          <w:b w:val="0"/>
          <w:i w:val="0"/>
        </w:rPr>
        <w:t>Baseline demand overtakes installed LPG storage in 2026 (−1.0 kt) and the shortfall reaches 10.8 kt in 2029 (EPRA’s own estimate is +8.7 kt needed by 2029 because its demand base was lower). If Lake Gas is operating, headroom is about +9 kt in 2026 but turns negative again in 2029 (−0.8 kt). By 2030 the shortfall is 14 kt in the baseline (without Lake Gas). The PDP also flags rail-linked secondary storage (10 kt at Nairobi) and a 30 kt PPP project at KPRL as responses. LPG’s overall policy importance, +14.7% a year with a clean-cooking mandate, makes this the clearest investment gap.</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3402"/>
            <w:shd w:val="clear" w:color="auto" w:fill="1F4E79"/>
          </w:tcPr>
          <w:p>
            <w:pPr>
              <w:spacing w:after="20"/>
            </w:pPr>
            <w:r/>
            <w:r>
              <w:rPr>
                <w:b/>
                <w:color w:val="FFFFFF"/>
                <w:sz w:val="17"/>
              </w:rPr>
              <w:t>LPG headroom (kt), no new capacity</w:t>
            </w:r>
          </w:p>
        </w:tc>
        <w:tc>
          <w:tcPr>
            <w:tcW w:type="dxa" w:w="1701"/>
            <w:shd w:val="clear" w:color="auto" w:fill="1F4E79"/>
          </w:tcPr>
          <w:p>
            <w:pPr>
              <w:spacing w:after="20"/>
            </w:pPr>
            <w:r/>
            <w:r>
              <w:rPr>
                <w:b/>
                <w:color w:val="FFFFFF"/>
                <w:sz w:val="17"/>
              </w:rPr>
              <w:t>2026</w:t>
            </w:r>
          </w:p>
        </w:tc>
        <w:tc>
          <w:tcPr>
            <w:tcW w:type="dxa" w:w="1701"/>
            <w:shd w:val="clear" w:color="auto" w:fill="1F4E79"/>
          </w:tcPr>
          <w:p>
            <w:pPr>
              <w:spacing w:after="20"/>
            </w:pPr>
            <w:r/>
            <w:r>
              <w:rPr>
                <w:b/>
                <w:color w:val="FFFFFF"/>
                <w:sz w:val="17"/>
              </w:rPr>
              <w:t>2028</w:t>
            </w:r>
          </w:p>
        </w:tc>
        <w:tc>
          <w:tcPr>
            <w:tcW w:type="dxa" w:w="1701"/>
            <w:shd w:val="clear" w:color="auto" w:fill="1F4E79"/>
          </w:tcPr>
          <w:p>
            <w:pPr>
              <w:spacing w:after="20"/>
            </w:pPr>
            <w:r/>
            <w:r>
              <w:rPr>
                <w:b/>
                <w:color w:val="FFFFFF"/>
                <w:sz w:val="17"/>
              </w:rPr>
              <w:t>2030</w:t>
            </w:r>
          </w:p>
        </w:tc>
      </w:tr>
      <w:tr>
        <w:trPr>
          <w:cantSplit/>
        </w:trPr>
        <w:tc>
          <w:tcPr>
            <w:tcW w:type="dxa" w:w="3402"/>
          </w:tcPr>
          <w:p>
            <w:pPr>
              <w:spacing w:after="20"/>
            </w:pPr>
            <w:r/>
            <w:r>
              <w:rPr>
                <w:b w:val="0"/>
                <w:i w:val="0"/>
                <w:sz w:val="17"/>
              </w:rPr>
              <w:t>Low-demand</w:t>
            </w:r>
          </w:p>
        </w:tc>
        <w:tc>
          <w:tcPr>
            <w:tcW w:type="dxa" w:w="1701"/>
          </w:tcPr>
          <w:p>
            <w:pPr>
              <w:spacing w:after="20"/>
              <w:jc w:val="right"/>
            </w:pPr>
            <w:r/>
            <w:r>
              <w:rPr>
                <w:b w:val="0"/>
                <w:i w:val="0"/>
                <w:sz w:val="17"/>
              </w:rPr>
              <w:t>+0.0</w:t>
            </w:r>
          </w:p>
        </w:tc>
        <w:tc>
          <w:tcPr>
            <w:tcW w:type="dxa" w:w="1701"/>
          </w:tcPr>
          <w:p>
            <w:pPr>
              <w:spacing w:after="20"/>
              <w:jc w:val="right"/>
            </w:pPr>
            <w:r/>
            <w:r>
              <w:rPr>
                <w:b w:val="0"/>
                <w:i w:val="0"/>
                <w:sz w:val="17"/>
              </w:rPr>
              <w:t>-4.4</w:t>
            </w:r>
          </w:p>
        </w:tc>
        <w:tc>
          <w:tcPr>
            <w:tcW w:type="dxa" w:w="1701"/>
          </w:tcPr>
          <w:p>
            <w:pPr>
              <w:spacing w:after="20"/>
              <w:jc w:val="right"/>
            </w:pPr>
            <w:r/>
            <w:r>
              <w:rPr>
                <w:b w:val="0"/>
                <w:i w:val="0"/>
                <w:sz w:val="17"/>
              </w:rPr>
              <w:t>-10.2</w:t>
            </w:r>
          </w:p>
        </w:tc>
      </w:tr>
      <w:tr>
        <w:trPr>
          <w:cantSplit/>
        </w:trPr>
        <w:tc>
          <w:tcPr>
            <w:tcW w:type="dxa" w:w="3402"/>
            <w:shd w:val="clear" w:color="auto" w:fill="EEF3F8"/>
          </w:tcPr>
          <w:p>
            <w:pPr>
              <w:spacing w:after="20"/>
            </w:pPr>
            <w:r/>
            <w:r>
              <w:rPr>
                <w:b w:val="0"/>
                <w:i w:val="0"/>
                <w:sz w:val="17"/>
              </w:rPr>
              <w:t>Baseline</w:t>
            </w:r>
          </w:p>
        </w:tc>
        <w:tc>
          <w:tcPr>
            <w:tcW w:type="dxa" w:w="1701"/>
            <w:shd w:val="clear" w:color="auto" w:fill="EEF3F8"/>
          </w:tcPr>
          <w:p>
            <w:pPr>
              <w:spacing w:after="20"/>
              <w:jc w:val="right"/>
            </w:pPr>
            <w:r/>
            <w:r>
              <w:rPr>
                <w:b w:val="0"/>
                <w:i w:val="0"/>
                <w:sz w:val="17"/>
              </w:rPr>
              <w:t>-1.0</w:t>
            </w:r>
          </w:p>
        </w:tc>
        <w:tc>
          <w:tcPr>
            <w:tcW w:type="dxa" w:w="1701"/>
            <w:shd w:val="clear" w:color="auto" w:fill="EEF3F8"/>
          </w:tcPr>
          <w:p>
            <w:pPr>
              <w:spacing w:after="20"/>
              <w:jc w:val="right"/>
            </w:pPr>
            <w:r/>
            <w:r>
              <w:rPr>
                <w:b w:val="0"/>
                <w:i w:val="0"/>
                <w:sz w:val="17"/>
              </w:rPr>
              <w:t>-7.0</w:t>
            </w:r>
          </w:p>
        </w:tc>
        <w:tc>
          <w:tcPr>
            <w:tcW w:type="dxa" w:w="1701"/>
            <w:shd w:val="clear" w:color="auto" w:fill="EEF3F8"/>
          </w:tcPr>
          <w:p>
            <w:pPr>
              <w:spacing w:after="20"/>
              <w:jc w:val="right"/>
            </w:pPr>
            <w:r/>
            <w:r>
              <w:rPr>
                <w:b w:val="0"/>
                <w:i w:val="0"/>
                <w:sz w:val="17"/>
              </w:rPr>
              <w:t>-14.0</w:t>
            </w:r>
          </w:p>
        </w:tc>
      </w:tr>
      <w:tr>
        <w:trPr>
          <w:cantSplit/>
        </w:trPr>
        <w:tc>
          <w:tcPr>
            <w:tcW w:type="dxa" w:w="3402"/>
          </w:tcPr>
          <w:p>
            <w:pPr>
              <w:spacing w:after="20"/>
            </w:pPr>
            <w:r/>
            <w:r>
              <w:rPr>
                <w:b w:val="0"/>
                <w:i w:val="0"/>
                <w:sz w:val="17"/>
              </w:rPr>
              <w:t>High-demand</w:t>
            </w:r>
          </w:p>
        </w:tc>
        <w:tc>
          <w:tcPr>
            <w:tcW w:type="dxa" w:w="1701"/>
          </w:tcPr>
          <w:p>
            <w:pPr>
              <w:spacing w:after="20"/>
              <w:jc w:val="right"/>
            </w:pPr>
            <w:r/>
            <w:r>
              <w:rPr>
                <w:b w:val="0"/>
                <w:i w:val="0"/>
                <w:sz w:val="17"/>
              </w:rPr>
              <w:t>-1.9</w:t>
            </w:r>
          </w:p>
        </w:tc>
        <w:tc>
          <w:tcPr>
            <w:tcW w:type="dxa" w:w="1701"/>
          </w:tcPr>
          <w:p>
            <w:pPr>
              <w:spacing w:after="20"/>
              <w:jc w:val="right"/>
            </w:pPr>
            <w:r/>
            <w:r>
              <w:rPr>
                <w:b w:val="0"/>
                <w:i w:val="0"/>
                <w:sz w:val="17"/>
              </w:rPr>
              <w:t>-10.1</w:t>
            </w:r>
          </w:p>
        </w:tc>
        <w:tc>
          <w:tcPr>
            <w:tcW w:type="dxa" w:w="1701"/>
          </w:tcPr>
          <w:p>
            <w:pPr>
              <w:spacing w:after="20"/>
              <w:jc w:val="right"/>
            </w:pPr>
            <w:r/>
            <w:r>
              <w:rPr>
                <w:b w:val="0"/>
                <w:i w:val="0"/>
                <w:sz w:val="17"/>
              </w:rPr>
              <w:t>-19.1</w:t>
            </w:r>
          </w:p>
        </w:tc>
      </w:tr>
    </w:tbl>
    <w:p>
      <w:pPr>
        <w:spacing w:after="40"/>
      </w:pPr>
    </w:p>
    <w:p>
      <w:pPr>
        <w:pStyle w:val="Heading2"/>
      </w:pPr>
      <w:r>
        <w:t>11.1 Infrastructure summary</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2551"/>
            <w:shd w:val="clear" w:color="auto" w:fill="1F4E79"/>
          </w:tcPr>
          <w:p>
            <w:pPr>
              <w:spacing w:after="20"/>
            </w:pPr>
            <w:r/>
            <w:r>
              <w:rPr>
                <w:b/>
                <w:color w:val="FFFFFF"/>
                <w:sz w:val="17"/>
              </w:rPr>
              <w:t>Element</w:t>
            </w:r>
          </w:p>
        </w:tc>
        <w:tc>
          <w:tcPr>
            <w:tcW w:type="dxa" w:w="2551"/>
            <w:shd w:val="clear" w:color="auto" w:fill="1F4E79"/>
          </w:tcPr>
          <w:p>
            <w:pPr>
              <w:spacing w:after="20"/>
            </w:pPr>
            <w:r/>
            <w:r>
              <w:rPr>
                <w:b/>
                <w:color w:val="FFFFFF"/>
                <w:sz w:val="17"/>
              </w:rPr>
              <w:t>Status (PDP, 2025)</w:t>
            </w:r>
          </w:p>
        </w:tc>
        <w:tc>
          <w:tcPr>
            <w:tcW w:type="dxa" w:w="4365"/>
            <w:shd w:val="clear" w:color="auto" w:fill="1F4E79"/>
          </w:tcPr>
          <w:p>
            <w:pPr>
              <w:spacing w:after="20"/>
            </w:pPr>
            <w:r/>
            <w:r>
              <w:rPr>
                <w:b/>
                <w:color w:val="FFFFFF"/>
                <w:sz w:val="17"/>
              </w:rPr>
              <w:t>Assessment in this report</w:t>
            </w:r>
          </w:p>
        </w:tc>
      </w:tr>
      <w:tr>
        <w:trPr>
          <w:cantSplit/>
        </w:trPr>
        <w:tc>
          <w:tcPr>
            <w:tcW w:type="dxa" w:w="2551"/>
          </w:tcPr>
          <w:p>
            <w:pPr>
              <w:spacing w:after="20"/>
            </w:pPr>
            <w:r/>
            <w:r>
              <w:rPr>
                <w:b w:val="0"/>
                <w:i w:val="0"/>
                <w:sz w:val="17"/>
              </w:rPr>
              <w:t>White-fuel tank capacity</w:t>
            </w:r>
          </w:p>
        </w:tc>
        <w:tc>
          <w:tcPr>
            <w:tcW w:type="dxa" w:w="2551"/>
          </w:tcPr>
          <w:p>
            <w:pPr>
              <w:spacing w:after="20"/>
            </w:pPr>
            <w:r/>
            <w:r>
              <w:rPr>
                <w:b w:val="0"/>
                <w:i w:val="0"/>
                <w:sz w:val="17"/>
              </w:rPr>
              <w:t>Adequate to 2029</w:t>
            </w:r>
          </w:p>
        </w:tc>
        <w:tc>
          <w:tcPr>
            <w:tcW w:type="dxa" w:w="4365"/>
          </w:tcPr>
          <w:p>
            <w:pPr>
              <w:spacing w:after="20"/>
            </w:pPr>
            <w:r/>
            <w:r>
              <w:rPr>
                <w:b w:val="0"/>
                <w:i w:val="0"/>
                <w:sz w:val="17"/>
              </w:rPr>
              <w:t>Adequate through 2035 even under high demand; the constraint is inventory ownership</w:t>
            </w:r>
          </w:p>
        </w:tc>
      </w:tr>
      <w:tr>
        <w:trPr>
          <w:cantSplit/>
        </w:trPr>
        <w:tc>
          <w:tcPr>
            <w:tcW w:type="dxa" w:w="2551"/>
            <w:shd w:val="clear" w:color="auto" w:fill="EEF3F8"/>
          </w:tcPr>
          <w:p>
            <w:pPr>
              <w:spacing w:after="20"/>
            </w:pPr>
            <w:r/>
            <w:r>
              <w:rPr>
                <w:b w:val="0"/>
                <w:i w:val="0"/>
                <w:sz w:val="17"/>
              </w:rPr>
              <w:t>KPC Lines 2 and 3</w:t>
            </w:r>
          </w:p>
        </w:tc>
        <w:tc>
          <w:tcPr>
            <w:tcW w:type="dxa" w:w="2551"/>
            <w:shd w:val="clear" w:color="auto" w:fill="EEF3F8"/>
          </w:tcPr>
          <w:p>
            <w:pPr>
              <w:spacing w:after="20"/>
            </w:pPr>
            <w:r/>
            <w:r>
              <w:rPr>
                <w:b w:val="0"/>
                <w:i w:val="0"/>
                <w:sz w:val="17"/>
              </w:rPr>
              <w:t>At maximum utilisation</w:t>
            </w:r>
          </w:p>
        </w:tc>
        <w:tc>
          <w:tcPr>
            <w:tcW w:type="dxa" w:w="4365"/>
            <w:shd w:val="clear" w:color="auto" w:fill="EEF3F8"/>
          </w:tcPr>
          <w:p>
            <w:pPr>
              <w:spacing w:after="20"/>
            </w:pPr>
            <w:r/>
            <w:r>
              <w:rPr>
                <w:b w:val="0"/>
                <w:i w:val="0"/>
                <w:sz w:val="17"/>
              </w:rPr>
              <w:t>Throughput risk if demand follows the high case; Line 7 and Sinendet–Kisumu timing matter</w:t>
            </w:r>
          </w:p>
        </w:tc>
      </w:tr>
      <w:tr>
        <w:trPr>
          <w:cantSplit/>
        </w:trPr>
        <w:tc>
          <w:tcPr>
            <w:tcW w:type="dxa" w:w="2551"/>
          </w:tcPr>
          <w:p>
            <w:pPr>
              <w:spacing w:after="20"/>
            </w:pPr>
            <w:r/>
            <w:r>
              <w:rPr>
                <w:b w:val="0"/>
                <w:i w:val="0"/>
                <w:sz w:val="17"/>
              </w:rPr>
              <w:t>Line 5 upgrade, Line 7 (2028)</w:t>
            </w:r>
          </w:p>
        </w:tc>
        <w:tc>
          <w:tcPr>
            <w:tcW w:type="dxa" w:w="2551"/>
          </w:tcPr>
          <w:p>
            <w:pPr>
              <w:spacing w:after="20"/>
            </w:pPr>
            <w:r/>
            <w:r>
              <w:rPr>
                <w:b w:val="0"/>
                <w:i w:val="0"/>
                <w:sz w:val="17"/>
              </w:rPr>
              <w:t>Planned</w:t>
            </w:r>
          </w:p>
        </w:tc>
        <w:tc>
          <w:tcPr>
            <w:tcW w:type="dxa" w:w="4365"/>
          </w:tcPr>
          <w:p>
            <w:pPr>
              <w:spacing w:after="20"/>
            </w:pPr>
            <w:r/>
            <w:r>
              <w:rPr>
                <w:b w:val="0"/>
                <w:i w:val="0"/>
                <w:sz w:val="17"/>
              </w:rPr>
              <w:t>Supported by demand growth in all scenarios</w:t>
            </w:r>
          </w:p>
        </w:tc>
      </w:tr>
      <w:tr>
        <w:trPr>
          <w:cantSplit/>
        </w:trPr>
        <w:tc>
          <w:tcPr>
            <w:tcW w:type="dxa" w:w="2551"/>
            <w:shd w:val="clear" w:color="auto" w:fill="EEF3F8"/>
          </w:tcPr>
          <w:p>
            <w:pPr>
              <w:spacing w:after="20"/>
            </w:pPr>
            <w:r/>
            <w:r>
              <w:rPr>
                <w:b w:val="0"/>
                <w:i w:val="0"/>
                <w:sz w:val="17"/>
              </w:rPr>
              <w:t>LPG import/storage</w:t>
            </w:r>
          </w:p>
        </w:tc>
        <w:tc>
          <w:tcPr>
            <w:tcW w:type="dxa" w:w="2551"/>
            <w:shd w:val="clear" w:color="auto" w:fill="EEF3F8"/>
          </w:tcPr>
          <w:p>
            <w:pPr>
              <w:spacing w:after="20"/>
            </w:pPr>
            <w:r/>
            <w:r>
              <w:rPr>
                <w:b w:val="0"/>
                <w:i w:val="0"/>
                <w:sz w:val="17"/>
              </w:rPr>
              <w:t>44.4 kt; ~4 kt spare in 2025</w:t>
            </w:r>
          </w:p>
        </w:tc>
        <w:tc>
          <w:tcPr>
            <w:tcW w:type="dxa" w:w="4365"/>
            <w:shd w:val="clear" w:color="auto" w:fill="EEF3F8"/>
          </w:tcPr>
          <w:p>
            <w:pPr>
              <w:spacing w:after="20"/>
            </w:pPr>
            <w:r/>
            <w:r>
              <w:rPr>
                <w:b w:val="0"/>
                <w:i w:val="0"/>
                <w:sz w:val="17"/>
              </w:rPr>
              <w:t>Short from 2026 in the baseline; urgent</w:t>
            </w:r>
          </w:p>
        </w:tc>
      </w:tr>
      <w:tr>
        <w:trPr>
          <w:cantSplit/>
        </w:trPr>
        <w:tc>
          <w:tcPr>
            <w:tcW w:type="dxa" w:w="2551"/>
          </w:tcPr>
          <w:p>
            <w:pPr>
              <w:spacing w:after="20"/>
            </w:pPr>
            <w:r/>
            <w:r>
              <w:rPr>
                <w:b w:val="0"/>
                <w:i w:val="0"/>
                <w:sz w:val="17"/>
              </w:rPr>
              <w:t>Strategic reserve</w:t>
            </w:r>
          </w:p>
        </w:tc>
        <w:tc>
          <w:tcPr>
            <w:tcW w:type="dxa" w:w="2551"/>
          </w:tcPr>
          <w:p>
            <w:pPr>
              <w:spacing w:after="20"/>
            </w:pPr>
            <w:r/>
            <w:r>
              <w:rPr>
                <w:b w:val="0"/>
                <w:i w:val="0"/>
                <w:sz w:val="17"/>
              </w:rPr>
              <w:t>15 days operational only in practice</w:t>
            </w:r>
          </w:p>
        </w:tc>
        <w:tc>
          <w:tcPr>
            <w:tcW w:type="dxa" w:w="4365"/>
          </w:tcPr>
          <w:p>
            <w:pPr>
              <w:spacing w:after="20"/>
            </w:pPr>
            <w:r/>
            <w:r>
              <w:rPr>
                <w:b w:val="0"/>
                <w:i w:val="0"/>
                <w:sz w:val="17"/>
              </w:rPr>
              <w:t>Policy and financing gap, not a physical one</w:t>
            </w:r>
          </w:p>
        </w:tc>
      </w:tr>
    </w:tbl>
    <w:p>
      <w:pPr>
        <w:spacing w:after="40"/>
      </w:pPr>
    </w:p>
    <w:p>
      <w:pPr>
        <w:pStyle w:val="Heading1"/>
      </w:pPr>
      <w:r>
        <w:t>12. Upstream project economics: South Lokichar (illustrative)</w:t>
      </w:r>
    </w:p>
    <w:tbl>
      <w:tblPr>
        <w:tblStyle w:val="TableGrid"/>
        <w:tblW w:type="auto" w:w="0"/>
        <w:tblLook w:firstColumn="1" w:firstRow="1" w:lastColumn="0" w:lastRow="0" w:noHBand="0" w:noVBand="1" w:val="04A0"/>
      </w:tblPr>
      <w:tblGrid>
        <w:gridCol w:w="9412"/>
      </w:tblGrid>
      <w:tr>
        <w:tc>
          <w:tcPr>
            <w:tcW w:type="dxa" w:w="9412"/>
            <w:shd w:val="clear" w:color="auto" w:fill="FFF4E5"/>
          </w:tcPr>
          <w:p>
            <w:r/>
            <w:r>
              <w:rPr>
                <w:b/>
                <w:i w:val="0"/>
                <w:sz w:val="19"/>
              </w:rPr>
              <w:t>Important.</w:t>
            </w:r>
            <w:r>
              <w:rPr>
                <w:b w:val="0"/>
                <w:i w:val="0"/>
                <w:sz w:val="19"/>
              </w:rPr>
              <w:t xml:space="preserve"> This is a public-information scenario model. Headline facts are from press reports: Gulf Energy’s US$6 bn investment commitment, 60,000–100,000 barrels/day early production, about 560 million barrels recoverable, first oil targeted for December 2026, and reported tax exemptions and enhanced cost-recovery terms. </w:t>
            </w:r>
            <w:r>
              <w:rPr>
                <w:b/>
                <w:i w:val="0"/>
                <w:sz w:val="19"/>
              </w:rPr>
              <w:t>Costs, fiscal terms, decline rates and the production profile below are the author’s assumptions, not official or confidential project economics.</w:t>
            </w:r>
            <w:r>
              <w:rPr>
                <w:b w:val="0"/>
                <w:i w:val="0"/>
                <w:sz w:val="19"/>
              </w:rPr>
              <w:t xml:space="preserve"> Progress against the December 2026 target could not be verified. An earlier document’s reference to 20 and 50 kbpd phases conflicts with press reports and was not used.</w:t>
            </w:r>
          </w:p>
        </w:tc>
      </w:tr>
    </w:tbl>
    <w:p>
      <w:pPr>
        <w:spacing w:after="40"/>
      </w:pP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2835"/>
            <w:shd w:val="clear" w:color="auto" w:fill="1F4E79"/>
          </w:tcPr>
          <w:p>
            <w:pPr>
              <w:spacing w:after="20"/>
            </w:pPr>
            <w:r/>
            <w:r>
              <w:rPr>
                <w:b/>
                <w:color w:val="FFFFFF"/>
                <w:sz w:val="17"/>
              </w:rPr>
              <w:t>Assumption</w:t>
            </w:r>
          </w:p>
        </w:tc>
        <w:tc>
          <w:tcPr>
            <w:tcW w:type="dxa" w:w="6520"/>
            <w:shd w:val="clear" w:color="auto" w:fill="1F4E79"/>
          </w:tcPr>
          <w:p>
            <w:pPr>
              <w:spacing w:after="20"/>
            </w:pPr>
            <w:r/>
            <w:r>
              <w:rPr>
                <w:b/>
                <w:color w:val="FFFFFF"/>
                <w:sz w:val="17"/>
              </w:rPr>
              <w:t>Base value</w:t>
            </w:r>
          </w:p>
        </w:tc>
      </w:tr>
      <w:tr>
        <w:trPr>
          <w:cantSplit/>
        </w:trPr>
        <w:tc>
          <w:tcPr>
            <w:tcW w:type="dxa" w:w="2835"/>
          </w:tcPr>
          <w:p>
            <w:pPr>
              <w:spacing w:after="20"/>
            </w:pPr>
            <w:r/>
            <w:r>
              <w:rPr>
                <w:b w:val="0"/>
                <w:i w:val="0"/>
                <w:sz w:val="17"/>
              </w:rPr>
              <w:t>Brent (real, flat)</w:t>
            </w:r>
          </w:p>
        </w:tc>
        <w:tc>
          <w:tcPr>
            <w:tcW w:type="dxa" w:w="6520"/>
          </w:tcPr>
          <w:p>
            <w:pPr>
              <w:spacing w:after="20"/>
            </w:pPr>
            <w:r/>
            <w:r>
              <w:rPr>
                <w:b w:val="0"/>
                <w:i w:val="0"/>
                <w:sz w:val="17"/>
              </w:rPr>
              <w:t>US$70/bbl</w:t>
            </w:r>
          </w:p>
        </w:tc>
      </w:tr>
      <w:tr>
        <w:trPr>
          <w:cantSplit/>
        </w:trPr>
        <w:tc>
          <w:tcPr>
            <w:tcW w:type="dxa" w:w="2835"/>
            <w:shd w:val="clear" w:color="auto" w:fill="EEF3F8"/>
          </w:tcPr>
          <w:p>
            <w:pPr>
              <w:spacing w:after="20"/>
            </w:pPr>
            <w:r/>
            <w:r>
              <w:rPr>
                <w:b w:val="0"/>
                <w:i w:val="0"/>
                <w:sz w:val="17"/>
              </w:rPr>
              <w:t>Crude differential to Brent</w:t>
            </w:r>
          </w:p>
        </w:tc>
        <w:tc>
          <w:tcPr>
            <w:tcW w:type="dxa" w:w="6520"/>
            <w:shd w:val="clear" w:color="auto" w:fill="EEF3F8"/>
          </w:tcPr>
          <w:p>
            <w:pPr>
              <w:spacing w:after="20"/>
            </w:pPr>
            <w:r/>
            <w:r>
              <w:rPr>
                <w:b w:val="0"/>
                <w:i w:val="0"/>
                <w:sz w:val="17"/>
              </w:rPr>
              <w:t>US$6/bbl</w:t>
            </w:r>
          </w:p>
        </w:tc>
      </w:tr>
      <w:tr>
        <w:trPr>
          <w:cantSplit/>
        </w:trPr>
        <w:tc>
          <w:tcPr>
            <w:tcW w:type="dxa" w:w="2835"/>
          </w:tcPr>
          <w:p>
            <w:pPr>
              <w:spacing w:after="20"/>
            </w:pPr>
            <w:r/>
            <w:r>
              <w:rPr>
                <w:b w:val="0"/>
                <w:i w:val="0"/>
                <w:sz w:val="17"/>
              </w:rPr>
              <w:t>Plateau production</w:t>
            </w:r>
          </w:p>
        </w:tc>
        <w:tc>
          <w:tcPr>
            <w:tcW w:type="dxa" w:w="6520"/>
          </w:tcPr>
          <w:p>
            <w:pPr>
              <w:spacing w:after="20"/>
            </w:pPr>
            <w:r/>
            <w:r>
              <w:rPr>
                <w:b w:val="0"/>
                <w:i w:val="0"/>
                <w:sz w:val="17"/>
              </w:rPr>
              <w:t>60 kbpd, 2029–2037 (ramp 33% / 66% in 2027 / 2028)</w:t>
            </w:r>
          </w:p>
        </w:tc>
      </w:tr>
      <w:tr>
        <w:trPr>
          <w:cantSplit/>
        </w:trPr>
        <w:tc>
          <w:tcPr>
            <w:tcW w:type="dxa" w:w="2835"/>
            <w:shd w:val="clear" w:color="auto" w:fill="EEF3F8"/>
          </w:tcPr>
          <w:p>
            <w:pPr>
              <w:spacing w:after="20"/>
            </w:pPr>
            <w:r/>
            <w:r>
              <w:rPr>
                <w:b w:val="0"/>
                <w:i w:val="0"/>
                <w:sz w:val="17"/>
              </w:rPr>
              <w:t>Decline after plateau</w:t>
            </w:r>
          </w:p>
        </w:tc>
        <w:tc>
          <w:tcPr>
            <w:tcW w:type="dxa" w:w="6520"/>
            <w:shd w:val="clear" w:color="auto" w:fill="EEF3F8"/>
          </w:tcPr>
          <w:p>
            <w:pPr>
              <w:spacing w:after="20"/>
            </w:pPr>
            <w:r/>
            <w:r>
              <w:rPr>
                <w:b w:val="0"/>
                <w:i w:val="0"/>
                <w:sz w:val="17"/>
              </w:rPr>
              <w:t>10% a year; capped at 560 mmbbl; economic limit applied</w:t>
            </w:r>
          </w:p>
        </w:tc>
      </w:tr>
      <w:tr>
        <w:trPr>
          <w:cantSplit/>
        </w:trPr>
        <w:tc>
          <w:tcPr>
            <w:tcW w:type="dxa" w:w="2835"/>
          </w:tcPr>
          <w:p>
            <w:pPr>
              <w:spacing w:after="20"/>
            </w:pPr>
            <w:r/>
            <w:r>
              <w:rPr>
                <w:b w:val="0"/>
                <w:i w:val="0"/>
                <w:sz w:val="17"/>
              </w:rPr>
              <w:t>Capex</w:t>
            </w:r>
          </w:p>
        </w:tc>
        <w:tc>
          <w:tcPr>
            <w:tcW w:type="dxa" w:w="6520"/>
          </w:tcPr>
          <w:p>
            <w:pPr>
              <w:spacing w:after="20"/>
            </w:pPr>
            <w:r/>
            <w:r>
              <w:rPr>
                <w:b w:val="0"/>
                <w:i w:val="0"/>
                <w:sz w:val="17"/>
              </w:rPr>
              <w:t>US$6.0 bn, phased 15/35/30/20% over 2026–29; abandonment 3% of capex</w:t>
            </w:r>
          </w:p>
        </w:tc>
      </w:tr>
      <w:tr>
        <w:trPr>
          <w:cantSplit/>
        </w:trPr>
        <w:tc>
          <w:tcPr>
            <w:tcW w:type="dxa" w:w="2835"/>
            <w:shd w:val="clear" w:color="auto" w:fill="EEF3F8"/>
          </w:tcPr>
          <w:p>
            <w:pPr>
              <w:spacing w:after="20"/>
            </w:pPr>
            <w:r/>
            <w:r>
              <w:rPr>
                <w:b w:val="0"/>
                <w:i w:val="0"/>
                <w:sz w:val="17"/>
              </w:rPr>
              <w:t>Opex + transport tariff</w:t>
            </w:r>
          </w:p>
        </w:tc>
        <w:tc>
          <w:tcPr>
            <w:tcW w:type="dxa" w:w="6520"/>
            <w:shd w:val="clear" w:color="auto" w:fill="EEF3F8"/>
          </w:tcPr>
          <w:p>
            <w:pPr>
              <w:spacing w:after="20"/>
            </w:pPr>
            <w:r/>
            <w:r>
              <w:rPr>
                <w:b w:val="0"/>
                <w:i w:val="0"/>
                <w:sz w:val="17"/>
              </w:rPr>
              <w:t>US$12 + US$9 per barrel</w:t>
            </w:r>
          </w:p>
        </w:tc>
      </w:tr>
      <w:tr>
        <w:trPr>
          <w:cantSplit/>
        </w:trPr>
        <w:tc>
          <w:tcPr>
            <w:tcW w:type="dxa" w:w="2835"/>
          </w:tcPr>
          <w:p>
            <w:pPr>
              <w:spacing w:after="20"/>
            </w:pPr>
            <w:r/>
            <w:r>
              <w:rPr>
                <w:b w:val="0"/>
                <w:i w:val="0"/>
                <w:sz w:val="17"/>
              </w:rPr>
              <w:t>Discount rate (real)</w:t>
            </w:r>
          </w:p>
        </w:tc>
        <w:tc>
          <w:tcPr>
            <w:tcW w:type="dxa" w:w="6520"/>
          </w:tcPr>
          <w:p>
            <w:pPr>
              <w:spacing w:after="20"/>
              <w:jc w:val="right"/>
            </w:pPr>
            <w:r/>
            <w:r>
              <w:rPr>
                <w:b w:val="0"/>
                <w:i w:val="0"/>
                <w:sz w:val="17"/>
              </w:rPr>
              <w:t>10%</w:t>
            </w:r>
          </w:p>
        </w:tc>
      </w:tr>
      <w:tr>
        <w:trPr>
          <w:cantSplit/>
        </w:trPr>
        <w:tc>
          <w:tcPr>
            <w:tcW w:type="dxa" w:w="2835"/>
            <w:shd w:val="clear" w:color="auto" w:fill="EEF3F8"/>
          </w:tcPr>
          <w:p>
            <w:pPr>
              <w:spacing w:after="20"/>
            </w:pPr>
            <w:r/>
            <w:r>
              <w:rPr>
                <w:b w:val="0"/>
                <w:i w:val="0"/>
                <w:sz w:val="17"/>
              </w:rPr>
              <w:t>Fiscal case A</w:t>
            </w:r>
          </w:p>
        </w:tc>
        <w:tc>
          <w:tcPr>
            <w:tcW w:type="dxa" w:w="6520"/>
            <w:shd w:val="clear" w:color="auto" w:fill="EEF3F8"/>
          </w:tcPr>
          <w:p>
            <w:pPr>
              <w:spacing w:after="20"/>
            </w:pPr>
            <w:r/>
            <w:r>
              <w:rPr>
                <w:b w:val="0"/>
                <w:i w:val="0"/>
                <w:sz w:val="17"/>
              </w:rPr>
              <w:t>Royalty 10%; cost recovery cap 60% of net revenue; government profit-oil share 50%; no corporate tax</w:t>
            </w:r>
          </w:p>
        </w:tc>
      </w:tr>
      <w:tr>
        <w:trPr>
          <w:cantSplit/>
        </w:trPr>
        <w:tc>
          <w:tcPr>
            <w:tcW w:type="dxa" w:w="2835"/>
          </w:tcPr>
          <w:p>
            <w:pPr>
              <w:spacing w:after="20"/>
            </w:pPr>
            <w:r/>
            <w:r>
              <w:rPr>
                <w:b w:val="0"/>
                <w:i w:val="0"/>
                <w:sz w:val="17"/>
              </w:rPr>
              <w:t>Fiscal case B</w:t>
            </w:r>
          </w:p>
        </w:tc>
        <w:tc>
          <w:tcPr>
            <w:tcW w:type="dxa" w:w="6520"/>
          </w:tcPr>
          <w:p>
            <w:pPr>
              <w:spacing w:after="20"/>
            </w:pPr>
            <w:r/>
            <w:r>
              <w:rPr>
                <w:b w:val="0"/>
                <w:i w:val="0"/>
                <w:sz w:val="17"/>
              </w:rPr>
              <w:t>Royalty 10%; cap 80%; government share 35%; no corporate tax</w:t>
            </w:r>
          </w:p>
        </w:tc>
      </w:tr>
    </w:tbl>
    <w:p>
      <w:pPr>
        <w:spacing w:after="40"/>
      </w:pPr>
    </w:p>
    <w:p>
      <w:r>
        <w:rPr>
          <w:b/>
          <w:i w:val="0"/>
        </w:rPr>
        <w:t>Base case results.</w:t>
      </w:r>
      <w:r>
        <w:rPr>
          <w:b w:val="0"/>
          <w:i w:val="0"/>
        </w:rPr>
        <w:t xml:space="preserve"> Project (pre-fiscal) NPV10 </w:t>
      </w:r>
      <w:r>
        <w:rPr>
          <w:b/>
          <w:i w:val="0"/>
        </w:rPr>
        <w:t>US$1.55 bn</w:t>
      </w:r>
      <w:r>
        <w:rPr>
          <w:b w:val="0"/>
          <w:i w:val="0"/>
        </w:rPr>
        <w:t xml:space="preserve">, IRR </w:t>
      </w:r>
      <w:r>
        <w:rPr>
          <w:b/>
          <w:i w:val="0"/>
        </w:rPr>
        <w:t>15%</w:t>
      </w:r>
      <w:r>
        <w:rPr>
          <w:b w:val="0"/>
          <w:i w:val="0"/>
        </w:rPr>
        <w:t xml:space="preserve">, payback in 2034, break-even Brent </w:t>
      </w:r>
      <w:r>
        <w:rPr>
          <w:b/>
          <w:i w:val="0"/>
        </w:rPr>
        <w:t>US$60/bbl</w:t>
      </w:r>
      <w:r>
        <w:rPr>
          <w:b w:val="0"/>
          <w:i w:val="0"/>
        </w:rPr>
        <w:t xml:space="preserve"> (project). Cumulative production 398 million barrels of the 560 million recoverable (the rest lies beyond the economic limit under a 10% decline). Government take (royalty plus profit oil, case A): NPV10 </w:t>
      </w:r>
      <w:r>
        <w:rPr>
          <w:b/>
          <w:i w:val="0"/>
        </w:rPr>
        <w:t>US$2.8 bn</w:t>
      </w:r>
      <w:r>
        <w:rPr>
          <w:b w:val="0"/>
          <w:i w:val="0"/>
        </w:rPr>
        <w:t xml:space="preserve">, US$7.1 bn undiscounted, about 64% of project net cash flow. Under case A the contractor’s NPV10 is </w:t>
      </w:r>
      <w:r>
        <w:rPr>
          <w:b/>
          <w:i w:val="0"/>
        </w:rPr>
        <w:t>negative (−US$1.3 bn)</w:t>
      </w:r>
      <w:r>
        <w:rPr>
          <w:b w:val="0"/>
          <w:i w:val="0"/>
        </w:rPr>
        <w:t xml:space="preserve"> at US$70, with a contractor break-even of </w:t>
      </w:r>
      <w:r>
        <w:rPr>
          <w:b/>
          <w:i w:val="0"/>
        </w:rPr>
        <w:t>US$82/bbl</w:t>
      </w:r>
      <w:r>
        <w:rPr>
          <w:b w:val="0"/>
          <w:i w:val="0"/>
        </w:rPr>
        <w:t xml:space="preserve">; under the more investor-friendly case B the break-even is </w:t>
      </w:r>
      <w:r>
        <w:rPr>
          <w:b/>
          <w:i w:val="0"/>
        </w:rPr>
        <w:t>US$73/bbl</w:t>
      </w:r>
      <w:r>
        <w:rPr>
          <w:b w:val="0"/>
          <w:i w:val="0"/>
        </w:rPr>
        <w:t>.</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cantSplit/>
        </w:trPr>
        <w:tc>
          <w:tcPr>
            <w:tcW w:type="dxa" w:w="794"/>
            <w:shd w:val="clear" w:color="auto" w:fill="1F4E79"/>
          </w:tcPr>
          <w:p>
            <w:pPr>
              <w:spacing w:after="20"/>
            </w:pPr>
            <w:r/>
            <w:r>
              <w:rPr>
                <w:b/>
                <w:color w:val="FFFFFF"/>
                <w:sz w:val="17"/>
              </w:rPr>
              <w:t>Year</w:t>
            </w:r>
          </w:p>
        </w:tc>
        <w:tc>
          <w:tcPr>
            <w:tcW w:type="dxa" w:w="737"/>
            <w:shd w:val="clear" w:color="auto" w:fill="1F4E79"/>
          </w:tcPr>
          <w:p>
            <w:pPr>
              <w:spacing w:after="20"/>
            </w:pPr>
            <w:r/>
            <w:r>
              <w:rPr>
                <w:b/>
                <w:color w:val="FFFFFF"/>
                <w:sz w:val="17"/>
              </w:rPr>
              <w:t>kbpd</w:t>
            </w:r>
          </w:p>
        </w:tc>
        <w:tc>
          <w:tcPr>
            <w:tcW w:type="dxa" w:w="850"/>
            <w:shd w:val="clear" w:color="auto" w:fill="1F4E79"/>
          </w:tcPr>
          <w:p>
            <w:pPr>
              <w:spacing w:after="20"/>
            </w:pPr>
            <w:r/>
            <w:r>
              <w:rPr>
                <w:b/>
                <w:color w:val="FFFFFF"/>
                <w:sz w:val="17"/>
              </w:rPr>
              <w:t>mmbbl</w:t>
            </w:r>
          </w:p>
        </w:tc>
        <w:tc>
          <w:tcPr>
            <w:tcW w:type="dxa" w:w="1361"/>
            <w:shd w:val="clear" w:color="auto" w:fill="1F4E79"/>
          </w:tcPr>
          <w:p>
            <w:pPr>
              <w:spacing w:after="20"/>
            </w:pPr>
            <w:r/>
            <w:r>
              <w:rPr>
                <w:b/>
                <w:color w:val="FFFFFF"/>
                <w:sz w:val="17"/>
              </w:rPr>
              <w:t>Revenue (US$ m)</w:t>
            </w:r>
          </w:p>
        </w:tc>
        <w:tc>
          <w:tcPr>
            <w:tcW w:type="dxa" w:w="1134"/>
            <w:shd w:val="clear" w:color="auto" w:fill="1F4E79"/>
          </w:tcPr>
          <w:p>
            <w:pPr>
              <w:spacing w:after="20"/>
            </w:pPr>
            <w:r/>
            <w:r>
              <w:rPr>
                <w:b/>
                <w:color w:val="FFFFFF"/>
                <w:sz w:val="17"/>
              </w:rPr>
              <w:t>Opex+tariff</w:t>
            </w:r>
          </w:p>
        </w:tc>
        <w:tc>
          <w:tcPr>
            <w:tcW w:type="dxa" w:w="907"/>
            <w:shd w:val="clear" w:color="auto" w:fill="1F4E79"/>
          </w:tcPr>
          <w:p>
            <w:pPr>
              <w:spacing w:after="20"/>
            </w:pPr>
            <w:r/>
            <w:r>
              <w:rPr>
                <w:b/>
                <w:color w:val="FFFFFF"/>
                <w:sz w:val="17"/>
              </w:rPr>
              <w:t>Capex</w:t>
            </w:r>
          </w:p>
        </w:tc>
        <w:tc>
          <w:tcPr>
            <w:tcW w:type="dxa" w:w="1247"/>
            <w:shd w:val="clear" w:color="auto" w:fill="1F4E79"/>
          </w:tcPr>
          <w:p>
            <w:pPr>
              <w:spacing w:after="20"/>
            </w:pPr>
            <w:r/>
            <w:r>
              <w:rPr>
                <w:b/>
                <w:color w:val="FFFFFF"/>
                <w:sz w:val="17"/>
              </w:rPr>
              <w:t>Pre-fiscal CF</w:t>
            </w:r>
          </w:p>
        </w:tc>
        <w:tc>
          <w:tcPr>
            <w:tcW w:type="dxa" w:w="1134"/>
            <w:shd w:val="clear" w:color="auto" w:fill="1F4E79"/>
          </w:tcPr>
          <w:p>
            <w:pPr>
              <w:spacing w:after="20"/>
            </w:pPr>
            <w:r/>
            <w:r>
              <w:rPr>
                <w:b/>
                <w:color w:val="FFFFFF"/>
                <w:sz w:val="17"/>
              </w:rPr>
              <w:t>Govt take</w:t>
            </w:r>
          </w:p>
        </w:tc>
        <w:tc>
          <w:tcPr>
            <w:tcW w:type="dxa" w:w="1247"/>
            <w:shd w:val="clear" w:color="auto" w:fill="1F4E79"/>
          </w:tcPr>
          <w:p>
            <w:pPr>
              <w:spacing w:after="20"/>
            </w:pPr>
            <w:r/>
            <w:r>
              <w:rPr>
                <w:b/>
                <w:color w:val="FFFFFF"/>
                <w:sz w:val="17"/>
              </w:rPr>
              <w:t>Contractor CF</w:t>
            </w:r>
          </w:p>
        </w:tc>
      </w:tr>
      <w:tr>
        <w:trPr>
          <w:cantSplit/>
        </w:trPr>
        <w:tc>
          <w:tcPr>
            <w:tcW w:type="dxa" w:w="794"/>
          </w:tcPr>
          <w:p>
            <w:pPr>
              <w:spacing w:after="20"/>
            </w:pPr>
            <w:r/>
            <w:r>
              <w:rPr>
                <w:b w:val="0"/>
                <w:i w:val="0"/>
                <w:sz w:val="17"/>
              </w:rPr>
              <w:t>2026</w:t>
            </w:r>
          </w:p>
        </w:tc>
        <w:tc>
          <w:tcPr>
            <w:tcW w:type="dxa" w:w="737"/>
          </w:tcPr>
          <w:p>
            <w:pPr>
              <w:spacing w:after="20"/>
              <w:jc w:val="right"/>
            </w:pPr>
            <w:r/>
            <w:r>
              <w:rPr>
                <w:b w:val="0"/>
                <w:i w:val="0"/>
                <w:sz w:val="17"/>
              </w:rPr>
              <w:t>0</w:t>
            </w:r>
          </w:p>
        </w:tc>
        <w:tc>
          <w:tcPr>
            <w:tcW w:type="dxa" w:w="850"/>
          </w:tcPr>
          <w:p>
            <w:pPr>
              <w:spacing w:after="20"/>
              <w:jc w:val="right"/>
            </w:pPr>
            <w:r/>
            <w:r>
              <w:rPr>
                <w:b w:val="0"/>
                <w:i w:val="0"/>
                <w:sz w:val="17"/>
              </w:rPr>
              <w:t>0.0</w:t>
            </w:r>
          </w:p>
        </w:tc>
        <w:tc>
          <w:tcPr>
            <w:tcW w:type="dxa" w:w="1361"/>
          </w:tcPr>
          <w:p>
            <w:pPr>
              <w:spacing w:after="20"/>
              <w:jc w:val="right"/>
            </w:pPr>
            <w:r/>
            <w:r>
              <w:rPr>
                <w:b w:val="0"/>
                <w:i w:val="0"/>
                <w:sz w:val="17"/>
              </w:rPr>
              <w:t>0</w:t>
            </w:r>
          </w:p>
        </w:tc>
        <w:tc>
          <w:tcPr>
            <w:tcW w:type="dxa" w:w="1134"/>
          </w:tcPr>
          <w:p>
            <w:pPr>
              <w:spacing w:after="20"/>
              <w:jc w:val="right"/>
            </w:pPr>
            <w:r/>
            <w:r>
              <w:rPr>
                <w:b w:val="0"/>
                <w:i w:val="0"/>
                <w:sz w:val="17"/>
              </w:rPr>
              <w:t>0</w:t>
            </w:r>
          </w:p>
        </w:tc>
        <w:tc>
          <w:tcPr>
            <w:tcW w:type="dxa" w:w="907"/>
          </w:tcPr>
          <w:p>
            <w:pPr>
              <w:spacing w:after="20"/>
              <w:jc w:val="right"/>
            </w:pPr>
            <w:r/>
            <w:r>
              <w:rPr>
                <w:b w:val="0"/>
                <w:i w:val="0"/>
                <w:sz w:val="17"/>
              </w:rPr>
              <w:t>900</w:t>
            </w:r>
          </w:p>
        </w:tc>
        <w:tc>
          <w:tcPr>
            <w:tcW w:type="dxa" w:w="1247"/>
          </w:tcPr>
          <w:p>
            <w:pPr>
              <w:spacing w:after="20"/>
              <w:jc w:val="right"/>
            </w:pPr>
            <w:r/>
            <w:r>
              <w:rPr>
                <w:b w:val="0"/>
                <w:i w:val="0"/>
                <w:sz w:val="17"/>
              </w:rPr>
              <w:t>-900</w:t>
            </w:r>
          </w:p>
        </w:tc>
        <w:tc>
          <w:tcPr>
            <w:tcW w:type="dxa" w:w="1134"/>
          </w:tcPr>
          <w:p>
            <w:pPr>
              <w:spacing w:after="20"/>
              <w:jc w:val="right"/>
            </w:pPr>
            <w:r/>
            <w:r>
              <w:rPr>
                <w:b w:val="0"/>
                <w:i w:val="0"/>
                <w:sz w:val="17"/>
              </w:rPr>
              <w:t>0</w:t>
            </w:r>
          </w:p>
        </w:tc>
        <w:tc>
          <w:tcPr>
            <w:tcW w:type="dxa" w:w="1247"/>
          </w:tcPr>
          <w:p>
            <w:pPr>
              <w:spacing w:after="20"/>
              <w:jc w:val="right"/>
            </w:pPr>
            <w:r/>
            <w:r>
              <w:rPr>
                <w:b w:val="0"/>
                <w:i w:val="0"/>
                <w:sz w:val="17"/>
              </w:rPr>
              <w:t>-900</w:t>
            </w:r>
          </w:p>
        </w:tc>
      </w:tr>
      <w:tr>
        <w:trPr>
          <w:cantSplit/>
        </w:trPr>
        <w:tc>
          <w:tcPr>
            <w:tcW w:type="dxa" w:w="794"/>
            <w:shd w:val="clear" w:color="auto" w:fill="EEF3F8"/>
          </w:tcPr>
          <w:p>
            <w:pPr>
              <w:spacing w:after="20"/>
            </w:pPr>
            <w:r/>
            <w:r>
              <w:rPr>
                <w:b w:val="0"/>
                <w:i w:val="0"/>
                <w:sz w:val="17"/>
              </w:rPr>
              <w:t>2027</w:t>
            </w:r>
          </w:p>
        </w:tc>
        <w:tc>
          <w:tcPr>
            <w:tcW w:type="dxa" w:w="737"/>
            <w:shd w:val="clear" w:color="auto" w:fill="EEF3F8"/>
          </w:tcPr>
          <w:p>
            <w:pPr>
              <w:spacing w:after="20"/>
              <w:jc w:val="right"/>
            </w:pPr>
            <w:r/>
            <w:r>
              <w:rPr>
                <w:b w:val="0"/>
                <w:i w:val="0"/>
                <w:sz w:val="17"/>
              </w:rPr>
              <w:t>20</w:t>
            </w:r>
          </w:p>
        </w:tc>
        <w:tc>
          <w:tcPr>
            <w:tcW w:type="dxa" w:w="850"/>
            <w:shd w:val="clear" w:color="auto" w:fill="EEF3F8"/>
          </w:tcPr>
          <w:p>
            <w:pPr>
              <w:spacing w:after="20"/>
              <w:jc w:val="right"/>
            </w:pPr>
            <w:r/>
            <w:r>
              <w:rPr>
                <w:b w:val="0"/>
                <w:i w:val="0"/>
                <w:sz w:val="17"/>
              </w:rPr>
              <w:t>7.2</w:t>
            </w:r>
          </w:p>
        </w:tc>
        <w:tc>
          <w:tcPr>
            <w:tcW w:type="dxa" w:w="1361"/>
            <w:shd w:val="clear" w:color="auto" w:fill="EEF3F8"/>
          </w:tcPr>
          <w:p>
            <w:pPr>
              <w:spacing w:after="20"/>
              <w:jc w:val="right"/>
            </w:pPr>
            <w:r/>
            <w:r>
              <w:rPr>
                <w:b w:val="0"/>
                <w:i w:val="0"/>
                <w:sz w:val="17"/>
              </w:rPr>
              <w:t>462</w:t>
            </w:r>
          </w:p>
        </w:tc>
        <w:tc>
          <w:tcPr>
            <w:tcW w:type="dxa" w:w="1134"/>
            <w:shd w:val="clear" w:color="auto" w:fill="EEF3F8"/>
          </w:tcPr>
          <w:p>
            <w:pPr>
              <w:spacing w:after="20"/>
              <w:jc w:val="right"/>
            </w:pPr>
            <w:r/>
            <w:r>
              <w:rPr>
                <w:b w:val="0"/>
                <w:i w:val="0"/>
                <w:sz w:val="17"/>
              </w:rPr>
              <w:t>152</w:t>
            </w:r>
          </w:p>
        </w:tc>
        <w:tc>
          <w:tcPr>
            <w:tcW w:type="dxa" w:w="907"/>
            <w:shd w:val="clear" w:color="auto" w:fill="EEF3F8"/>
          </w:tcPr>
          <w:p>
            <w:pPr>
              <w:spacing w:after="20"/>
              <w:jc w:val="right"/>
            </w:pPr>
            <w:r/>
            <w:r>
              <w:rPr>
                <w:b w:val="0"/>
                <w:i w:val="0"/>
                <w:sz w:val="17"/>
              </w:rPr>
              <w:t>2,100</w:t>
            </w:r>
          </w:p>
        </w:tc>
        <w:tc>
          <w:tcPr>
            <w:tcW w:type="dxa" w:w="1247"/>
            <w:shd w:val="clear" w:color="auto" w:fill="EEF3F8"/>
          </w:tcPr>
          <w:p>
            <w:pPr>
              <w:spacing w:after="20"/>
              <w:jc w:val="right"/>
            </w:pPr>
            <w:r/>
            <w:r>
              <w:rPr>
                <w:b w:val="0"/>
                <w:i w:val="0"/>
                <w:sz w:val="17"/>
              </w:rPr>
              <w:t>-1,789</w:t>
            </w:r>
          </w:p>
        </w:tc>
        <w:tc>
          <w:tcPr>
            <w:tcW w:type="dxa" w:w="1134"/>
            <w:shd w:val="clear" w:color="auto" w:fill="EEF3F8"/>
          </w:tcPr>
          <w:p>
            <w:pPr>
              <w:spacing w:after="20"/>
              <w:jc w:val="right"/>
            </w:pPr>
            <w:r/>
            <w:r>
              <w:rPr>
                <w:b w:val="0"/>
                <w:i w:val="0"/>
                <w:sz w:val="17"/>
              </w:rPr>
              <w:t>130</w:t>
            </w:r>
          </w:p>
        </w:tc>
        <w:tc>
          <w:tcPr>
            <w:tcW w:type="dxa" w:w="1247"/>
            <w:shd w:val="clear" w:color="auto" w:fill="EEF3F8"/>
          </w:tcPr>
          <w:p>
            <w:pPr>
              <w:spacing w:after="20"/>
              <w:jc w:val="right"/>
            </w:pPr>
            <w:r/>
            <w:r>
              <w:rPr>
                <w:b w:val="0"/>
                <w:i w:val="0"/>
                <w:sz w:val="17"/>
              </w:rPr>
              <w:t>-1,919</w:t>
            </w:r>
          </w:p>
        </w:tc>
      </w:tr>
      <w:tr>
        <w:trPr>
          <w:cantSplit/>
        </w:trPr>
        <w:tc>
          <w:tcPr>
            <w:tcW w:type="dxa" w:w="794"/>
          </w:tcPr>
          <w:p>
            <w:pPr>
              <w:spacing w:after="20"/>
            </w:pPr>
            <w:r/>
            <w:r>
              <w:rPr>
                <w:b w:val="0"/>
                <w:i w:val="0"/>
                <w:sz w:val="17"/>
              </w:rPr>
              <w:t>2028</w:t>
            </w:r>
          </w:p>
        </w:tc>
        <w:tc>
          <w:tcPr>
            <w:tcW w:type="dxa" w:w="737"/>
          </w:tcPr>
          <w:p>
            <w:pPr>
              <w:spacing w:after="20"/>
              <w:jc w:val="right"/>
            </w:pPr>
            <w:r/>
            <w:r>
              <w:rPr>
                <w:b w:val="0"/>
                <w:i w:val="0"/>
                <w:sz w:val="17"/>
              </w:rPr>
              <w:t>40</w:t>
            </w:r>
          </w:p>
        </w:tc>
        <w:tc>
          <w:tcPr>
            <w:tcW w:type="dxa" w:w="850"/>
          </w:tcPr>
          <w:p>
            <w:pPr>
              <w:spacing w:after="20"/>
              <w:jc w:val="right"/>
            </w:pPr>
            <w:r/>
            <w:r>
              <w:rPr>
                <w:b w:val="0"/>
                <w:i w:val="0"/>
                <w:sz w:val="17"/>
              </w:rPr>
              <w:t>14.5</w:t>
            </w:r>
          </w:p>
        </w:tc>
        <w:tc>
          <w:tcPr>
            <w:tcW w:type="dxa" w:w="1361"/>
          </w:tcPr>
          <w:p>
            <w:pPr>
              <w:spacing w:after="20"/>
              <w:jc w:val="right"/>
            </w:pPr>
            <w:r/>
            <w:r>
              <w:rPr>
                <w:b w:val="0"/>
                <w:i w:val="0"/>
                <w:sz w:val="17"/>
              </w:rPr>
              <w:t>925</w:t>
            </w:r>
          </w:p>
        </w:tc>
        <w:tc>
          <w:tcPr>
            <w:tcW w:type="dxa" w:w="1134"/>
          </w:tcPr>
          <w:p>
            <w:pPr>
              <w:spacing w:after="20"/>
              <w:jc w:val="right"/>
            </w:pPr>
            <w:r/>
            <w:r>
              <w:rPr>
                <w:b w:val="0"/>
                <w:i w:val="0"/>
                <w:sz w:val="17"/>
              </w:rPr>
              <w:t>304</w:t>
            </w:r>
          </w:p>
        </w:tc>
        <w:tc>
          <w:tcPr>
            <w:tcW w:type="dxa" w:w="907"/>
          </w:tcPr>
          <w:p>
            <w:pPr>
              <w:spacing w:after="20"/>
              <w:jc w:val="right"/>
            </w:pPr>
            <w:r/>
            <w:r>
              <w:rPr>
                <w:b w:val="0"/>
                <w:i w:val="0"/>
                <w:sz w:val="17"/>
              </w:rPr>
              <w:t>1,800</w:t>
            </w:r>
          </w:p>
        </w:tc>
        <w:tc>
          <w:tcPr>
            <w:tcW w:type="dxa" w:w="1247"/>
          </w:tcPr>
          <w:p>
            <w:pPr>
              <w:spacing w:after="20"/>
              <w:jc w:val="right"/>
            </w:pPr>
            <w:r/>
            <w:r>
              <w:rPr>
                <w:b w:val="0"/>
                <w:i w:val="0"/>
                <w:sz w:val="17"/>
              </w:rPr>
              <w:t>-1,178</w:t>
            </w:r>
          </w:p>
        </w:tc>
        <w:tc>
          <w:tcPr>
            <w:tcW w:type="dxa" w:w="1134"/>
          </w:tcPr>
          <w:p>
            <w:pPr>
              <w:spacing w:after="20"/>
              <w:jc w:val="right"/>
            </w:pPr>
            <w:r/>
            <w:r>
              <w:rPr>
                <w:b w:val="0"/>
                <w:i w:val="0"/>
                <w:sz w:val="17"/>
              </w:rPr>
              <w:t>259</w:t>
            </w:r>
          </w:p>
        </w:tc>
        <w:tc>
          <w:tcPr>
            <w:tcW w:type="dxa" w:w="1247"/>
          </w:tcPr>
          <w:p>
            <w:pPr>
              <w:spacing w:after="20"/>
              <w:jc w:val="right"/>
            </w:pPr>
            <w:r/>
            <w:r>
              <w:rPr>
                <w:b w:val="0"/>
                <w:i w:val="0"/>
                <w:sz w:val="17"/>
              </w:rPr>
              <w:t>-1,438</w:t>
            </w:r>
          </w:p>
        </w:tc>
      </w:tr>
      <w:tr>
        <w:trPr>
          <w:cantSplit/>
        </w:trPr>
        <w:tc>
          <w:tcPr>
            <w:tcW w:type="dxa" w:w="794"/>
            <w:shd w:val="clear" w:color="auto" w:fill="EEF3F8"/>
          </w:tcPr>
          <w:p>
            <w:pPr>
              <w:spacing w:after="20"/>
            </w:pPr>
            <w:r/>
            <w:r>
              <w:rPr>
                <w:b w:val="0"/>
                <w:i w:val="0"/>
                <w:sz w:val="17"/>
              </w:rPr>
              <w:t>2029</w:t>
            </w:r>
          </w:p>
        </w:tc>
        <w:tc>
          <w:tcPr>
            <w:tcW w:type="dxa" w:w="737"/>
            <w:shd w:val="clear" w:color="auto" w:fill="EEF3F8"/>
          </w:tcPr>
          <w:p>
            <w:pPr>
              <w:spacing w:after="20"/>
              <w:jc w:val="right"/>
            </w:pPr>
            <w:r/>
            <w:r>
              <w:rPr>
                <w:b w:val="0"/>
                <w:i w:val="0"/>
                <w:sz w:val="17"/>
              </w:rPr>
              <w:t>60</w:t>
            </w:r>
          </w:p>
        </w:tc>
        <w:tc>
          <w:tcPr>
            <w:tcW w:type="dxa" w:w="850"/>
            <w:shd w:val="clear" w:color="auto" w:fill="EEF3F8"/>
          </w:tcPr>
          <w:p>
            <w:pPr>
              <w:spacing w:after="20"/>
              <w:jc w:val="right"/>
            </w:pPr>
            <w:r/>
            <w:r>
              <w:rPr>
                <w:b w:val="0"/>
                <w:i w:val="0"/>
                <w:sz w:val="17"/>
              </w:rPr>
              <w:t>21.9</w:t>
            </w:r>
          </w:p>
        </w:tc>
        <w:tc>
          <w:tcPr>
            <w:tcW w:type="dxa" w:w="1361"/>
            <w:shd w:val="clear" w:color="auto" w:fill="EEF3F8"/>
          </w:tcPr>
          <w:p>
            <w:pPr>
              <w:spacing w:after="20"/>
              <w:jc w:val="right"/>
            </w:pPr>
            <w:r/>
            <w:r>
              <w:rPr>
                <w:b w:val="0"/>
                <w:i w:val="0"/>
                <w:sz w:val="17"/>
              </w:rPr>
              <w:t>1,402</w:t>
            </w:r>
          </w:p>
        </w:tc>
        <w:tc>
          <w:tcPr>
            <w:tcW w:type="dxa" w:w="1134"/>
            <w:shd w:val="clear" w:color="auto" w:fill="EEF3F8"/>
          </w:tcPr>
          <w:p>
            <w:pPr>
              <w:spacing w:after="20"/>
              <w:jc w:val="right"/>
            </w:pPr>
            <w:r/>
            <w:r>
              <w:rPr>
                <w:b w:val="0"/>
                <w:i w:val="0"/>
                <w:sz w:val="17"/>
              </w:rPr>
              <w:t>460</w:t>
            </w:r>
          </w:p>
        </w:tc>
        <w:tc>
          <w:tcPr>
            <w:tcW w:type="dxa" w:w="907"/>
            <w:shd w:val="clear" w:color="auto" w:fill="EEF3F8"/>
          </w:tcPr>
          <w:p>
            <w:pPr>
              <w:spacing w:after="20"/>
              <w:jc w:val="right"/>
            </w:pPr>
            <w:r/>
            <w:r>
              <w:rPr>
                <w:b w:val="0"/>
                <w:i w:val="0"/>
                <w:sz w:val="17"/>
              </w:rPr>
              <w:t>1,200</w:t>
            </w:r>
          </w:p>
        </w:tc>
        <w:tc>
          <w:tcPr>
            <w:tcW w:type="dxa" w:w="1247"/>
            <w:shd w:val="clear" w:color="auto" w:fill="EEF3F8"/>
          </w:tcPr>
          <w:p>
            <w:pPr>
              <w:spacing w:after="20"/>
              <w:jc w:val="right"/>
            </w:pPr>
            <w:r/>
            <w:r>
              <w:rPr>
                <w:b w:val="0"/>
                <w:i w:val="0"/>
                <w:sz w:val="17"/>
              </w:rPr>
              <w:t>-258</w:t>
            </w:r>
          </w:p>
        </w:tc>
        <w:tc>
          <w:tcPr>
            <w:tcW w:type="dxa" w:w="1134"/>
            <w:shd w:val="clear" w:color="auto" w:fill="EEF3F8"/>
          </w:tcPr>
          <w:p>
            <w:pPr>
              <w:spacing w:after="20"/>
              <w:jc w:val="right"/>
            </w:pPr>
            <w:r/>
            <w:r>
              <w:rPr>
                <w:b w:val="0"/>
                <w:i w:val="0"/>
                <w:sz w:val="17"/>
              </w:rPr>
              <w:t>392</w:t>
            </w:r>
          </w:p>
        </w:tc>
        <w:tc>
          <w:tcPr>
            <w:tcW w:type="dxa" w:w="1247"/>
            <w:shd w:val="clear" w:color="auto" w:fill="EEF3F8"/>
          </w:tcPr>
          <w:p>
            <w:pPr>
              <w:spacing w:after="20"/>
              <w:jc w:val="right"/>
            </w:pPr>
            <w:r/>
            <w:r>
              <w:rPr>
                <w:b w:val="0"/>
                <w:i w:val="0"/>
                <w:sz w:val="17"/>
              </w:rPr>
              <w:t>-651</w:t>
            </w:r>
          </w:p>
        </w:tc>
      </w:tr>
      <w:tr>
        <w:trPr>
          <w:cantSplit/>
        </w:trPr>
        <w:tc>
          <w:tcPr>
            <w:tcW w:type="dxa" w:w="794"/>
          </w:tcPr>
          <w:p>
            <w:pPr>
              <w:spacing w:after="20"/>
            </w:pPr>
            <w:r/>
            <w:r>
              <w:rPr>
                <w:b w:val="0"/>
                <w:i w:val="0"/>
                <w:sz w:val="17"/>
              </w:rPr>
              <w:t>2030</w:t>
            </w:r>
          </w:p>
        </w:tc>
        <w:tc>
          <w:tcPr>
            <w:tcW w:type="dxa" w:w="737"/>
          </w:tcPr>
          <w:p>
            <w:pPr>
              <w:spacing w:after="20"/>
              <w:jc w:val="right"/>
            </w:pPr>
            <w:r/>
            <w:r>
              <w:rPr>
                <w:b w:val="0"/>
                <w:i w:val="0"/>
                <w:sz w:val="17"/>
              </w:rPr>
              <w:t>60</w:t>
            </w:r>
          </w:p>
        </w:tc>
        <w:tc>
          <w:tcPr>
            <w:tcW w:type="dxa" w:w="850"/>
          </w:tcPr>
          <w:p>
            <w:pPr>
              <w:spacing w:after="20"/>
              <w:jc w:val="right"/>
            </w:pPr>
            <w:r/>
            <w:r>
              <w:rPr>
                <w:b w:val="0"/>
                <w:i w:val="0"/>
                <w:sz w:val="17"/>
              </w:rPr>
              <w:t>21.9</w:t>
            </w:r>
          </w:p>
        </w:tc>
        <w:tc>
          <w:tcPr>
            <w:tcW w:type="dxa" w:w="1361"/>
          </w:tcPr>
          <w:p>
            <w:pPr>
              <w:spacing w:after="20"/>
              <w:jc w:val="right"/>
            </w:pPr>
            <w:r/>
            <w:r>
              <w:rPr>
                <w:b w:val="0"/>
                <w:i w:val="0"/>
                <w:sz w:val="17"/>
              </w:rPr>
              <w:t>1,402</w:t>
            </w:r>
          </w:p>
        </w:tc>
        <w:tc>
          <w:tcPr>
            <w:tcW w:type="dxa" w:w="1134"/>
          </w:tcPr>
          <w:p>
            <w:pPr>
              <w:spacing w:after="20"/>
              <w:jc w:val="right"/>
            </w:pPr>
            <w:r/>
            <w:r>
              <w:rPr>
                <w:b w:val="0"/>
                <w:i w:val="0"/>
                <w:sz w:val="17"/>
              </w:rPr>
              <w:t>460</w:t>
            </w:r>
          </w:p>
        </w:tc>
        <w:tc>
          <w:tcPr>
            <w:tcW w:type="dxa" w:w="907"/>
          </w:tcPr>
          <w:p>
            <w:pPr>
              <w:spacing w:after="20"/>
              <w:jc w:val="right"/>
            </w:pPr>
            <w:r/>
            <w:r>
              <w:rPr>
                <w:b w:val="0"/>
                <w:i w:val="0"/>
                <w:sz w:val="17"/>
              </w:rPr>
              <w:t>0</w:t>
            </w:r>
          </w:p>
        </w:tc>
        <w:tc>
          <w:tcPr>
            <w:tcW w:type="dxa" w:w="1247"/>
          </w:tcPr>
          <w:p>
            <w:pPr>
              <w:spacing w:after="20"/>
              <w:jc w:val="right"/>
            </w:pPr>
            <w:r/>
            <w:r>
              <w:rPr>
                <w:b w:val="0"/>
                <w:i w:val="0"/>
                <w:sz w:val="17"/>
              </w:rPr>
              <w:t>942</w:t>
            </w:r>
          </w:p>
        </w:tc>
        <w:tc>
          <w:tcPr>
            <w:tcW w:type="dxa" w:w="1134"/>
          </w:tcPr>
          <w:p>
            <w:pPr>
              <w:spacing w:after="20"/>
              <w:jc w:val="right"/>
            </w:pPr>
            <w:r/>
            <w:r>
              <w:rPr>
                <w:b w:val="0"/>
                <w:i w:val="0"/>
                <w:sz w:val="17"/>
              </w:rPr>
              <w:t>392</w:t>
            </w:r>
          </w:p>
        </w:tc>
        <w:tc>
          <w:tcPr>
            <w:tcW w:type="dxa" w:w="1247"/>
          </w:tcPr>
          <w:p>
            <w:pPr>
              <w:spacing w:after="20"/>
              <w:jc w:val="right"/>
            </w:pPr>
            <w:r/>
            <w:r>
              <w:rPr>
                <w:b w:val="0"/>
                <w:i w:val="0"/>
                <w:sz w:val="17"/>
              </w:rPr>
              <w:t>549</w:t>
            </w:r>
          </w:p>
        </w:tc>
      </w:tr>
      <w:tr>
        <w:trPr>
          <w:cantSplit/>
        </w:trPr>
        <w:tc>
          <w:tcPr>
            <w:tcW w:type="dxa" w:w="794"/>
            <w:shd w:val="clear" w:color="auto" w:fill="EEF3F8"/>
          </w:tcPr>
          <w:p>
            <w:pPr>
              <w:spacing w:after="20"/>
            </w:pPr>
            <w:r/>
            <w:r>
              <w:rPr>
                <w:b w:val="0"/>
                <w:i w:val="0"/>
                <w:sz w:val="17"/>
              </w:rPr>
              <w:t>2032</w:t>
            </w:r>
          </w:p>
        </w:tc>
        <w:tc>
          <w:tcPr>
            <w:tcW w:type="dxa" w:w="737"/>
            <w:shd w:val="clear" w:color="auto" w:fill="EEF3F8"/>
          </w:tcPr>
          <w:p>
            <w:pPr>
              <w:spacing w:after="20"/>
              <w:jc w:val="right"/>
            </w:pPr>
            <w:r/>
            <w:r>
              <w:rPr>
                <w:b w:val="0"/>
                <w:i w:val="0"/>
                <w:sz w:val="17"/>
              </w:rPr>
              <w:t>60</w:t>
            </w:r>
          </w:p>
        </w:tc>
        <w:tc>
          <w:tcPr>
            <w:tcW w:type="dxa" w:w="850"/>
            <w:shd w:val="clear" w:color="auto" w:fill="EEF3F8"/>
          </w:tcPr>
          <w:p>
            <w:pPr>
              <w:spacing w:after="20"/>
              <w:jc w:val="right"/>
            </w:pPr>
            <w:r/>
            <w:r>
              <w:rPr>
                <w:b w:val="0"/>
                <w:i w:val="0"/>
                <w:sz w:val="17"/>
              </w:rPr>
              <w:t>21.9</w:t>
            </w:r>
          </w:p>
        </w:tc>
        <w:tc>
          <w:tcPr>
            <w:tcW w:type="dxa" w:w="1361"/>
            <w:shd w:val="clear" w:color="auto" w:fill="EEF3F8"/>
          </w:tcPr>
          <w:p>
            <w:pPr>
              <w:spacing w:after="20"/>
              <w:jc w:val="right"/>
            </w:pPr>
            <w:r/>
            <w:r>
              <w:rPr>
                <w:b w:val="0"/>
                <w:i w:val="0"/>
                <w:sz w:val="17"/>
              </w:rPr>
              <w:t>1,402</w:t>
            </w:r>
          </w:p>
        </w:tc>
        <w:tc>
          <w:tcPr>
            <w:tcW w:type="dxa" w:w="1134"/>
            <w:shd w:val="clear" w:color="auto" w:fill="EEF3F8"/>
          </w:tcPr>
          <w:p>
            <w:pPr>
              <w:spacing w:after="20"/>
              <w:jc w:val="right"/>
            </w:pPr>
            <w:r/>
            <w:r>
              <w:rPr>
                <w:b w:val="0"/>
                <w:i w:val="0"/>
                <w:sz w:val="17"/>
              </w:rPr>
              <w:t>460</w:t>
            </w:r>
          </w:p>
        </w:tc>
        <w:tc>
          <w:tcPr>
            <w:tcW w:type="dxa" w:w="907"/>
            <w:shd w:val="clear" w:color="auto" w:fill="EEF3F8"/>
          </w:tcPr>
          <w:p>
            <w:pPr>
              <w:spacing w:after="20"/>
              <w:jc w:val="right"/>
            </w:pPr>
            <w:r/>
            <w:r>
              <w:rPr>
                <w:b w:val="0"/>
                <w:i w:val="0"/>
                <w:sz w:val="17"/>
              </w:rPr>
              <w:t>0</w:t>
            </w:r>
          </w:p>
        </w:tc>
        <w:tc>
          <w:tcPr>
            <w:tcW w:type="dxa" w:w="1247"/>
            <w:shd w:val="clear" w:color="auto" w:fill="EEF3F8"/>
          </w:tcPr>
          <w:p>
            <w:pPr>
              <w:spacing w:after="20"/>
              <w:jc w:val="right"/>
            </w:pPr>
            <w:r/>
            <w:r>
              <w:rPr>
                <w:b w:val="0"/>
                <w:i w:val="0"/>
                <w:sz w:val="17"/>
              </w:rPr>
              <w:t>942</w:t>
            </w:r>
          </w:p>
        </w:tc>
        <w:tc>
          <w:tcPr>
            <w:tcW w:type="dxa" w:w="1134"/>
            <w:shd w:val="clear" w:color="auto" w:fill="EEF3F8"/>
          </w:tcPr>
          <w:p>
            <w:pPr>
              <w:spacing w:after="20"/>
              <w:jc w:val="right"/>
            </w:pPr>
            <w:r/>
            <w:r>
              <w:rPr>
                <w:b w:val="0"/>
                <w:i w:val="0"/>
                <w:sz w:val="17"/>
              </w:rPr>
              <w:t>392</w:t>
            </w:r>
          </w:p>
        </w:tc>
        <w:tc>
          <w:tcPr>
            <w:tcW w:type="dxa" w:w="1247"/>
            <w:shd w:val="clear" w:color="auto" w:fill="EEF3F8"/>
          </w:tcPr>
          <w:p>
            <w:pPr>
              <w:spacing w:after="20"/>
              <w:jc w:val="right"/>
            </w:pPr>
            <w:r/>
            <w:r>
              <w:rPr>
                <w:b w:val="0"/>
                <w:i w:val="0"/>
                <w:sz w:val="17"/>
              </w:rPr>
              <w:t>549</w:t>
            </w:r>
          </w:p>
        </w:tc>
      </w:tr>
      <w:tr>
        <w:trPr>
          <w:cantSplit/>
        </w:trPr>
        <w:tc>
          <w:tcPr>
            <w:tcW w:type="dxa" w:w="794"/>
          </w:tcPr>
          <w:p>
            <w:pPr>
              <w:spacing w:after="20"/>
            </w:pPr>
            <w:r/>
            <w:r>
              <w:rPr>
                <w:b w:val="0"/>
                <w:i w:val="0"/>
                <w:sz w:val="17"/>
              </w:rPr>
              <w:t>2035</w:t>
            </w:r>
          </w:p>
        </w:tc>
        <w:tc>
          <w:tcPr>
            <w:tcW w:type="dxa" w:w="737"/>
          </w:tcPr>
          <w:p>
            <w:pPr>
              <w:spacing w:after="20"/>
              <w:jc w:val="right"/>
            </w:pPr>
            <w:r/>
            <w:r>
              <w:rPr>
                <w:b w:val="0"/>
                <w:i w:val="0"/>
                <w:sz w:val="17"/>
              </w:rPr>
              <w:t>60</w:t>
            </w:r>
          </w:p>
        </w:tc>
        <w:tc>
          <w:tcPr>
            <w:tcW w:type="dxa" w:w="850"/>
          </w:tcPr>
          <w:p>
            <w:pPr>
              <w:spacing w:after="20"/>
              <w:jc w:val="right"/>
            </w:pPr>
            <w:r/>
            <w:r>
              <w:rPr>
                <w:b w:val="0"/>
                <w:i w:val="0"/>
                <w:sz w:val="17"/>
              </w:rPr>
              <w:t>21.9</w:t>
            </w:r>
          </w:p>
        </w:tc>
        <w:tc>
          <w:tcPr>
            <w:tcW w:type="dxa" w:w="1361"/>
          </w:tcPr>
          <w:p>
            <w:pPr>
              <w:spacing w:after="20"/>
              <w:jc w:val="right"/>
            </w:pPr>
            <w:r/>
            <w:r>
              <w:rPr>
                <w:b w:val="0"/>
                <w:i w:val="0"/>
                <w:sz w:val="17"/>
              </w:rPr>
              <w:t>1,402</w:t>
            </w:r>
          </w:p>
        </w:tc>
        <w:tc>
          <w:tcPr>
            <w:tcW w:type="dxa" w:w="1134"/>
          </w:tcPr>
          <w:p>
            <w:pPr>
              <w:spacing w:after="20"/>
              <w:jc w:val="right"/>
            </w:pPr>
            <w:r/>
            <w:r>
              <w:rPr>
                <w:b w:val="0"/>
                <w:i w:val="0"/>
                <w:sz w:val="17"/>
              </w:rPr>
              <w:t>460</w:t>
            </w:r>
          </w:p>
        </w:tc>
        <w:tc>
          <w:tcPr>
            <w:tcW w:type="dxa" w:w="907"/>
          </w:tcPr>
          <w:p>
            <w:pPr>
              <w:spacing w:after="20"/>
              <w:jc w:val="right"/>
            </w:pPr>
            <w:r/>
            <w:r>
              <w:rPr>
                <w:b w:val="0"/>
                <w:i w:val="0"/>
                <w:sz w:val="17"/>
              </w:rPr>
              <w:t>0</w:t>
            </w:r>
          </w:p>
        </w:tc>
        <w:tc>
          <w:tcPr>
            <w:tcW w:type="dxa" w:w="1247"/>
          </w:tcPr>
          <w:p>
            <w:pPr>
              <w:spacing w:after="20"/>
              <w:jc w:val="right"/>
            </w:pPr>
            <w:r/>
            <w:r>
              <w:rPr>
                <w:b w:val="0"/>
                <w:i w:val="0"/>
                <w:sz w:val="17"/>
              </w:rPr>
              <w:t>942</w:t>
            </w:r>
          </w:p>
        </w:tc>
        <w:tc>
          <w:tcPr>
            <w:tcW w:type="dxa" w:w="1134"/>
          </w:tcPr>
          <w:p>
            <w:pPr>
              <w:spacing w:after="20"/>
              <w:jc w:val="right"/>
            </w:pPr>
            <w:r/>
            <w:r>
              <w:rPr>
                <w:b w:val="0"/>
                <w:i w:val="0"/>
                <w:sz w:val="17"/>
              </w:rPr>
              <w:t>392</w:t>
            </w:r>
          </w:p>
        </w:tc>
        <w:tc>
          <w:tcPr>
            <w:tcW w:type="dxa" w:w="1247"/>
          </w:tcPr>
          <w:p>
            <w:pPr>
              <w:spacing w:after="20"/>
              <w:jc w:val="right"/>
            </w:pPr>
            <w:r/>
            <w:r>
              <w:rPr>
                <w:b w:val="0"/>
                <w:i w:val="0"/>
                <w:sz w:val="17"/>
              </w:rPr>
              <w:t>549</w:t>
            </w:r>
          </w:p>
        </w:tc>
      </w:tr>
      <w:tr>
        <w:trPr>
          <w:cantSplit/>
        </w:trPr>
        <w:tc>
          <w:tcPr>
            <w:tcW w:type="dxa" w:w="794"/>
            <w:shd w:val="clear" w:color="auto" w:fill="EEF3F8"/>
          </w:tcPr>
          <w:p>
            <w:pPr>
              <w:spacing w:after="20"/>
            </w:pPr>
            <w:r/>
            <w:r>
              <w:rPr>
                <w:b w:val="0"/>
                <w:i w:val="0"/>
                <w:sz w:val="17"/>
              </w:rPr>
              <w:t>2037</w:t>
            </w:r>
          </w:p>
        </w:tc>
        <w:tc>
          <w:tcPr>
            <w:tcW w:type="dxa" w:w="737"/>
            <w:shd w:val="clear" w:color="auto" w:fill="EEF3F8"/>
          </w:tcPr>
          <w:p>
            <w:pPr>
              <w:spacing w:after="20"/>
              <w:jc w:val="right"/>
            </w:pPr>
            <w:r/>
            <w:r>
              <w:rPr>
                <w:b w:val="0"/>
                <w:i w:val="0"/>
                <w:sz w:val="17"/>
              </w:rPr>
              <w:t>60</w:t>
            </w:r>
          </w:p>
        </w:tc>
        <w:tc>
          <w:tcPr>
            <w:tcW w:type="dxa" w:w="850"/>
            <w:shd w:val="clear" w:color="auto" w:fill="EEF3F8"/>
          </w:tcPr>
          <w:p>
            <w:pPr>
              <w:spacing w:after="20"/>
              <w:jc w:val="right"/>
            </w:pPr>
            <w:r/>
            <w:r>
              <w:rPr>
                <w:b w:val="0"/>
                <w:i w:val="0"/>
                <w:sz w:val="17"/>
              </w:rPr>
              <w:t>21.9</w:t>
            </w:r>
          </w:p>
        </w:tc>
        <w:tc>
          <w:tcPr>
            <w:tcW w:type="dxa" w:w="1361"/>
            <w:shd w:val="clear" w:color="auto" w:fill="EEF3F8"/>
          </w:tcPr>
          <w:p>
            <w:pPr>
              <w:spacing w:after="20"/>
              <w:jc w:val="right"/>
            </w:pPr>
            <w:r/>
            <w:r>
              <w:rPr>
                <w:b w:val="0"/>
                <w:i w:val="0"/>
                <w:sz w:val="17"/>
              </w:rPr>
              <w:t>1,402</w:t>
            </w:r>
          </w:p>
        </w:tc>
        <w:tc>
          <w:tcPr>
            <w:tcW w:type="dxa" w:w="1134"/>
            <w:shd w:val="clear" w:color="auto" w:fill="EEF3F8"/>
          </w:tcPr>
          <w:p>
            <w:pPr>
              <w:spacing w:after="20"/>
              <w:jc w:val="right"/>
            </w:pPr>
            <w:r/>
            <w:r>
              <w:rPr>
                <w:b w:val="0"/>
                <w:i w:val="0"/>
                <w:sz w:val="17"/>
              </w:rPr>
              <w:t>460</w:t>
            </w:r>
          </w:p>
        </w:tc>
        <w:tc>
          <w:tcPr>
            <w:tcW w:type="dxa" w:w="907"/>
            <w:shd w:val="clear" w:color="auto" w:fill="EEF3F8"/>
          </w:tcPr>
          <w:p>
            <w:pPr>
              <w:spacing w:after="20"/>
              <w:jc w:val="right"/>
            </w:pPr>
            <w:r/>
            <w:r>
              <w:rPr>
                <w:b w:val="0"/>
                <w:i w:val="0"/>
                <w:sz w:val="17"/>
              </w:rPr>
              <w:t>0</w:t>
            </w:r>
          </w:p>
        </w:tc>
        <w:tc>
          <w:tcPr>
            <w:tcW w:type="dxa" w:w="1247"/>
            <w:shd w:val="clear" w:color="auto" w:fill="EEF3F8"/>
          </w:tcPr>
          <w:p>
            <w:pPr>
              <w:spacing w:after="20"/>
              <w:jc w:val="right"/>
            </w:pPr>
            <w:r/>
            <w:r>
              <w:rPr>
                <w:b w:val="0"/>
                <w:i w:val="0"/>
                <w:sz w:val="17"/>
              </w:rPr>
              <w:t>942</w:t>
            </w:r>
          </w:p>
        </w:tc>
        <w:tc>
          <w:tcPr>
            <w:tcW w:type="dxa" w:w="1134"/>
            <w:shd w:val="clear" w:color="auto" w:fill="EEF3F8"/>
          </w:tcPr>
          <w:p>
            <w:pPr>
              <w:spacing w:after="20"/>
              <w:jc w:val="right"/>
            </w:pPr>
            <w:r/>
            <w:r>
              <w:rPr>
                <w:b w:val="0"/>
                <w:i w:val="0"/>
                <w:sz w:val="17"/>
              </w:rPr>
              <w:t>392</w:t>
            </w:r>
          </w:p>
        </w:tc>
        <w:tc>
          <w:tcPr>
            <w:tcW w:type="dxa" w:w="1247"/>
            <w:shd w:val="clear" w:color="auto" w:fill="EEF3F8"/>
          </w:tcPr>
          <w:p>
            <w:pPr>
              <w:spacing w:after="20"/>
              <w:jc w:val="right"/>
            </w:pPr>
            <w:r/>
            <w:r>
              <w:rPr>
                <w:b w:val="0"/>
                <w:i w:val="0"/>
                <w:sz w:val="17"/>
              </w:rPr>
              <w:t>549</w:t>
            </w:r>
          </w:p>
        </w:tc>
      </w:tr>
      <w:tr>
        <w:trPr>
          <w:cantSplit/>
        </w:trPr>
        <w:tc>
          <w:tcPr>
            <w:tcW w:type="dxa" w:w="794"/>
          </w:tcPr>
          <w:p>
            <w:pPr>
              <w:spacing w:after="20"/>
            </w:pPr>
            <w:r/>
            <w:r>
              <w:rPr>
                <w:b w:val="0"/>
                <w:i w:val="0"/>
                <w:sz w:val="17"/>
              </w:rPr>
              <w:t>2040</w:t>
            </w:r>
          </w:p>
        </w:tc>
        <w:tc>
          <w:tcPr>
            <w:tcW w:type="dxa" w:w="737"/>
          </w:tcPr>
          <w:p>
            <w:pPr>
              <w:spacing w:after="20"/>
              <w:jc w:val="right"/>
            </w:pPr>
            <w:r/>
            <w:r>
              <w:rPr>
                <w:b w:val="0"/>
                <w:i w:val="0"/>
                <w:sz w:val="17"/>
              </w:rPr>
              <w:t>44</w:t>
            </w:r>
          </w:p>
        </w:tc>
        <w:tc>
          <w:tcPr>
            <w:tcW w:type="dxa" w:w="850"/>
          </w:tcPr>
          <w:p>
            <w:pPr>
              <w:spacing w:after="20"/>
              <w:jc w:val="right"/>
            </w:pPr>
            <w:r/>
            <w:r>
              <w:rPr>
                <w:b w:val="0"/>
                <w:i w:val="0"/>
                <w:sz w:val="17"/>
              </w:rPr>
              <w:t>16.0</w:t>
            </w:r>
          </w:p>
        </w:tc>
        <w:tc>
          <w:tcPr>
            <w:tcW w:type="dxa" w:w="1361"/>
          </w:tcPr>
          <w:p>
            <w:pPr>
              <w:spacing w:after="20"/>
              <w:jc w:val="right"/>
            </w:pPr>
            <w:r/>
            <w:r>
              <w:rPr>
                <w:b w:val="0"/>
                <w:i w:val="0"/>
                <w:sz w:val="17"/>
              </w:rPr>
              <w:t>1,022</w:t>
            </w:r>
          </w:p>
        </w:tc>
        <w:tc>
          <w:tcPr>
            <w:tcW w:type="dxa" w:w="1134"/>
          </w:tcPr>
          <w:p>
            <w:pPr>
              <w:spacing w:after="20"/>
              <w:jc w:val="right"/>
            </w:pPr>
            <w:r/>
            <w:r>
              <w:rPr>
                <w:b w:val="0"/>
                <w:i w:val="0"/>
                <w:sz w:val="17"/>
              </w:rPr>
              <w:t>335</w:t>
            </w:r>
          </w:p>
        </w:tc>
        <w:tc>
          <w:tcPr>
            <w:tcW w:type="dxa" w:w="907"/>
          </w:tcPr>
          <w:p>
            <w:pPr>
              <w:spacing w:after="20"/>
              <w:jc w:val="right"/>
            </w:pPr>
            <w:r/>
            <w:r>
              <w:rPr>
                <w:b w:val="0"/>
                <w:i w:val="0"/>
                <w:sz w:val="17"/>
              </w:rPr>
              <w:t>0</w:t>
            </w:r>
          </w:p>
        </w:tc>
        <w:tc>
          <w:tcPr>
            <w:tcW w:type="dxa" w:w="1247"/>
          </w:tcPr>
          <w:p>
            <w:pPr>
              <w:spacing w:after="20"/>
              <w:jc w:val="right"/>
            </w:pPr>
            <w:r/>
            <w:r>
              <w:rPr>
                <w:b w:val="0"/>
                <w:i w:val="0"/>
                <w:sz w:val="17"/>
              </w:rPr>
              <w:t>686</w:t>
            </w:r>
          </w:p>
        </w:tc>
        <w:tc>
          <w:tcPr>
            <w:tcW w:type="dxa" w:w="1134"/>
          </w:tcPr>
          <w:p>
            <w:pPr>
              <w:spacing w:after="20"/>
              <w:jc w:val="right"/>
            </w:pPr>
            <w:r/>
            <w:r>
              <w:rPr>
                <w:b w:val="0"/>
                <w:i w:val="0"/>
                <w:sz w:val="17"/>
              </w:rPr>
              <w:t>286</w:t>
            </w:r>
          </w:p>
        </w:tc>
        <w:tc>
          <w:tcPr>
            <w:tcW w:type="dxa" w:w="1247"/>
          </w:tcPr>
          <w:p>
            <w:pPr>
              <w:spacing w:after="20"/>
              <w:jc w:val="right"/>
            </w:pPr>
            <w:r/>
            <w:r>
              <w:rPr>
                <w:b w:val="0"/>
                <w:i w:val="0"/>
                <w:sz w:val="17"/>
              </w:rPr>
              <w:t>400</w:t>
            </w:r>
          </w:p>
        </w:tc>
      </w:tr>
      <w:tr>
        <w:trPr>
          <w:cantSplit/>
        </w:trPr>
        <w:tc>
          <w:tcPr>
            <w:tcW w:type="dxa" w:w="794"/>
            <w:shd w:val="clear" w:color="auto" w:fill="EEF3F8"/>
          </w:tcPr>
          <w:p>
            <w:pPr>
              <w:spacing w:after="20"/>
            </w:pPr>
            <w:r/>
            <w:r>
              <w:rPr>
                <w:b w:val="0"/>
                <w:i w:val="0"/>
                <w:sz w:val="17"/>
              </w:rPr>
              <w:t>2045</w:t>
            </w:r>
          </w:p>
        </w:tc>
        <w:tc>
          <w:tcPr>
            <w:tcW w:type="dxa" w:w="737"/>
            <w:shd w:val="clear" w:color="auto" w:fill="EEF3F8"/>
          </w:tcPr>
          <w:p>
            <w:pPr>
              <w:spacing w:after="20"/>
              <w:jc w:val="right"/>
            </w:pPr>
            <w:r/>
            <w:r>
              <w:rPr>
                <w:b w:val="0"/>
                <w:i w:val="0"/>
                <w:sz w:val="17"/>
              </w:rPr>
              <w:t>26</w:t>
            </w:r>
          </w:p>
        </w:tc>
        <w:tc>
          <w:tcPr>
            <w:tcW w:type="dxa" w:w="850"/>
            <w:shd w:val="clear" w:color="auto" w:fill="EEF3F8"/>
          </w:tcPr>
          <w:p>
            <w:pPr>
              <w:spacing w:after="20"/>
              <w:jc w:val="right"/>
            </w:pPr>
            <w:r/>
            <w:r>
              <w:rPr>
                <w:b w:val="0"/>
                <w:i w:val="0"/>
                <w:sz w:val="17"/>
              </w:rPr>
              <w:t>9.4</w:t>
            </w:r>
          </w:p>
        </w:tc>
        <w:tc>
          <w:tcPr>
            <w:tcW w:type="dxa" w:w="1361"/>
            <w:shd w:val="clear" w:color="auto" w:fill="EEF3F8"/>
          </w:tcPr>
          <w:p>
            <w:pPr>
              <w:spacing w:after="20"/>
              <w:jc w:val="right"/>
            </w:pPr>
            <w:r/>
            <w:r>
              <w:rPr>
                <w:b w:val="0"/>
                <w:i w:val="0"/>
                <w:sz w:val="17"/>
              </w:rPr>
              <w:t>603</w:t>
            </w:r>
          </w:p>
        </w:tc>
        <w:tc>
          <w:tcPr>
            <w:tcW w:type="dxa" w:w="1134"/>
            <w:shd w:val="clear" w:color="auto" w:fill="EEF3F8"/>
          </w:tcPr>
          <w:p>
            <w:pPr>
              <w:spacing w:after="20"/>
              <w:jc w:val="right"/>
            </w:pPr>
            <w:r/>
            <w:r>
              <w:rPr>
                <w:b w:val="0"/>
                <w:i w:val="0"/>
                <w:sz w:val="17"/>
              </w:rPr>
              <w:t>198</w:t>
            </w:r>
          </w:p>
        </w:tc>
        <w:tc>
          <w:tcPr>
            <w:tcW w:type="dxa" w:w="907"/>
            <w:shd w:val="clear" w:color="auto" w:fill="EEF3F8"/>
          </w:tcPr>
          <w:p>
            <w:pPr>
              <w:spacing w:after="20"/>
              <w:jc w:val="right"/>
            </w:pPr>
            <w:r/>
            <w:r>
              <w:rPr>
                <w:b w:val="0"/>
                <w:i w:val="0"/>
                <w:sz w:val="17"/>
              </w:rPr>
              <w:t>0</w:t>
            </w:r>
          </w:p>
        </w:tc>
        <w:tc>
          <w:tcPr>
            <w:tcW w:type="dxa" w:w="1247"/>
            <w:shd w:val="clear" w:color="auto" w:fill="EEF3F8"/>
          </w:tcPr>
          <w:p>
            <w:pPr>
              <w:spacing w:after="20"/>
              <w:jc w:val="right"/>
            </w:pPr>
            <w:r/>
            <w:r>
              <w:rPr>
                <w:b w:val="0"/>
                <w:i w:val="0"/>
                <w:sz w:val="17"/>
              </w:rPr>
              <w:t>405</w:t>
            </w:r>
          </w:p>
        </w:tc>
        <w:tc>
          <w:tcPr>
            <w:tcW w:type="dxa" w:w="1134"/>
            <w:shd w:val="clear" w:color="auto" w:fill="EEF3F8"/>
          </w:tcPr>
          <w:p>
            <w:pPr>
              <w:spacing w:after="20"/>
              <w:jc w:val="right"/>
            </w:pPr>
            <w:r/>
            <w:r>
              <w:rPr>
                <w:b w:val="0"/>
                <w:i w:val="0"/>
                <w:sz w:val="17"/>
              </w:rPr>
              <w:t>169</w:t>
            </w:r>
          </w:p>
        </w:tc>
        <w:tc>
          <w:tcPr>
            <w:tcW w:type="dxa" w:w="1247"/>
            <w:shd w:val="clear" w:color="auto" w:fill="EEF3F8"/>
          </w:tcPr>
          <w:p>
            <w:pPr>
              <w:spacing w:after="20"/>
              <w:jc w:val="right"/>
            </w:pPr>
            <w:r/>
            <w:r>
              <w:rPr>
                <w:b w:val="0"/>
                <w:i w:val="0"/>
                <w:sz w:val="17"/>
              </w:rPr>
              <w:t>236</w:t>
            </w:r>
          </w:p>
        </w:tc>
      </w:tr>
      <w:tr>
        <w:trPr>
          <w:cantSplit/>
        </w:trPr>
        <w:tc>
          <w:tcPr>
            <w:tcW w:type="dxa" w:w="794"/>
          </w:tcPr>
          <w:p>
            <w:pPr>
              <w:spacing w:after="20"/>
            </w:pPr>
            <w:r/>
            <w:r>
              <w:rPr>
                <w:b w:val="0"/>
                <w:i w:val="0"/>
                <w:sz w:val="17"/>
              </w:rPr>
              <w:t>2050</w:t>
            </w:r>
          </w:p>
        </w:tc>
        <w:tc>
          <w:tcPr>
            <w:tcW w:type="dxa" w:w="737"/>
          </w:tcPr>
          <w:p>
            <w:pPr>
              <w:spacing w:after="20"/>
              <w:jc w:val="right"/>
            </w:pPr>
            <w:r/>
            <w:r>
              <w:rPr>
                <w:b w:val="0"/>
                <w:i w:val="0"/>
                <w:sz w:val="17"/>
              </w:rPr>
              <w:t>15</w:t>
            </w:r>
          </w:p>
        </w:tc>
        <w:tc>
          <w:tcPr>
            <w:tcW w:type="dxa" w:w="850"/>
          </w:tcPr>
          <w:p>
            <w:pPr>
              <w:spacing w:after="20"/>
              <w:jc w:val="right"/>
            </w:pPr>
            <w:r/>
            <w:r>
              <w:rPr>
                <w:b w:val="0"/>
                <w:i w:val="0"/>
                <w:sz w:val="17"/>
              </w:rPr>
              <w:t>5.6</w:t>
            </w:r>
          </w:p>
        </w:tc>
        <w:tc>
          <w:tcPr>
            <w:tcW w:type="dxa" w:w="1361"/>
          </w:tcPr>
          <w:p>
            <w:pPr>
              <w:spacing w:after="20"/>
              <w:jc w:val="right"/>
            </w:pPr>
            <w:r/>
            <w:r>
              <w:rPr>
                <w:b w:val="0"/>
                <w:i w:val="0"/>
                <w:sz w:val="17"/>
              </w:rPr>
              <w:t>356</w:t>
            </w:r>
          </w:p>
        </w:tc>
        <w:tc>
          <w:tcPr>
            <w:tcW w:type="dxa" w:w="1134"/>
          </w:tcPr>
          <w:p>
            <w:pPr>
              <w:spacing w:after="20"/>
              <w:jc w:val="right"/>
            </w:pPr>
            <w:r/>
            <w:r>
              <w:rPr>
                <w:b w:val="0"/>
                <w:i w:val="0"/>
                <w:sz w:val="17"/>
              </w:rPr>
              <w:t>117</w:t>
            </w:r>
          </w:p>
        </w:tc>
        <w:tc>
          <w:tcPr>
            <w:tcW w:type="dxa" w:w="907"/>
          </w:tcPr>
          <w:p>
            <w:pPr>
              <w:spacing w:after="20"/>
              <w:jc w:val="right"/>
            </w:pPr>
            <w:r/>
            <w:r>
              <w:rPr>
                <w:b w:val="0"/>
                <w:i w:val="0"/>
                <w:sz w:val="17"/>
              </w:rPr>
              <w:t>0</w:t>
            </w:r>
          </w:p>
        </w:tc>
        <w:tc>
          <w:tcPr>
            <w:tcW w:type="dxa" w:w="1247"/>
          </w:tcPr>
          <w:p>
            <w:pPr>
              <w:spacing w:after="20"/>
              <w:jc w:val="right"/>
            </w:pPr>
            <w:r/>
            <w:r>
              <w:rPr>
                <w:b w:val="0"/>
                <w:i w:val="0"/>
                <w:sz w:val="17"/>
              </w:rPr>
              <w:t>239</w:t>
            </w:r>
          </w:p>
        </w:tc>
        <w:tc>
          <w:tcPr>
            <w:tcW w:type="dxa" w:w="1134"/>
          </w:tcPr>
          <w:p>
            <w:pPr>
              <w:spacing w:after="20"/>
              <w:jc w:val="right"/>
            </w:pPr>
            <w:r/>
            <w:r>
              <w:rPr>
                <w:b w:val="0"/>
                <w:i w:val="0"/>
                <w:sz w:val="17"/>
              </w:rPr>
              <w:t>100</w:t>
            </w:r>
          </w:p>
        </w:tc>
        <w:tc>
          <w:tcPr>
            <w:tcW w:type="dxa" w:w="1247"/>
          </w:tcPr>
          <w:p>
            <w:pPr>
              <w:spacing w:after="20"/>
              <w:jc w:val="right"/>
            </w:pPr>
            <w:r/>
            <w:r>
              <w:rPr>
                <w:b w:val="0"/>
                <w:i w:val="0"/>
                <w:sz w:val="17"/>
              </w:rPr>
              <w:t>140</w:t>
            </w:r>
          </w:p>
        </w:tc>
      </w:tr>
    </w:tbl>
    <w:p>
      <w:r>
        <w:rPr>
          <w:i/>
          <w:sz w:val="16"/>
        </w:rPr>
        <w:t>Selected years of the base-case cash flow (US$ million; fiscal case A).</w:t>
      </w:r>
    </w:p>
    <w:p>
      <w:pPr>
        <w:jc w:val="center"/>
      </w:pPr>
      <w:r>
        <w:drawing>
          <wp:inline xmlns:a="http://schemas.openxmlformats.org/drawingml/2006/main" xmlns:pic="http://schemas.openxmlformats.org/drawingml/2006/picture">
            <wp:extent cx="5400000" cy="2160000"/>
            <wp:docPr id="11" name="Picture 11"/>
            <wp:cNvGraphicFramePr>
              <a:graphicFrameLocks noChangeAspect="1"/>
            </wp:cNvGraphicFramePr>
            <a:graphic>
              <a:graphicData uri="http://schemas.openxmlformats.org/drawingml/2006/picture">
                <pic:pic>
                  <pic:nvPicPr>
                    <pic:cNvPr id="0" name="f9_lokichar_profile.png"/>
                    <pic:cNvPicPr/>
                  </pic:nvPicPr>
                  <pic:blipFill>
                    <a:blip r:embed="rId20"/>
                    <a:stretch>
                      <a:fillRect/>
                    </a:stretch>
                  </pic:blipFill>
                  <pic:spPr>
                    <a:xfrm>
                      <a:off x="0" y="0"/>
                      <a:ext cx="5400000" cy="2160000"/>
                    </a:xfrm>
                    <a:prstGeom prst="rect"/>
                  </pic:spPr>
                </pic:pic>
              </a:graphicData>
            </a:graphic>
          </wp:inline>
        </w:drawing>
      </w:r>
    </w:p>
    <w:p>
      <w:pPr>
        <w:jc w:val="center"/>
      </w:pPr>
      <w:r>
        <w:rPr>
          <w:i/>
          <w:sz w:val="17"/>
        </w:rPr>
        <w:t>Figure 11. Base-case production and cumulative pre-fiscal cash flow.</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361"/>
            <w:shd w:val="clear" w:color="auto" w:fill="1F4E79"/>
          </w:tcPr>
          <w:p>
            <w:pPr>
              <w:spacing w:after="20"/>
            </w:pPr>
            <w:r/>
            <w:r>
              <w:rPr>
                <w:b/>
                <w:color w:val="FFFFFF"/>
                <w:sz w:val="17"/>
              </w:rPr>
              <w:t>Brent (US$)</w:t>
            </w:r>
          </w:p>
        </w:tc>
        <w:tc>
          <w:tcPr>
            <w:tcW w:type="dxa" w:w="1474"/>
            <w:shd w:val="clear" w:color="auto" w:fill="1F4E79"/>
          </w:tcPr>
          <w:p>
            <w:pPr>
              <w:spacing w:after="20"/>
            </w:pPr>
            <w:r/>
            <w:r>
              <w:rPr>
                <w:b/>
                <w:color w:val="FFFFFF"/>
                <w:sz w:val="17"/>
              </w:rPr>
              <w:t>Plateau (kbpd)</w:t>
            </w:r>
          </w:p>
        </w:tc>
        <w:tc>
          <w:tcPr>
            <w:tcW w:type="dxa" w:w="2041"/>
            <w:shd w:val="clear" w:color="auto" w:fill="1F4E79"/>
          </w:tcPr>
          <w:p>
            <w:pPr>
              <w:spacing w:after="20"/>
            </w:pPr>
            <w:r/>
            <w:r>
              <w:rPr>
                <w:b/>
                <w:color w:val="FFFFFF"/>
                <w:sz w:val="17"/>
              </w:rPr>
              <w:t>Project NPV10 (US$ m)</w:t>
            </w:r>
          </w:p>
        </w:tc>
        <w:tc>
          <w:tcPr>
            <w:tcW w:type="dxa" w:w="1361"/>
            <w:shd w:val="clear" w:color="auto" w:fill="1F4E79"/>
          </w:tcPr>
          <w:p>
            <w:pPr>
              <w:spacing w:after="20"/>
            </w:pPr>
            <w:r/>
            <w:r>
              <w:rPr>
                <w:b/>
                <w:color w:val="FFFFFF"/>
                <w:sz w:val="17"/>
              </w:rPr>
              <w:t>Project IRR</w:t>
            </w:r>
          </w:p>
        </w:tc>
        <w:tc>
          <w:tcPr>
            <w:tcW w:type="dxa" w:w="1928"/>
            <w:shd w:val="clear" w:color="auto" w:fill="1F4E79"/>
          </w:tcPr>
          <w:p>
            <w:pPr>
              <w:spacing w:after="20"/>
            </w:pPr>
            <w:r/>
            <w:r>
              <w:rPr>
                <w:b/>
                <w:color w:val="FFFFFF"/>
                <w:sz w:val="17"/>
              </w:rPr>
              <w:t>Govt NPV10 (US$ m)</w:t>
            </w:r>
          </w:p>
        </w:tc>
        <w:tc>
          <w:tcPr>
            <w:tcW w:type="dxa" w:w="1247"/>
            <w:shd w:val="clear" w:color="auto" w:fill="1F4E79"/>
          </w:tcPr>
          <w:p>
            <w:pPr>
              <w:spacing w:after="20"/>
            </w:pPr>
            <w:r/>
            <w:r>
              <w:rPr>
                <w:b/>
                <w:color w:val="FFFFFF"/>
                <w:sz w:val="17"/>
              </w:rPr>
              <w:t>Payback</w:t>
            </w:r>
          </w:p>
        </w:tc>
      </w:tr>
      <w:tr>
        <w:trPr>
          <w:cantSplit/>
        </w:trPr>
        <w:tc>
          <w:tcPr>
            <w:tcW w:type="dxa" w:w="1361"/>
          </w:tcPr>
          <w:p>
            <w:pPr>
              <w:spacing w:after="20"/>
            </w:pPr>
            <w:r/>
            <w:r>
              <w:rPr>
                <w:b w:val="0"/>
                <w:i w:val="0"/>
                <w:sz w:val="17"/>
              </w:rPr>
              <w:t>50</w:t>
            </w:r>
          </w:p>
        </w:tc>
        <w:tc>
          <w:tcPr>
            <w:tcW w:type="dxa" w:w="1474"/>
          </w:tcPr>
          <w:p>
            <w:pPr>
              <w:spacing w:after="20"/>
              <w:jc w:val="right"/>
            </w:pPr>
            <w:r/>
            <w:r>
              <w:rPr>
                <w:b w:val="0"/>
                <w:i w:val="0"/>
                <w:sz w:val="17"/>
              </w:rPr>
              <w:t>60</w:t>
            </w:r>
          </w:p>
        </w:tc>
        <w:tc>
          <w:tcPr>
            <w:tcW w:type="dxa" w:w="2041"/>
          </w:tcPr>
          <w:p>
            <w:pPr>
              <w:spacing w:after="20"/>
              <w:jc w:val="right"/>
            </w:pPr>
            <w:r/>
            <w:r>
              <w:rPr>
                <w:b w:val="0"/>
                <w:i w:val="0"/>
                <w:sz w:val="17"/>
              </w:rPr>
              <w:t>-1,588</w:t>
            </w:r>
          </w:p>
        </w:tc>
        <w:tc>
          <w:tcPr>
            <w:tcW w:type="dxa" w:w="1361"/>
          </w:tcPr>
          <w:p>
            <w:pPr>
              <w:spacing w:after="20"/>
              <w:jc w:val="right"/>
            </w:pPr>
            <w:r/>
            <w:r>
              <w:rPr>
                <w:b w:val="0"/>
                <w:i w:val="0"/>
                <w:sz w:val="17"/>
              </w:rPr>
              <w:t>5%</w:t>
            </w:r>
          </w:p>
        </w:tc>
        <w:tc>
          <w:tcPr>
            <w:tcW w:type="dxa" w:w="1928"/>
          </w:tcPr>
          <w:p>
            <w:pPr>
              <w:spacing w:after="20"/>
              <w:jc w:val="right"/>
            </w:pPr>
            <w:r/>
            <w:r>
              <w:rPr>
                <w:b w:val="0"/>
                <w:i w:val="0"/>
                <w:sz w:val="17"/>
              </w:rPr>
              <w:t>1,934</w:t>
            </w:r>
          </w:p>
        </w:tc>
        <w:tc>
          <w:tcPr>
            <w:tcW w:type="dxa" w:w="1247"/>
          </w:tcPr>
          <w:p>
            <w:pPr>
              <w:spacing w:after="20"/>
              <w:jc w:val="right"/>
            </w:pPr>
            <w:r/>
            <w:r>
              <w:rPr>
                <w:b w:val="0"/>
                <w:i w:val="0"/>
                <w:sz w:val="17"/>
              </w:rPr>
              <w:t>2040</w:t>
            </w:r>
          </w:p>
        </w:tc>
      </w:tr>
      <w:tr>
        <w:trPr>
          <w:cantSplit/>
        </w:trPr>
        <w:tc>
          <w:tcPr>
            <w:tcW w:type="dxa" w:w="1361"/>
            <w:shd w:val="clear" w:color="auto" w:fill="EEF3F8"/>
          </w:tcPr>
          <w:p>
            <w:pPr>
              <w:spacing w:after="20"/>
            </w:pPr>
            <w:r/>
            <w:r>
              <w:rPr>
                <w:b w:val="0"/>
                <w:i w:val="0"/>
                <w:sz w:val="17"/>
              </w:rPr>
              <w:t>50</w:t>
            </w:r>
          </w:p>
        </w:tc>
        <w:tc>
          <w:tcPr>
            <w:tcW w:type="dxa" w:w="1474"/>
            <w:shd w:val="clear" w:color="auto" w:fill="EEF3F8"/>
          </w:tcPr>
          <w:p>
            <w:pPr>
              <w:spacing w:after="20"/>
              <w:jc w:val="right"/>
            </w:pPr>
            <w:r/>
            <w:r>
              <w:rPr>
                <w:b w:val="0"/>
                <w:i w:val="0"/>
                <w:sz w:val="17"/>
              </w:rPr>
              <w:t>100</w:t>
            </w:r>
          </w:p>
        </w:tc>
        <w:tc>
          <w:tcPr>
            <w:tcW w:type="dxa" w:w="2041"/>
            <w:shd w:val="clear" w:color="auto" w:fill="EEF3F8"/>
          </w:tcPr>
          <w:p>
            <w:pPr>
              <w:spacing w:after="20"/>
              <w:jc w:val="right"/>
            </w:pPr>
            <w:r/>
            <w:r>
              <w:rPr>
                <w:b w:val="0"/>
                <w:i w:val="0"/>
                <w:sz w:val="17"/>
              </w:rPr>
              <w:t>569</w:t>
            </w:r>
          </w:p>
        </w:tc>
        <w:tc>
          <w:tcPr>
            <w:tcW w:type="dxa" w:w="1361"/>
            <w:shd w:val="clear" w:color="auto" w:fill="EEF3F8"/>
          </w:tcPr>
          <w:p>
            <w:pPr>
              <w:spacing w:after="20"/>
              <w:jc w:val="right"/>
            </w:pPr>
            <w:r/>
            <w:r>
              <w:rPr>
                <w:b w:val="0"/>
                <w:i w:val="0"/>
                <w:sz w:val="17"/>
              </w:rPr>
              <w:t>12%</w:t>
            </w:r>
          </w:p>
        </w:tc>
        <w:tc>
          <w:tcPr>
            <w:tcW w:type="dxa" w:w="1928"/>
            <w:shd w:val="clear" w:color="auto" w:fill="EEF3F8"/>
          </w:tcPr>
          <w:p>
            <w:pPr>
              <w:spacing w:after="20"/>
              <w:jc w:val="right"/>
            </w:pPr>
            <w:r/>
            <w:r>
              <w:rPr>
                <w:b w:val="0"/>
                <w:i w:val="0"/>
                <w:sz w:val="17"/>
              </w:rPr>
              <w:t>3,102</w:t>
            </w:r>
          </w:p>
        </w:tc>
        <w:tc>
          <w:tcPr>
            <w:tcW w:type="dxa" w:w="1247"/>
            <w:shd w:val="clear" w:color="auto" w:fill="EEF3F8"/>
          </w:tcPr>
          <w:p>
            <w:pPr>
              <w:spacing w:after="20"/>
              <w:jc w:val="right"/>
            </w:pPr>
            <w:r/>
            <w:r>
              <w:rPr>
                <w:b w:val="0"/>
                <w:i w:val="0"/>
                <w:sz w:val="17"/>
              </w:rPr>
              <w:t>2035</w:t>
            </w:r>
          </w:p>
        </w:tc>
      </w:tr>
      <w:tr>
        <w:trPr>
          <w:cantSplit/>
        </w:trPr>
        <w:tc>
          <w:tcPr>
            <w:tcW w:type="dxa" w:w="1361"/>
          </w:tcPr>
          <w:p>
            <w:pPr>
              <w:spacing w:after="20"/>
            </w:pPr>
            <w:r/>
            <w:r>
              <w:rPr>
                <w:b w:val="0"/>
                <w:i w:val="0"/>
                <w:sz w:val="17"/>
              </w:rPr>
              <w:t>70</w:t>
            </w:r>
          </w:p>
        </w:tc>
        <w:tc>
          <w:tcPr>
            <w:tcW w:type="dxa" w:w="1474"/>
          </w:tcPr>
          <w:p>
            <w:pPr>
              <w:spacing w:after="20"/>
              <w:jc w:val="right"/>
            </w:pPr>
            <w:r/>
            <w:r>
              <w:rPr>
                <w:b w:val="0"/>
                <w:i w:val="0"/>
                <w:sz w:val="17"/>
              </w:rPr>
              <w:t>60</w:t>
            </w:r>
          </w:p>
        </w:tc>
        <w:tc>
          <w:tcPr>
            <w:tcW w:type="dxa" w:w="2041"/>
          </w:tcPr>
          <w:p>
            <w:pPr>
              <w:spacing w:after="20"/>
              <w:jc w:val="right"/>
            </w:pPr>
            <w:r/>
            <w:r>
              <w:rPr>
                <w:b w:val="0"/>
                <w:i w:val="0"/>
                <w:sz w:val="17"/>
              </w:rPr>
              <w:t>1,551</w:t>
            </w:r>
          </w:p>
        </w:tc>
        <w:tc>
          <w:tcPr>
            <w:tcW w:type="dxa" w:w="1361"/>
          </w:tcPr>
          <w:p>
            <w:pPr>
              <w:spacing w:after="20"/>
              <w:jc w:val="right"/>
            </w:pPr>
            <w:r/>
            <w:r>
              <w:rPr>
                <w:b w:val="0"/>
                <w:i w:val="0"/>
                <w:sz w:val="17"/>
              </w:rPr>
              <w:t>15%</w:t>
            </w:r>
          </w:p>
        </w:tc>
        <w:tc>
          <w:tcPr>
            <w:tcW w:type="dxa" w:w="1928"/>
          </w:tcPr>
          <w:p>
            <w:pPr>
              <w:spacing w:after="20"/>
              <w:jc w:val="right"/>
            </w:pPr>
            <w:r/>
            <w:r>
              <w:rPr>
                <w:b w:val="0"/>
                <w:i w:val="0"/>
                <w:sz w:val="17"/>
              </w:rPr>
              <w:t>2,813</w:t>
            </w:r>
          </w:p>
        </w:tc>
        <w:tc>
          <w:tcPr>
            <w:tcW w:type="dxa" w:w="1247"/>
          </w:tcPr>
          <w:p>
            <w:pPr>
              <w:spacing w:after="20"/>
              <w:jc w:val="right"/>
            </w:pPr>
            <w:r/>
            <w:r>
              <w:rPr>
                <w:b w:val="0"/>
                <w:i w:val="0"/>
                <w:sz w:val="17"/>
              </w:rPr>
              <w:t>2034</w:t>
            </w:r>
          </w:p>
        </w:tc>
      </w:tr>
      <w:tr>
        <w:trPr>
          <w:cantSplit/>
        </w:trPr>
        <w:tc>
          <w:tcPr>
            <w:tcW w:type="dxa" w:w="1361"/>
            <w:shd w:val="clear" w:color="auto" w:fill="EEF3F8"/>
          </w:tcPr>
          <w:p>
            <w:pPr>
              <w:spacing w:after="20"/>
            </w:pPr>
            <w:r/>
            <w:r>
              <w:rPr>
                <w:b w:val="0"/>
                <w:i w:val="0"/>
                <w:sz w:val="17"/>
              </w:rPr>
              <w:t>70</w:t>
            </w:r>
          </w:p>
        </w:tc>
        <w:tc>
          <w:tcPr>
            <w:tcW w:type="dxa" w:w="1474"/>
            <w:shd w:val="clear" w:color="auto" w:fill="EEF3F8"/>
          </w:tcPr>
          <w:p>
            <w:pPr>
              <w:spacing w:after="20"/>
              <w:jc w:val="right"/>
            </w:pPr>
            <w:r/>
            <w:r>
              <w:rPr>
                <w:b w:val="0"/>
                <w:i w:val="0"/>
                <w:sz w:val="17"/>
              </w:rPr>
              <w:t>100</w:t>
            </w:r>
          </w:p>
        </w:tc>
        <w:tc>
          <w:tcPr>
            <w:tcW w:type="dxa" w:w="2041"/>
            <w:shd w:val="clear" w:color="auto" w:fill="EEF3F8"/>
          </w:tcPr>
          <w:p>
            <w:pPr>
              <w:spacing w:after="20"/>
              <w:jc w:val="right"/>
            </w:pPr>
            <w:r/>
            <w:r>
              <w:rPr>
                <w:b w:val="0"/>
                <w:i w:val="0"/>
                <w:sz w:val="17"/>
              </w:rPr>
              <w:t>5,606</w:t>
            </w:r>
          </w:p>
        </w:tc>
        <w:tc>
          <w:tcPr>
            <w:tcW w:type="dxa" w:w="1361"/>
            <w:shd w:val="clear" w:color="auto" w:fill="EEF3F8"/>
          </w:tcPr>
          <w:p>
            <w:pPr>
              <w:spacing w:after="20"/>
              <w:jc w:val="right"/>
            </w:pPr>
            <w:r/>
            <w:r>
              <w:rPr>
                <w:b w:val="0"/>
                <w:i w:val="0"/>
                <w:sz w:val="17"/>
              </w:rPr>
              <w:t>29%</w:t>
            </w:r>
          </w:p>
        </w:tc>
        <w:tc>
          <w:tcPr>
            <w:tcW w:type="dxa" w:w="1928"/>
            <w:shd w:val="clear" w:color="auto" w:fill="EEF3F8"/>
          </w:tcPr>
          <w:p>
            <w:pPr>
              <w:spacing w:after="20"/>
              <w:jc w:val="right"/>
            </w:pPr>
            <w:r/>
            <w:r>
              <w:rPr>
                <w:b w:val="0"/>
                <w:i w:val="0"/>
                <w:sz w:val="17"/>
              </w:rPr>
              <w:t>4,676</w:t>
            </w:r>
          </w:p>
        </w:tc>
        <w:tc>
          <w:tcPr>
            <w:tcW w:type="dxa" w:w="1247"/>
            <w:shd w:val="clear" w:color="auto" w:fill="EEF3F8"/>
          </w:tcPr>
          <w:p>
            <w:pPr>
              <w:spacing w:after="20"/>
              <w:jc w:val="right"/>
            </w:pPr>
            <w:r/>
            <w:r>
              <w:rPr>
                <w:b w:val="0"/>
                <w:i w:val="0"/>
                <w:sz w:val="17"/>
              </w:rPr>
              <w:t>2031</w:t>
            </w:r>
          </w:p>
        </w:tc>
      </w:tr>
      <w:tr>
        <w:trPr>
          <w:cantSplit/>
        </w:trPr>
        <w:tc>
          <w:tcPr>
            <w:tcW w:type="dxa" w:w="1361"/>
          </w:tcPr>
          <w:p>
            <w:pPr>
              <w:spacing w:after="20"/>
            </w:pPr>
            <w:r/>
            <w:r>
              <w:rPr>
                <w:b w:val="0"/>
                <w:i w:val="0"/>
                <w:sz w:val="17"/>
              </w:rPr>
              <w:t>90</w:t>
            </w:r>
          </w:p>
        </w:tc>
        <w:tc>
          <w:tcPr>
            <w:tcW w:type="dxa" w:w="1474"/>
          </w:tcPr>
          <w:p>
            <w:pPr>
              <w:spacing w:after="20"/>
              <w:jc w:val="right"/>
            </w:pPr>
            <w:r/>
            <w:r>
              <w:rPr>
                <w:b w:val="0"/>
                <w:i w:val="0"/>
                <w:sz w:val="17"/>
              </w:rPr>
              <w:t>60</w:t>
            </w:r>
          </w:p>
        </w:tc>
        <w:tc>
          <w:tcPr>
            <w:tcW w:type="dxa" w:w="2041"/>
          </w:tcPr>
          <w:p>
            <w:pPr>
              <w:spacing w:after="20"/>
              <w:jc w:val="right"/>
            </w:pPr>
            <w:r/>
            <w:r>
              <w:rPr>
                <w:b w:val="0"/>
                <w:i w:val="0"/>
                <w:sz w:val="17"/>
              </w:rPr>
              <w:t>4,689</w:t>
            </w:r>
          </w:p>
        </w:tc>
        <w:tc>
          <w:tcPr>
            <w:tcW w:type="dxa" w:w="1361"/>
          </w:tcPr>
          <w:p>
            <w:pPr>
              <w:spacing w:after="20"/>
              <w:jc w:val="right"/>
            </w:pPr>
            <w:r/>
            <w:r>
              <w:rPr>
                <w:b w:val="0"/>
                <w:i w:val="0"/>
                <w:sz w:val="17"/>
              </w:rPr>
              <w:t>25%</w:t>
            </w:r>
          </w:p>
        </w:tc>
        <w:tc>
          <w:tcPr>
            <w:tcW w:type="dxa" w:w="1928"/>
          </w:tcPr>
          <w:p>
            <w:pPr>
              <w:spacing w:after="20"/>
              <w:jc w:val="right"/>
            </w:pPr>
            <w:r/>
            <w:r>
              <w:rPr>
                <w:b w:val="0"/>
                <w:i w:val="0"/>
                <w:sz w:val="17"/>
              </w:rPr>
              <w:t>4,004</w:t>
            </w:r>
          </w:p>
        </w:tc>
        <w:tc>
          <w:tcPr>
            <w:tcW w:type="dxa" w:w="1247"/>
          </w:tcPr>
          <w:p>
            <w:pPr>
              <w:spacing w:after="20"/>
              <w:jc w:val="right"/>
            </w:pPr>
            <w:r/>
            <w:r>
              <w:rPr>
                <w:b w:val="0"/>
                <w:i w:val="0"/>
                <w:sz w:val="17"/>
              </w:rPr>
              <w:t>2032</w:t>
            </w:r>
          </w:p>
        </w:tc>
      </w:tr>
      <w:tr>
        <w:trPr>
          <w:cantSplit/>
        </w:trPr>
        <w:tc>
          <w:tcPr>
            <w:tcW w:type="dxa" w:w="1361"/>
            <w:shd w:val="clear" w:color="auto" w:fill="EEF3F8"/>
          </w:tcPr>
          <w:p>
            <w:pPr>
              <w:spacing w:after="20"/>
            </w:pPr>
            <w:r/>
            <w:r>
              <w:rPr>
                <w:b w:val="0"/>
                <w:i w:val="0"/>
                <w:sz w:val="17"/>
              </w:rPr>
              <w:t>90</w:t>
            </w:r>
          </w:p>
        </w:tc>
        <w:tc>
          <w:tcPr>
            <w:tcW w:type="dxa" w:w="1474"/>
            <w:shd w:val="clear" w:color="auto" w:fill="EEF3F8"/>
          </w:tcPr>
          <w:p>
            <w:pPr>
              <w:spacing w:after="20"/>
              <w:jc w:val="right"/>
            </w:pPr>
            <w:r/>
            <w:r>
              <w:rPr>
                <w:b w:val="0"/>
                <w:i w:val="0"/>
                <w:sz w:val="17"/>
              </w:rPr>
              <w:t>100</w:t>
            </w:r>
          </w:p>
        </w:tc>
        <w:tc>
          <w:tcPr>
            <w:tcW w:type="dxa" w:w="2041"/>
            <w:shd w:val="clear" w:color="auto" w:fill="EEF3F8"/>
          </w:tcPr>
          <w:p>
            <w:pPr>
              <w:spacing w:after="20"/>
              <w:jc w:val="right"/>
            </w:pPr>
            <w:r/>
            <w:r>
              <w:rPr>
                <w:b w:val="0"/>
                <w:i w:val="0"/>
                <w:sz w:val="17"/>
              </w:rPr>
              <w:t>10,642</w:t>
            </w:r>
          </w:p>
        </w:tc>
        <w:tc>
          <w:tcPr>
            <w:tcW w:type="dxa" w:w="1361"/>
            <w:shd w:val="clear" w:color="auto" w:fill="EEF3F8"/>
          </w:tcPr>
          <w:p>
            <w:pPr>
              <w:spacing w:after="20"/>
              <w:jc w:val="right"/>
            </w:pPr>
            <w:r/>
            <w:r>
              <w:rPr>
                <w:b w:val="0"/>
                <w:i w:val="0"/>
                <w:sz w:val="17"/>
              </w:rPr>
              <w:t>46%</w:t>
            </w:r>
          </w:p>
        </w:tc>
        <w:tc>
          <w:tcPr>
            <w:tcW w:type="dxa" w:w="1928"/>
            <w:shd w:val="clear" w:color="auto" w:fill="EEF3F8"/>
          </w:tcPr>
          <w:p>
            <w:pPr>
              <w:spacing w:after="20"/>
              <w:jc w:val="right"/>
            </w:pPr>
            <w:r/>
            <w:r>
              <w:rPr>
                <w:b w:val="0"/>
                <w:i w:val="0"/>
                <w:sz w:val="17"/>
              </w:rPr>
              <w:t>7,064</w:t>
            </w:r>
          </w:p>
        </w:tc>
        <w:tc>
          <w:tcPr>
            <w:tcW w:type="dxa" w:w="1247"/>
            <w:shd w:val="clear" w:color="auto" w:fill="EEF3F8"/>
          </w:tcPr>
          <w:p>
            <w:pPr>
              <w:spacing w:after="20"/>
              <w:jc w:val="right"/>
            </w:pPr>
            <w:r/>
            <w:r>
              <w:rPr>
                <w:b w:val="0"/>
                <w:i w:val="0"/>
                <w:sz w:val="17"/>
              </w:rPr>
              <w:t>2030</w:t>
            </w:r>
          </w:p>
        </w:tc>
      </w:tr>
    </w:tbl>
    <w:p>
      <w:pPr>
        <w:spacing w:after="40"/>
      </w:pP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701"/>
            <w:shd w:val="clear" w:color="auto" w:fill="1F4E79"/>
          </w:tcPr>
          <w:p>
            <w:pPr>
              <w:spacing w:after="20"/>
            </w:pPr>
            <w:r/>
            <w:r>
              <w:rPr>
                <w:b/>
                <w:color w:val="FFFFFF"/>
                <w:sz w:val="17"/>
              </w:rPr>
              <w:t>Brent \ plateau</w:t>
            </w:r>
          </w:p>
        </w:tc>
        <w:tc>
          <w:tcPr>
            <w:tcW w:type="dxa" w:w="1531"/>
            <w:shd w:val="clear" w:color="auto" w:fill="1F4E79"/>
          </w:tcPr>
          <w:p>
            <w:pPr>
              <w:spacing w:after="20"/>
            </w:pPr>
            <w:r/>
            <w:r>
              <w:rPr>
                <w:b/>
                <w:color w:val="FFFFFF"/>
                <w:sz w:val="17"/>
              </w:rPr>
              <w:t>80% of 60 kbpd</w:t>
            </w:r>
          </w:p>
        </w:tc>
        <w:tc>
          <w:tcPr>
            <w:tcW w:type="dxa" w:w="1531"/>
            <w:shd w:val="clear" w:color="auto" w:fill="1F4E79"/>
          </w:tcPr>
          <w:p>
            <w:pPr>
              <w:spacing w:after="20"/>
            </w:pPr>
            <w:r/>
            <w:r>
              <w:rPr>
                <w:b/>
                <w:color w:val="FFFFFF"/>
                <w:sz w:val="17"/>
              </w:rPr>
              <w:t>90% of 60 kbpd</w:t>
            </w:r>
          </w:p>
        </w:tc>
        <w:tc>
          <w:tcPr>
            <w:tcW w:type="dxa" w:w="1531"/>
            <w:shd w:val="clear" w:color="auto" w:fill="1F4E79"/>
          </w:tcPr>
          <w:p>
            <w:pPr>
              <w:spacing w:after="20"/>
            </w:pPr>
            <w:r/>
            <w:r>
              <w:rPr>
                <w:b/>
                <w:color w:val="FFFFFF"/>
                <w:sz w:val="17"/>
              </w:rPr>
              <w:t>100% of 60 kbpd</w:t>
            </w:r>
          </w:p>
        </w:tc>
        <w:tc>
          <w:tcPr>
            <w:tcW w:type="dxa" w:w="1531"/>
            <w:shd w:val="clear" w:color="auto" w:fill="1F4E79"/>
          </w:tcPr>
          <w:p>
            <w:pPr>
              <w:spacing w:after="20"/>
            </w:pPr>
            <w:r/>
            <w:r>
              <w:rPr>
                <w:b/>
                <w:color w:val="FFFFFF"/>
                <w:sz w:val="17"/>
              </w:rPr>
              <w:t>110% of 60 kbpd</w:t>
            </w:r>
          </w:p>
        </w:tc>
        <w:tc>
          <w:tcPr>
            <w:tcW w:type="dxa" w:w="1531"/>
            <w:shd w:val="clear" w:color="auto" w:fill="1F4E79"/>
          </w:tcPr>
          <w:p>
            <w:pPr>
              <w:spacing w:after="20"/>
            </w:pPr>
            <w:r/>
            <w:r>
              <w:rPr>
                <w:b/>
                <w:color w:val="FFFFFF"/>
                <w:sz w:val="17"/>
              </w:rPr>
              <w:t>120% of 60 kbpd</w:t>
            </w:r>
          </w:p>
        </w:tc>
      </w:tr>
      <w:tr>
        <w:trPr>
          <w:cantSplit/>
        </w:trPr>
        <w:tc>
          <w:tcPr>
            <w:tcW w:type="dxa" w:w="1701"/>
          </w:tcPr>
          <w:p>
            <w:pPr>
              <w:spacing w:after="20"/>
            </w:pPr>
            <w:r/>
            <w:r>
              <w:rPr>
                <w:b w:val="0"/>
                <w:i w:val="0"/>
                <w:sz w:val="17"/>
              </w:rPr>
              <w:t>US$50</w:t>
            </w:r>
          </w:p>
        </w:tc>
        <w:tc>
          <w:tcPr>
            <w:tcW w:type="dxa" w:w="1531"/>
          </w:tcPr>
          <w:p>
            <w:pPr>
              <w:spacing w:after="20"/>
              <w:jc w:val="right"/>
            </w:pPr>
            <w:r/>
            <w:r>
              <w:rPr>
                <w:b w:val="0"/>
                <w:i w:val="0"/>
                <w:sz w:val="17"/>
              </w:rPr>
              <w:t>-2,310</w:t>
            </w:r>
          </w:p>
        </w:tc>
        <w:tc>
          <w:tcPr>
            <w:tcW w:type="dxa" w:w="1531"/>
          </w:tcPr>
          <w:p>
            <w:pPr>
              <w:spacing w:after="20"/>
              <w:jc w:val="right"/>
            </w:pPr>
            <w:r/>
            <w:r>
              <w:rPr>
                <w:b w:val="0"/>
                <w:i w:val="0"/>
                <w:sz w:val="17"/>
              </w:rPr>
              <w:t>-1,949</w:t>
            </w:r>
          </w:p>
        </w:tc>
        <w:tc>
          <w:tcPr>
            <w:tcW w:type="dxa" w:w="1531"/>
          </w:tcPr>
          <w:p>
            <w:pPr>
              <w:spacing w:after="20"/>
              <w:jc w:val="right"/>
            </w:pPr>
            <w:r/>
            <w:r>
              <w:rPr>
                <w:b w:val="0"/>
                <w:i w:val="0"/>
                <w:sz w:val="17"/>
              </w:rPr>
              <w:t>-1,588</w:t>
            </w:r>
          </w:p>
        </w:tc>
        <w:tc>
          <w:tcPr>
            <w:tcW w:type="dxa" w:w="1531"/>
          </w:tcPr>
          <w:p>
            <w:pPr>
              <w:spacing w:after="20"/>
              <w:jc w:val="right"/>
            </w:pPr>
            <w:r/>
            <w:r>
              <w:rPr>
                <w:b w:val="0"/>
                <w:i w:val="0"/>
                <w:sz w:val="17"/>
              </w:rPr>
              <w:t>-1,227</w:t>
            </w:r>
          </w:p>
        </w:tc>
        <w:tc>
          <w:tcPr>
            <w:tcW w:type="dxa" w:w="1531"/>
          </w:tcPr>
          <w:p>
            <w:pPr>
              <w:spacing w:after="20"/>
              <w:jc w:val="right"/>
            </w:pPr>
            <w:r/>
            <w:r>
              <w:rPr>
                <w:b w:val="0"/>
                <w:i w:val="0"/>
                <w:sz w:val="17"/>
              </w:rPr>
              <w:t>-866</w:t>
            </w:r>
          </w:p>
        </w:tc>
      </w:tr>
      <w:tr>
        <w:trPr>
          <w:cantSplit/>
        </w:trPr>
        <w:tc>
          <w:tcPr>
            <w:tcW w:type="dxa" w:w="1701"/>
            <w:shd w:val="clear" w:color="auto" w:fill="EEF3F8"/>
          </w:tcPr>
          <w:p>
            <w:pPr>
              <w:spacing w:after="20"/>
            </w:pPr>
            <w:r/>
            <w:r>
              <w:rPr>
                <w:b w:val="0"/>
                <w:i w:val="0"/>
                <w:sz w:val="17"/>
              </w:rPr>
              <w:t>US$60</w:t>
            </w:r>
          </w:p>
        </w:tc>
        <w:tc>
          <w:tcPr>
            <w:tcW w:type="dxa" w:w="1531"/>
            <w:shd w:val="clear" w:color="auto" w:fill="EEF3F8"/>
          </w:tcPr>
          <w:p>
            <w:pPr>
              <w:spacing w:after="20"/>
              <w:jc w:val="right"/>
            </w:pPr>
            <w:r/>
            <w:r>
              <w:rPr>
                <w:b w:val="0"/>
                <w:i w:val="0"/>
                <w:sz w:val="17"/>
              </w:rPr>
              <w:t>-1,055</w:t>
            </w:r>
          </w:p>
        </w:tc>
        <w:tc>
          <w:tcPr>
            <w:tcW w:type="dxa" w:w="1531"/>
            <w:shd w:val="clear" w:color="auto" w:fill="EEF3F8"/>
          </w:tcPr>
          <w:p>
            <w:pPr>
              <w:spacing w:after="20"/>
              <w:jc w:val="right"/>
            </w:pPr>
            <w:r/>
            <w:r>
              <w:rPr>
                <w:b w:val="0"/>
                <w:i w:val="0"/>
                <w:sz w:val="17"/>
              </w:rPr>
              <w:t>-537</w:t>
            </w:r>
          </w:p>
        </w:tc>
        <w:tc>
          <w:tcPr>
            <w:tcW w:type="dxa" w:w="1531"/>
            <w:shd w:val="clear" w:color="auto" w:fill="EEF3F8"/>
          </w:tcPr>
          <w:p>
            <w:pPr>
              <w:spacing w:after="20"/>
              <w:jc w:val="right"/>
            </w:pPr>
            <w:r/>
            <w:r>
              <w:rPr>
                <w:b w:val="0"/>
                <w:i w:val="0"/>
                <w:sz w:val="17"/>
              </w:rPr>
              <w:t>-19</w:t>
            </w:r>
          </w:p>
        </w:tc>
        <w:tc>
          <w:tcPr>
            <w:tcW w:type="dxa" w:w="1531"/>
            <w:shd w:val="clear" w:color="auto" w:fill="EEF3F8"/>
          </w:tcPr>
          <w:p>
            <w:pPr>
              <w:spacing w:after="20"/>
              <w:jc w:val="right"/>
            </w:pPr>
            <w:r/>
            <w:r>
              <w:rPr>
                <w:b w:val="0"/>
                <w:i w:val="0"/>
                <w:sz w:val="17"/>
              </w:rPr>
              <w:t>499</w:t>
            </w:r>
          </w:p>
        </w:tc>
        <w:tc>
          <w:tcPr>
            <w:tcW w:type="dxa" w:w="1531"/>
            <w:shd w:val="clear" w:color="auto" w:fill="EEF3F8"/>
          </w:tcPr>
          <w:p>
            <w:pPr>
              <w:spacing w:after="20"/>
              <w:jc w:val="right"/>
            </w:pPr>
            <w:r/>
            <w:r>
              <w:rPr>
                <w:b w:val="0"/>
                <w:i w:val="0"/>
                <w:sz w:val="17"/>
              </w:rPr>
              <w:t>1,017</w:t>
            </w:r>
          </w:p>
        </w:tc>
      </w:tr>
      <w:tr>
        <w:trPr>
          <w:cantSplit/>
        </w:trPr>
        <w:tc>
          <w:tcPr>
            <w:tcW w:type="dxa" w:w="1701"/>
          </w:tcPr>
          <w:p>
            <w:pPr>
              <w:spacing w:after="20"/>
            </w:pPr>
            <w:r/>
            <w:r>
              <w:rPr>
                <w:b w:val="0"/>
                <w:i w:val="0"/>
                <w:sz w:val="17"/>
              </w:rPr>
              <w:t>US$70</w:t>
            </w:r>
          </w:p>
        </w:tc>
        <w:tc>
          <w:tcPr>
            <w:tcW w:type="dxa" w:w="1531"/>
          </w:tcPr>
          <w:p>
            <w:pPr>
              <w:spacing w:after="20"/>
              <w:jc w:val="right"/>
            </w:pPr>
            <w:r/>
            <w:r>
              <w:rPr>
                <w:b w:val="0"/>
                <w:i w:val="0"/>
                <w:sz w:val="17"/>
              </w:rPr>
              <w:t>201</w:t>
            </w:r>
          </w:p>
        </w:tc>
        <w:tc>
          <w:tcPr>
            <w:tcW w:type="dxa" w:w="1531"/>
          </w:tcPr>
          <w:p>
            <w:pPr>
              <w:spacing w:after="20"/>
              <w:jc w:val="right"/>
            </w:pPr>
            <w:r/>
            <w:r>
              <w:rPr>
                <w:b w:val="0"/>
                <w:i w:val="0"/>
                <w:sz w:val="17"/>
              </w:rPr>
              <w:t>876</w:t>
            </w:r>
          </w:p>
        </w:tc>
        <w:tc>
          <w:tcPr>
            <w:tcW w:type="dxa" w:w="1531"/>
          </w:tcPr>
          <w:p>
            <w:pPr>
              <w:spacing w:after="20"/>
              <w:jc w:val="right"/>
            </w:pPr>
            <w:r/>
            <w:r>
              <w:rPr>
                <w:b w:val="0"/>
                <w:i w:val="0"/>
                <w:sz w:val="17"/>
              </w:rPr>
              <w:t>1,551</w:t>
            </w:r>
          </w:p>
        </w:tc>
        <w:tc>
          <w:tcPr>
            <w:tcW w:type="dxa" w:w="1531"/>
          </w:tcPr>
          <w:p>
            <w:pPr>
              <w:spacing w:after="20"/>
              <w:jc w:val="right"/>
            </w:pPr>
            <w:r/>
            <w:r>
              <w:rPr>
                <w:b w:val="0"/>
                <w:i w:val="0"/>
                <w:sz w:val="17"/>
              </w:rPr>
              <w:t>2,225</w:t>
            </w:r>
          </w:p>
        </w:tc>
        <w:tc>
          <w:tcPr>
            <w:tcW w:type="dxa" w:w="1531"/>
          </w:tcPr>
          <w:p>
            <w:pPr>
              <w:spacing w:after="20"/>
              <w:jc w:val="right"/>
            </w:pPr>
            <w:r/>
            <w:r>
              <w:rPr>
                <w:b w:val="0"/>
                <w:i w:val="0"/>
                <w:sz w:val="17"/>
              </w:rPr>
              <w:t>2,900</w:t>
            </w:r>
          </w:p>
        </w:tc>
      </w:tr>
      <w:tr>
        <w:trPr>
          <w:cantSplit/>
        </w:trPr>
        <w:tc>
          <w:tcPr>
            <w:tcW w:type="dxa" w:w="1701"/>
            <w:shd w:val="clear" w:color="auto" w:fill="EEF3F8"/>
          </w:tcPr>
          <w:p>
            <w:pPr>
              <w:spacing w:after="20"/>
            </w:pPr>
            <w:r/>
            <w:r>
              <w:rPr>
                <w:b w:val="0"/>
                <w:i w:val="0"/>
                <w:sz w:val="17"/>
              </w:rPr>
              <w:t>US$80</w:t>
            </w:r>
          </w:p>
        </w:tc>
        <w:tc>
          <w:tcPr>
            <w:tcW w:type="dxa" w:w="1531"/>
            <w:shd w:val="clear" w:color="auto" w:fill="EEF3F8"/>
          </w:tcPr>
          <w:p>
            <w:pPr>
              <w:spacing w:after="20"/>
              <w:jc w:val="right"/>
            </w:pPr>
            <w:r/>
            <w:r>
              <w:rPr>
                <w:b w:val="0"/>
                <w:i w:val="0"/>
                <w:sz w:val="17"/>
              </w:rPr>
              <w:t>1,456</w:t>
            </w:r>
          </w:p>
        </w:tc>
        <w:tc>
          <w:tcPr>
            <w:tcW w:type="dxa" w:w="1531"/>
            <w:shd w:val="clear" w:color="auto" w:fill="EEF3F8"/>
          </w:tcPr>
          <w:p>
            <w:pPr>
              <w:spacing w:after="20"/>
              <w:jc w:val="right"/>
            </w:pPr>
            <w:r/>
            <w:r>
              <w:rPr>
                <w:b w:val="0"/>
                <w:i w:val="0"/>
                <w:sz w:val="17"/>
              </w:rPr>
              <w:t>2,288</w:t>
            </w:r>
          </w:p>
        </w:tc>
        <w:tc>
          <w:tcPr>
            <w:tcW w:type="dxa" w:w="1531"/>
            <w:shd w:val="clear" w:color="auto" w:fill="EEF3F8"/>
          </w:tcPr>
          <w:p>
            <w:pPr>
              <w:spacing w:after="20"/>
              <w:jc w:val="right"/>
            </w:pPr>
            <w:r/>
            <w:r>
              <w:rPr>
                <w:b w:val="0"/>
                <w:i w:val="0"/>
                <w:sz w:val="17"/>
              </w:rPr>
              <w:t>3,120</w:t>
            </w:r>
          </w:p>
        </w:tc>
        <w:tc>
          <w:tcPr>
            <w:tcW w:type="dxa" w:w="1531"/>
            <w:shd w:val="clear" w:color="auto" w:fill="EEF3F8"/>
          </w:tcPr>
          <w:p>
            <w:pPr>
              <w:spacing w:after="20"/>
              <w:jc w:val="right"/>
            </w:pPr>
            <w:r/>
            <w:r>
              <w:rPr>
                <w:b w:val="0"/>
                <w:i w:val="0"/>
                <w:sz w:val="17"/>
              </w:rPr>
              <w:t>3,952</w:t>
            </w:r>
          </w:p>
        </w:tc>
        <w:tc>
          <w:tcPr>
            <w:tcW w:type="dxa" w:w="1531"/>
            <w:shd w:val="clear" w:color="auto" w:fill="EEF3F8"/>
          </w:tcPr>
          <w:p>
            <w:pPr>
              <w:spacing w:after="20"/>
              <w:jc w:val="right"/>
            </w:pPr>
            <w:r/>
            <w:r>
              <w:rPr>
                <w:b w:val="0"/>
                <w:i w:val="0"/>
                <w:sz w:val="17"/>
              </w:rPr>
              <w:t>4,784</w:t>
            </w:r>
          </w:p>
        </w:tc>
      </w:tr>
      <w:tr>
        <w:trPr>
          <w:cantSplit/>
        </w:trPr>
        <w:tc>
          <w:tcPr>
            <w:tcW w:type="dxa" w:w="1701"/>
          </w:tcPr>
          <w:p>
            <w:pPr>
              <w:spacing w:after="20"/>
            </w:pPr>
            <w:r/>
            <w:r>
              <w:rPr>
                <w:b w:val="0"/>
                <w:i w:val="0"/>
                <w:sz w:val="17"/>
              </w:rPr>
              <w:t>US$90</w:t>
            </w:r>
          </w:p>
        </w:tc>
        <w:tc>
          <w:tcPr>
            <w:tcW w:type="dxa" w:w="1531"/>
          </w:tcPr>
          <w:p>
            <w:pPr>
              <w:spacing w:after="20"/>
              <w:jc w:val="right"/>
            </w:pPr>
            <w:r/>
            <w:r>
              <w:rPr>
                <w:b w:val="0"/>
                <w:i w:val="0"/>
                <w:sz w:val="17"/>
              </w:rPr>
              <w:t>2,712</w:t>
            </w:r>
          </w:p>
        </w:tc>
        <w:tc>
          <w:tcPr>
            <w:tcW w:type="dxa" w:w="1531"/>
          </w:tcPr>
          <w:p>
            <w:pPr>
              <w:spacing w:after="20"/>
              <w:jc w:val="right"/>
            </w:pPr>
            <w:r/>
            <w:r>
              <w:rPr>
                <w:b w:val="0"/>
                <w:i w:val="0"/>
                <w:sz w:val="17"/>
              </w:rPr>
              <w:t>3,701</w:t>
            </w:r>
          </w:p>
        </w:tc>
        <w:tc>
          <w:tcPr>
            <w:tcW w:type="dxa" w:w="1531"/>
          </w:tcPr>
          <w:p>
            <w:pPr>
              <w:spacing w:after="20"/>
              <w:jc w:val="right"/>
            </w:pPr>
            <w:r/>
            <w:r>
              <w:rPr>
                <w:b w:val="0"/>
                <w:i w:val="0"/>
                <w:sz w:val="17"/>
              </w:rPr>
              <w:t>4,689</w:t>
            </w:r>
          </w:p>
        </w:tc>
        <w:tc>
          <w:tcPr>
            <w:tcW w:type="dxa" w:w="1531"/>
          </w:tcPr>
          <w:p>
            <w:pPr>
              <w:spacing w:after="20"/>
              <w:jc w:val="right"/>
            </w:pPr>
            <w:r/>
            <w:r>
              <w:rPr>
                <w:b w:val="0"/>
                <w:i w:val="0"/>
                <w:sz w:val="17"/>
              </w:rPr>
              <w:t>5,678</w:t>
            </w:r>
          </w:p>
        </w:tc>
        <w:tc>
          <w:tcPr>
            <w:tcW w:type="dxa" w:w="1531"/>
          </w:tcPr>
          <w:p>
            <w:pPr>
              <w:spacing w:after="20"/>
              <w:jc w:val="right"/>
            </w:pPr>
            <w:r/>
            <w:r>
              <w:rPr>
                <w:b w:val="0"/>
                <w:i w:val="0"/>
                <w:sz w:val="17"/>
              </w:rPr>
              <w:t>6,667</w:t>
            </w:r>
          </w:p>
        </w:tc>
      </w:tr>
      <w:tr>
        <w:trPr>
          <w:cantSplit/>
        </w:trPr>
        <w:tc>
          <w:tcPr>
            <w:tcW w:type="dxa" w:w="1701"/>
            <w:shd w:val="clear" w:color="auto" w:fill="EEF3F8"/>
          </w:tcPr>
          <w:p>
            <w:pPr>
              <w:spacing w:after="20"/>
            </w:pPr>
            <w:r/>
            <w:r>
              <w:rPr>
                <w:b w:val="0"/>
                <w:i w:val="0"/>
                <w:sz w:val="17"/>
              </w:rPr>
              <w:t>US$100</w:t>
            </w:r>
          </w:p>
        </w:tc>
        <w:tc>
          <w:tcPr>
            <w:tcW w:type="dxa" w:w="1531"/>
            <w:shd w:val="clear" w:color="auto" w:fill="EEF3F8"/>
          </w:tcPr>
          <w:p>
            <w:pPr>
              <w:spacing w:after="20"/>
              <w:jc w:val="right"/>
            </w:pPr>
            <w:r/>
            <w:r>
              <w:rPr>
                <w:b w:val="0"/>
                <w:i w:val="0"/>
                <w:sz w:val="17"/>
              </w:rPr>
              <w:t>3,968</w:t>
            </w:r>
          </w:p>
        </w:tc>
        <w:tc>
          <w:tcPr>
            <w:tcW w:type="dxa" w:w="1531"/>
            <w:shd w:val="clear" w:color="auto" w:fill="EEF3F8"/>
          </w:tcPr>
          <w:p>
            <w:pPr>
              <w:spacing w:after="20"/>
              <w:jc w:val="right"/>
            </w:pPr>
            <w:r/>
            <w:r>
              <w:rPr>
                <w:b w:val="0"/>
                <w:i w:val="0"/>
                <w:sz w:val="17"/>
              </w:rPr>
              <w:t>5,113</w:t>
            </w:r>
          </w:p>
        </w:tc>
        <w:tc>
          <w:tcPr>
            <w:tcW w:type="dxa" w:w="1531"/>
            <w:shd w:val="clear" w:color="auto" w:fill="EEF3F8"/>
          </w:tcPr>
          <w:p>
            <w:pPr>
              <w:spacing w:after="20"/>
              <w:jc w:val="right"/>
            </w:pPr>
            <w:r/>
            <w:r>
              <w:rPr>
                <w:b w:val="0"/>
                <w:i w:val="0"/>
                <w:sz w:val="17"/>
              </w:rPr>
              <w:t>6,259</w:t>
            </w:r>
          </w:p>
        </w:tc>
        <w:tc>
          <w:tcPr>
            <w:tcW w:type="dxa" w:w="1531"/>
            <w:shd w:val="clear" w:color="auto" w:fill="EEF3F8"/>
          </w:tcPr>
          <w:p>
            <w:pPr>
              <w:spacing w:after="20"/>
              <w:jc w:val="right"/>
            </w:pPr>
            <w:r/>
            <w:r>
              <w:rPr>
                <w:b w:val="0"/>
                <w:i w:val="0"/>
                <w:sz w:val="17"/>
              </w:rPr>
              <w:t>7,405</w:t>
            </w:r>
          </w:p>
        </w:tc>
        <w:tc>
          <w:tcPr>
            <w:tcW w:type="dxa" w:w="1531"/>
            <w:shd w:val="clear" w:color="auto" w:fill="EEF3F8"/>
          </w:tcPr>
          <w:p>
            <w:pPr>
              <w:spacing w:after="20"/>
              <w:jc w:val="right"/>
            </w:pPr>
            <w:r/>
            <w:r>
              <w:rPr>
                <w:b w:val="0"/>
                <w:i w:val="0"/>
                <w:sz w:val="17"/>
              </w:rPr>
              <w:t>8,550</w:t>
            </w:r>
          </w:p>
        </w:tc>
      </w:tr>
    </w:tbl>
    <w:p>
      <w:r>
        <w:rPr>
          <w:i/>
          <w:sz w:val="16"/>
        </w:rPr>
        <w:t>Project NPV10, US$ million.</w:t>
      </w:r>
    </w:p>
    <w:p>
      <w:pPr>
        <w:jc w:val="center"/>
      </w:pPr>
      <w:r>
        <w:drawing>
          <wp:inline xmlns:a="http://schemas.openxmlformats.org/drawingml/2006/main" xmlns:pic="http://schemas.openxmlformats.org/drawingml/2006/picture">
            <wp:extent cx="5400000" cy="2376000"/>
            <wp:docPr id="12" name="Picture 12"/>
            <wp:cNvGraphicFramePr>
              <a:graphicFrameLocks noChangeAspect="1"/>
            </wp:cNvGraphicFramePr>
            <a:graphic>
              <a:graphicData uri="http://schemas.openxmlformats.org/drawingml/2006/picture">
                <pic:pic>
                  <pic:nvPicPr>
                    <pic:cNvPr id="0" name="f8_tornado.png"/>
                    <pic:cNvPicPr/>
                  </pic:nvPicPr>
                  <pic:blipFill>
                    <a:blip r:embed="rId21"/>
                    <a:stretch>
                      <a:fillRect/>
                    </a:stretch>
                  </pic:blipFill>
                  <pic:spPr>
                    <a:xfrm>
                      <a:off x="0" y="0"/>
                      <a:ext cx="5400000" cy="2376000"/>
                    </a:xfrm>
                    <a:prstGeom prst="rect"/>
                  </pic:spPr>
                </pic:pic>
              </a:graphicData>
            </a:graphic>
          </wp:inline>
        </w:drawing>
      </w:r>
    </w:p>
    <w:p>
      <w:pPr>
        <w:jc w:val="center"/>
      </w:pPr>
      <w:r>
        <w:rPr>
          <w:i/>
          <w:sz w:val="17"/>
        </w:rPr>
        <w:t>Figure 12. Tornado: change in project NPV10 for each driver.</w:t>
      </w:r>
    </w:p>
    <w:p>
      <w:r>
        <w:rPr>
          <w:b/>
          <w:i w:val="0"/>
        </w:rPr>
        <w:t>Reading.</w:t>
      </w:r>
      <w:r>
        <w:rPr>
          <w:b w:val="0"/>
          <w:i w:val="0"/>
        </w:rPr>
        <w:t xml:space="preserve"> The oil price dominates (a US$55–85 range moves NPV by about US$4.7 bn), then plateau output (US$2.7 bn), capex (US$2.1 bn), the discount rate, operating plus tariff costs, and the crude differential. At Brent US$90, near August–September 2026 levels, the 60 kbpd project is worth US$4.7 bn at the project level; the geopolitical premium is temporary by most forecasts, so a long-run price deck is the right basis for the decision.</w:t>
      </w:r>
    </w:p>
    <w:p>
      <w:pPr>
        <w:pStyle w:val="Heading2"/>
      </w:pPr>
      <w:r>
        <w:t>12.1 Fiscal terms: who gets what</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587"/>
            <w:shd w:val="clear" w:color="auto" w:fill="1F4E79"/>
          </w:tcPr>
          <w:p>
            <w:pPr>
              <w:spacing w:after="20"/>
            </w:pPr>
            <w:r/>
            <w:r>
              <w:rPr>
                <w:b/>
                <w:color w:val="FFFFFF"/>
                <w:sz w:val="17"/>
              </w:rPr>
              <w:t>Fiscal case</w:t>
            </w:r>
          </w:p>
        </w:tc>
        <w:tc>
          <w:tcPr>
            <w:tcW w:type="dxa" w:w="794"/>
            <w:shd w:val="clear" w:color="auto" w:fill="1F4E79"/>
          </w:tcPr>
          <w:p>
            <w:pPr>
              <w:spacing w:after="20"/>
            </w:pPr>
            <w:r/>
            <w:r>
              <w:rPr>
                <w:b/>
                <w:color w:val="FFFFFF"/>
                <w:sz w:val="17"/>
              </w:rPr>
              <w:t>Brent</w:t>
            </w:r>
          </w:p>
        </w:tc>
        <w:tc>
          <w:tcPr>
            <w:tcW w:type="dxa" w:w="1701"/>
            <w:shd w:val="clear" w:color="auto" w:fill="1F4E79"/>
          </w:tcPr>
          <w:p>
            <w:pPr>
              <w:spacing w:after="20"/>
            </w:pPr>
            <w:r/>
            <w:r>
              <w:rPr>
                <w:b/>
                <w:color w:val="FFFFFF"/>
                <w:sz w:val="17"/>
              </w:rPr>
              <w:t>Contractor NPV10 (US$ m)</w:t>
            </w:r>
          </w:p>
        </w:tc>
        <w:tc>
          <w:tcPr>
            <w:tcW w:type="dxa" w:w="1247"/>
            <w:shd w:val="clear" w:color="auto" w:fill="1F4E79"/>
          </w:tcPr>
          <w:p>
            <w:pPr>
              <w:spacing w:after="20"/>
            </w:pPr>
            <w:r/>
            <w:r>
              <w:rPr>
                <w:b/>
                <w:color w:val="FFFFFF"/>
                <w:sz w:val="17"/>
              </w:rPr>
              <w:t>Contractor IRR</w:t>
            </w:r>
          </w:p>
        </w:tc>
        <w:tc>
          <w:tcPr>
            <w:tcW w:type="dxa" w:w="1587"/>
            <w:shd w:val="clear" w:color="auto" w:fill="1F4E79"/>
          </w:tcPr>
          <w:p>
            <w:pPr>
              <w:spacing w:after="20"/>
            </w:pPr>
            <w:r/>
            <w:r>
              <w:rPr>
                <w:b/>
                <w:color w:val="FFFFFF"/>
                <w:sz w:val="17"/>
              </w:rPr>
              <w:t>Govt NPV10 (US$ m)</w:t>
            </w:r>
          </w:p>
        </w:tc>
        <w:tc>
          <w:tcPr>
            <w:tcW w:type="dxa" w:w="1474"/>
            <w:shd w:val="clear" w:color="auto" w:fill="1F4E79"/>
          </w:tcPr>
          <w:p>
            <w:pPr>
              <w:spacing w:after="20"/>
            </w:pPr>
            <w:r/>
            <w:r>
              <w:rPr>
                <w:b/>
                <w:color w:val="FFFFFF"/>
                <w:sz w:val="17"/>
              </w:rPr>
              <w:t>Govt share of net cash flow</w:t>
            </w:r>
          </w:p>
        </w:tc>
        <w:tc>
          <w:tcPr>
            <w:tcW w:type="dxa" w:w="1474"/>
            <w:shd w:val="clear" w:color="auto" w:fill="1F4E79"/>
          </w:tcPr>
          <w:p>
            <w:pPr>
              <w:spacing w:after="20"/>
            </w:pPr>
            <w:r/>
            <w:r>
              <w:rPr>
                <w:b/>
                <w:color w:val="FFFFFF"/>
                <w:sz w:val="17"/>
              </w:rPr>
              <w:t>Contractor break-even Brent</w:t>
            </w:r>
          </w:p>
        </w:tc>
      </w:tr>
      <w:tr>
        <w:trPr>
          <w:cantSplit/>
        </w:trPr>
        <w:tc>
          <w:tcPr>
            <w:tcW w:type="dxa" w:w="1587"/>
          </w:tcPr>
          <w:p>
            <w:pPr>
              <w:spacing w:after="20"/>
            </w:pPr>
            <w:r/>
            <w:r>
              <w:rPr>
                <w:b w:val="0"/>
                <w:i w:val="0"/>
                <w:sz w:val="17"/>
              </w:rPr>
              <w:t>Fiscal case A</w:t>
            </w:r>
          </w:p>
        </w:tc>
        <w:tc>
          <w:tcPr>
            <w:tcW w:type="dxa" w:w="794"/>
          </w:tcPr>
          <w:p>
            <w:pPr>
              <w:spacing w:after="20"/>
              <w:jc w:val="right"/>
            </w:pPr>
            <w:r/>
            <w:r>
              <w:rPr>
                <w:b w:val="0"/>
                <w:i w:val="0"/>
                <w:sz w:val="17"/>
              </w:rPr>
              <w:t>60</w:t>
            </w:r>
          </w:p>
        </w:tc>
        <w:tc>
          <w:tcPr>
            <w:tcW w:type="dxa" w:w="1701"/>
          </w:tcPr>
          <w:p>
            <w:pPr>
              <w:spacing w:after="20"/>
              <w:jc w:val="right"/>
            </w:pPr>
            <w:r/>
            <w:r>
              <w:rPr>
                <w:b w:val="0"/>
                <w:i w:val="0"/>
                <w:sz w:val="17"/>
              </w:rPr>
              <w:t>-2,392</w:t>
            </w:r>
          </w:p>
        </w:tc>
        <w:tc>
          <w:tcPr>
            <w:tcW w:type="dxa" w:w="1247"/>
          </w:tcPr>
          <w:p>
            <w:pPr>
              <w:spacing w:after="20"/>
              <w:jc w:val="right"/>
            </w:pPr>
            <w:r/>
            <w:r>
              <w:rPr>
                <w:b w:val="0"/>
                <w:i w:val="0"/>
                <w:sz w:val="17"/>
              </w:rPr>
              <w:t>1.7%</w:t>
            </w:r>
          </w:p>
        </w:tc>
        <w:tc>
          <w:tcPr>
            <w:tcW w:type="dxa" w:w="1587"/>
          </w:tcPr>
          <w:p>
            <w:pPr>
              <w:spacing w:after="20"/>
              <w:jc w:val="right"/>
            </w:pPr>
            <w:r/>
            <w:r>
              <w:rPr>
                <w:b w:val="0"/>
                <w:i w:val="0"/>
                <w:sz w:val="17"/>
              </w:rPr>
              <w:t>2,373</w:t>
            </w:r>
          </w:p>
        </w:tc>
        <w:tc>
          <w:tcPr>
            <w:tcW w:type="dxa" w:w="1474"/>
          </w:tcPr>
          <w:p>
            <w:pPr>
              <w:spacing w:after="20"/>
              <w:jc w:val="right"/>
            </w:pPr>
            <w:r/>
            <w:r>
              <w:rPr>
                <w:b w:val="0"/>
                <w:i w:val="0"/>
                <w:sz w:val="17"/>
              </w:rPr>
              <w:t>84%</w:t>
            </w:r>
          </w:p>
        </w:tc>
        <w:tc>
          <w:tcPr>
            <w:tcW w:type="dxa" w:w="1474"/>
          </w:tcPr>
          <w:p>
            <w:pPr>
              <w:spacing w:after="20"/>
            </w:pPr>
            <w:r/>
            <w:r>
              <w:rPr>
                <w:b w:val="0"/>
                <w:i w:val="0"/>
                <w:sz w:val="17"/>
              </w:rPr>
              <w:t>US$82</w:t>
            </w:r>
          </w:p>
        </w:tc>
      </w:tr>
      <w:tr>
        <w:trPr>
          <w:cantSplit/>
        </w:trPr>
        <w:tc>
          <w:tcPr>
            <w:tcW w:type="dxa" w:w="1587"/>
            <w:shd w:val="clear" w:color="auto" w:fill="EEF3F8"/>
          </w:tcPr>
          <w:p>
            <w:pPr>
              <w:spacing w:after="20"/>
            </w:pPr>
            <w:r/>
            <w:r>
              <w:rPr>
                <w:b w:val="0"/>
                <w:i w:val="0"/>
                <w:sz w:val="17"/>
              </w:rPr>
              <w:t>Fiscal case A</w:t>
            </w:r>
          </w:p>
        </w:tc>
        <w:tc>
          <w:tcPr>
            <w:tcW w:type="dxa" w:w="794"/>
            <w:shd w:val="clear" w:color="auto" w:fill="EEF3F8"/>
          </w:tcPr>
          <w:p>
            <w:pPr>
              <w:spacing w:after="20"/>
              <w:jc w:val="right"/>
            </w:pPr>
            <w:r/>
            <w:r>
              <w:rPr>
                <w:b w:val="0"/>
                <w:i w:val="0"/>
                <w:sz w:val="17"/>
              </w:rPr>
              <w:t>70</w:t>
            </w:r>
          </w:p>
        </w:tc>
        <w:tc>
          <w:tcPr>
            <w:tcW w:type="dxa" w:w="1701"/>
            <w:shd w:val="clear" w:color="auto" w:fill="EEF3F8"/>
          </w:tcPr>
          <w:p>
            <w:pPr>
              <w:spacing w:after="20"/>
              <w:jc w:val="right"/>
            </w:pPr>
            <w:r/>
            <w:r>
              <w:rPr>
                <w:b w:val="0"/>
                <w:i w:val="0"/>
                <w:sz w:val="17"/>
              </w:rPr>
              <w:t>-1,262</w:t>
            </w:r>
          </w:p>
        </w:tc>
        <w:tc>
          <w:tcPr>
            <w:tcW w:type="dxa" w:w="1247"/>
            <w:shd w:val="clear" w:color="auto" w:fill="EEF3F8"/>
          </w:tcPr>
          <w:p>
            <w:pPr>
              <w:spacing w:after="20"/>
              <w:jc w:val="right"/>
            </w:pPr>
            <w:r/>
            <w:r>
              <w:rPr>
                <w:b w:val="0"/>
                <w:i w:val="0"/>
                <w:sz w:val="17"/>
              </w:rPr>
              <w:t>5.8%</w:t>
            </w:r>
          </w:p>
        </w:tc>
        <w:tc>
          <w:tcPr>
            <w:tcW w:type="dxa" w:w="1587"/>
            <w:shd w:val="clear" w:color="auto" w:fill="EEF3F8"/>
          </w:tcPr>
          <w:p>
            <w:pPr>
              <w:spacing w:after="20"/>
              <w:jc w:val="right"/>
            </w:pPr>
            <w:r/>
            <w:r>
              <w:rPr>
                <w:b w:val="0"/>
                <w:i w:val="0"/>
                <w:sz w:val="17"/>
              </w:rPr>
              <w:t>2,813</w:t>
            </w:r>
          </w:p>
        </w:tc>
        <w:tc>
          <w:tcPr>
            <w:tcW w:type="dxa" w:w="1474"/>
            <w:shd w:val="clear" w:color="auto" w:fill="EEF3F8"/>
          </w:tcPr>
          <w:p>
            <w:pPr>
              <w:spacing w:after="20"/>
              <w:jc w:val="right"/>
            </w:pPr>
            <w:r/>
            <w:r>
              <w:rPr>
                <w:b w:val="0"/>
                <w:i w:val="0"/>
                <w:sz w:val="17"/>
              </w:rPr>
              <w:t>64%</w:t>
            </w:r>
          </w:p>
        </w:tc>
        <w:tc>
          <w:tcPr>
            <w:tcW w:type="dxa" w:w="1474"/>
            <w:shd w:val="clear" w:color="auto" w:fill="EEF3F8"/>
          </w:tcPr>
          <w:p>
            <w:pPr>
              <w:spacing w:after="20"/>
            </w:pPr>
            <w:r/>
            <w:r>
              <w:rPr>
                <w:b w:val="0"/>
                <w:i w:val="0"/>
                <w:sz w:val="17"/>
              </w:rPr>
              <w:t>US$82</w:t>
            </w:r>
          </w:p>
        </w:tc>
      </w:tr>
      <w:tr>
        <w:trPr>
          <w:cantSplit/>
        </w:trPr>
        <w:tc>
          <w:tcPr>
            <w:tcW w:type="dxa" w:w="1587"/>
          </w:tcPr>
          <w:p>
            <w:pPr>
              <w:spacing w:after="20"/>
            </w:pPr>
            <w:r/>
            <w:r>
              <w:rPr>
                <w:b w:val="0"/>
                <w:i w:val="0"/>
                <w:sz w:val="17"/>
              </w:rPr>
              <w:t>Fiscal case A</w:t>
            </w:r>
          </w:p>
        </w:tc>
        <w:tc>
          <w:tcPr>
            <w:tcW w:type="dxa" w:w="794"/>
          </w:tcPr>
          <w:p>
            <w:pPr>
              <w:spacing w:after="20"/>
              <w:jc w:val="right"/>
            </w:pPr>
            <w:r/>
            <w:r>
              <w:rPr>
                <w:b w:val="0"/>
                <w:i w:val="0"/>
                <w:sz w:val="17"/>
              </w:rPr>
              <w:t>80</w:t>
            </w:r>
          </w:p>
        </w:tc>
        <w:tc>
          <w:tcPr>
            <w:tcW w:type="dxa" w:w="1701"/>
          </w:tcPr>
          <w:p>
            <w:pPr>
              <w:spacing w:after="20"/>
              <w:jc w:val="right"/>
            </w:pPr>
            <w:r/>
            <w:r>
              <w:rPr>
                <w:b w:val="0"/>
                <w:i w:val="0"/>
                <w:sz w:val="17"/>
              </w:rPr>
              <w:t>-218</w:t>
            </w:r>
          </w:p>
        </w:tc>
        <w:tc>
          <w:tcPr>
            <w:tcW w:type="dxa" w:w="1247"/>
          </w:tcPr>
          <w:p>
            <w:pPr>
              <w:spacing w:after="20"/>
              <w:jc w:val="right"/>
            </w:pPr>
            <w:r/>
            <w:r>
              <w:rPr>
                <w:b w:val="0"/>
                <w:i w:val="0"/>
                <w:sz w:val="17"/>
              </w:rPr>
              <w:t>9.3%</w:t>
            </w:r>
          </w:p>
        </w:tc>
        <w:tc>
          <w:tcPr>
            <w:tcW w:type="dxa" w:w="1587"/>
          </w:tcPr>
          <w:p>
            <w:pPr>
              <w:spacing w:after="20"/>
              <w:jc w:val="right"/>
            </w:pPr>
            <w:r/>
            <w:r>
              <w:rPr>
                <w:b w:val="0"/>
                <w:i w:val="0"/>
                <w:sz w:val="17"/>
              </w:rPr>
              <w:t>3,338</w:t>
            </w:r>
          </w:p>
        </w:tc>
        <w:tc>
          <w:tcPr>
            <w:tcW w:type="dxa" w:w="1474"/>
          </w:tcPr>
          <w:p>
            <w:pPr>
              <w:spacing w:after="20"/>
              <w:jc w:val="right"/>
            </w:pPr>
            <w:r/>
            <w:r>
              <w:rPr>
                <w:b w:val="0"/>
                <w:i w:val="0"/>
                <w:sz w:val="17"/>
              </w:rPr>
              <w:t>60%</w:t>
            </w:r>
          </w:p>
        </w:tc>
        <w:tc>
          <w:tcPr>
            <w:tcW w:type="dxa" w:w="1474"/>
          </w:tcPr>
          <w:p>
            <w:pPr>
              <w:spacing w:after="20"/>
            </w:pPr>
            <w:r/>
            <w:r>
              <w:rPr>
                <w:b w:val="0"/>
                <w:i w:val="0"/>
                <w:sz w:val="17"/>
              </w:rPr>
              <w:t>US$82</w:t>
            </w:r>
          </w:p>
        </w:tc>
      </w:tr>
      <w:tr>
        <w:trPr>
          <w:cantSplit/>
        </w:trPr>
        <w:tc>
          <w:tcPr>
            <w:tcW w:type="dxa" w:w="1587"/>
            <w:shd w:val="clear" w:color="auto" w:fill="EEF3F8"/>
          </w:tcPr>
          <w:p>
            <w:pPr>
              <w:spacing w:after="20"/>
            </w:pPr>
            <w:r/>
            <w:r>
              <w:rPr>
                <w:b w:val="0"/>
                <w:i w:val="0"/>
                <w:sz w:val="17"/>
              </w:rPr>
              <w:t>Fiscal case B</w:t>
            </w:r>
          </w:p>
        </w:tc>
        <w:tc>
          <w:tcPr>
            <w:tcW w:type="dxa" w:w="794"/>
            <w:shd w:val="clear" w:color="auto" w:fill="EEF3F8"/>
          </w:tcPr>
          <w:p>
            <w:pPr>
              <w:spacing w:after="20"/>
              <w:jc w:val="right"/>
            </w:pPr>
            <w:r/>
            <w:r>
              <w:rPr>
                <w:b w:val="0"/>
                <w:i w:val="0"/>
                <w:sz w:val="17"/>
              </w:rPr>
              <w:t>60</w:t>
            </w:r>
          </w:p>
        </w:tc>
        <w:tc>
          <w:tcPr>
            <w:tcW w:type="dxa" w:w="1701"/>
            <w:shd w:val="clear" w:color="auto" w:fill="EEF3F8"/>
          </w:tcPr>
          <w:p>
            <w:pPr>
              <w:spacing w:after="20"/>
              <w:jc w:val="right"/>
            </w:pPr>
            <w:r/>
            <w:r>
              <w:rPr>
                <w:b w:val="0"/>
                <w:i w:val="0"/>
                <w:sz w:val="17"/>
              </w:rPr>
              <w:t>-1,437</w:t>
            </w:r>
          </w:p>
        </w:tc>
        <w:tc>
          <w:tcPr>
            <w:tcW w:type="dxa" w:w="1247"/>
            <w:shd w:val="clear" w:color="auto" w:fill="EEF3F8"/>
          </w:tcPr>
          <w:p>
            <w:pPr>
              <w:spacing w:after="20"/>
              <w:jc w:val="right"/>
            </w:pPr>
            <w:r/>
            <w:r>
              <w:rPr>
                <w:b w:val="0"/>
                <w:i w:val="0"/>
                <w:sz w:val="17"/>
              </w:rPr>
              <w:t>5.1%</w:t>
            </w:r>
          </w:p>
        </w:tc>
        <w:tc>
          <w:tcPr>
            <w:tcW w:type="dxa" w:w="1587"/>
            <w:shd w:val="clear" w:color="auto" w:fill="EEF3F8"/>
          </w:tcPr>
          <w:p>
            <w:pPr>
              <w:spacing w:after="20"/>
              <w:jc w:val="right"/>
            </w:pPr>
            <w:r/>
            <w:r>
              <w:rPr>
                <w:b w:val="0"/>
                <w:i w:val="0"/>
                <w:sz w:val="17"/>
              </w:rPr>
              <w:t>1,419</w:t>
            </w:r>
          </w:p>
        </w:tc>
        <w:tc>
          <w:tcPr>
            <w:tcW w:type="dxa" w:w="1474"/>
            <w:shd w:val="clear" w:color="auto" w:fill="EEF3F8"/>
          </w:tcPr>
          <w:p>
            <w:pPr>
              <w:spacing w:after="20"/>
              <w:jc w:val="right"/>
            </w:pPr>
            <w:r/>
            <w:r>
              <w:rPr>
                <w:b w:val="0"/>
                <w:i w:val="0"/>
                <w:sz w:val="17"/>
              </w:rPr>
              <w:t>55%</w:t>
            </w:r>
          </w:p>
        </w:tc>
        <w:tc>
          <w:tcPr>
            <w:tcW w:type="dxa" w:w="1474"/>
            <w:shd w:val="clear" w:color="auto" w:fill="EEF3F8"/>
          </w:tcPr>
          <w:p>
            <w:pPr>
              <w:spacing w:after="20"/>
            </w:pPr>
            <w:r/>
            <w:r>
              <w:rPr>
                <w:b w:val="0"/>
                <w:i w:val="0"/>
                <w:sz w:val="17"/>
              </w:rPr>
              <w:t>US$73</w:t>
            </w:r>
          </w:p>
        </w:tc>
      </w:tr>
      <w:tr>
        <w:trPr>
          <w:cantSplit/>
        </w:trPr>
        <w:tc>
          <w:tcPr>
            <w:tcW w:type="dxa" w:w="1587"/>
          </w:tcPr>
          <w:p>
            <w:pPr>
              <w:spacing w:after="20"/>
            </w:pPr>
            <w:r/>
            <w:r>
              <w:rPr>
                <w:b w:val="0"/>
                <w:i w:val="0"/>
                <w:sz w:val="17"/>
              </w:rPr>
              <w:t>Fiscal case B</w:t>
            </w:r>
          </w:p>
        </w:tc>
        <w:tc>
          <w:tcPr>
            <w:tcW w:type="dxa" w:w="794"/>
          </w:tcPr>
          <w:p>
            <w:pPr>
              <w:spacing w:after="20"/>
              <w:jc w:val="right"/>
            </w:pPr>
            <w:r/>
            <w:r>
              <w:rPr>
                <w:b w:val="0"/>
                <w:i w:val="0"/>
                <w:sz w:val="17"/>
              </w:rPr>
              <w:t>70</w:t>
            </w:r>
          </w:p>
        </w:tc>
        <w:tc>
          <w:tcPr>
            <w:tcW w:type="dxa" w:w="1701"/>
          </w:tcPr>
          <w:p>
            <w:pPr>
              <w:spacing w:after="20"/>
              <w:jc w:val="right"/>
            </w:pPr>
            <w:r/>
            <w:r>
              <w:rPr>
                <w:b w:val="0"/>
                <w:i w:val="0"/>
                <w:sz w:val="17"/>
              </w:rPr>
              <w:t>-330</w:t>
            </w:r>
          </w:p>
        </w:tc>
        <w:tc>
          <w:tcPr>
            <w:tcW w:type="dxa" w:w="1247"/>
          </w:tcPr>
          <w:p>
            <w:pPr>
              <w:spacing w:after="20"/>
              <w:jc w:val="right"/>
            </w:pPr>
            <w:r/>
            <w:r>
              <w:rPr>
                <w:b w:val="0"/>
                <w:i w:val="0"/>
                <w:sz w:val="17"/>
              </w:rPr>
              <w:t>8.8%</w:t>
            </w:r>
          </w:p>
        </w:tc>
        <w:tc>
          <w:tcPr>
            <w:tcW w:type="dxa" w:w="1587"/>
          </w:tcPr>
          <w:p>
            <w:pPr>
              <w:spacing w:after="20"/>
              <w:jc w:val="right"/>
            </w:pPr>
            <w:r/>
            <w:r>
              <w:rPr>
                <w:b w:val="0"/>
                <w:i w:val="0"/>
                <w:sz w:val="17"/>
              </w:rPr>
              <w:t>1,880</w:t>
            </w:r>
          </w:p>
        </w:tc>
        <w:tc>
          <w:tcPr>
            <w:tcW w:type="dxa" w:w="1474"/>
          </w:tcPr>
          <w:p>
            <w:pPr>
              <w:spacing w:after="20"/>
              <w:jc w:val="right"/>
            </w:pPr>
            <w:r/>
            <w:r>
              <w:rPr>
                <w:b w:val="0"/>
                <w:i w:val="0"/>
                <w:sz w:val="17"/>
              </w:rPr>
              <w:t>50%</w:t>
            </w:r>
          </w:p>
        </w:tc>
        <w:tc>
          <w:tcPr>
            <w:tcW w:type="dxa" w:w="1474"/>
          </w:tcPr>
          <w:p>
            <w:pPr>
              <w:spacing w:after="20"/>
            </w:pPr>
            <w:r/>
            <w:r>
              <w:rPr>
                <w:b w:val="0"/>
                <w:i w:val="0"/>
                <w:sz w:val="17"/>
              </w:rPr>
              <w:t>US$73</w:t>
            </w:r>
          </w:p>
        </w:tc>
      </w:tr>
      <w:tr>
        <w:trPr>
          <w:cantSplit/>
        </w:trPr>
        <w:tc>
          <w:tcPr>
            <w:tcW w:type="dxa" w:w="1587"/>
            <w:shd w:val="clear" w:color="auto" w:fill="EEF3F8"/>
          </w:tcPr>
          <w:p>
            <w:pPr>
              <w:spacing w:after="20"/>
            </w:pPr>
            <w:r/>
            <w:r>
              <w:rPr>
                <w:b w:val="0"/>
                <w:i w:val="0"/>
                <w:sz w:val="17"/>
              </w:rPr>
              <w:t>Fiscal case B</w:t>
            </w:r>
          </w:p>
        </w:tc>
        <w:tc>
          <w:tcPr>
            <w:tcW w:type="dxa" w:w="794"/>
            <w:shd w:val="clear" w:color="auto" w:fill="EEF3F8"/>
          </w:tcPr>
          <w:p>
            <w:pPr>
              <w:spacing w:after="20"/>
              <w:jc w:val="right"/>
            </w:pPr>
            <w:r/>
            <w:r>
              <w:rPr>
                <w:b w:val="0"/>
                <w:i w:val="0"/>
                <w:sz w:val="17"/>
              </w:rPr>
              <w:t>80</w:t>
            </w:r>
          </w:p>
        </w:tc>
        <w:tc>
          <w:tcPr>
            <w:tcW w:type="dxa" w:w="1701"/>
            <w:shd w:val="clear" w:color="auto" w:fill="EEF3F8"/>
          </w:tcPr>
          <w:p>
            <w:pPr>
              <w:spacing w:after="20"/>
              <w:jc w:val="right"/>
            </w:pPr>
            <w:r/>
            <w:r>
              <w:rPr>
                <w:b w:val="0"/>
                <w:i w:val="0"/>
                <w:sz w:val="17"/>
              </w:rPr>
              <w:t>706</w:t>
            </w:r>
          </w:p>
        </w:tc>
        <w:tc>
          <w:tcPr>
            <w:tcW w:type="dxa" w:w="1247"/>
            <w:shd w:val="clear" w:color="auto" w:fill="EEF3F8"/>
          </w:tcPr>
          <w:p>
            <w:pPr>
              <w:spacing w:after="20"/>
              <w:jc w:val="right"/>
            </w:pPr>
            <w:r/>
            <w:r>
              <w:rPr>
                <w:b w:val="0"/>
                <w:i w:val="0"/>
                <w:sz w:val="17"/>
              </w:rPr>
              <w:t>12.5%</w:t>
            </w:r>
          </w:p>
        </w:tc>
        <w:tc>
          <w:tcPr>
            <w:tcW w:type="dxa" w:w="1587"/>
            <w:shd w:val="clear" w:color="auto" w:fill="EEF3F8"/>
          </w:tcPr>
          <w:p>
            <w:pPr>
              <w:spacing w:after="20"/>
              <w:jc w:val="right"/>
            </w:pPr>
            <w:r/>
            <w:r>
              <w:rPr>
                <w:b w:val="0"/>
                <w:i w:val="0"/>
                <w:sz w:val="17"/>
              </w:rPr>
              <w:t>2,414</w:t>
            </w:r>
          </w:p>
        </w:tc>
        <w:tc>
          <w:tcPr>
            <w:tcW w:type="dxa" w:w="1474"/>
            <w:shd w:val="clear" w:color="auto" w:fill="EEF3F8"/>
          </w:tcPr>
          <w:p>
            <w:pPr>
              <w:spacing w:after="20"/>
              <w:jc w:val="right"/>
            </w:pPr>
            <w:r/>
            <w:r>
              <w:rPr>
                <w:b w:val="0"/>
                <w:i w:val="0"/>
                <w:sz w:val="17"/>
              </w:rPr>
              <w:t>48%</w:t>
            </w:r>
          </w:p>
        </w:tc>
        <w:tc>
          <w:tcPr>
            <w:tcW w:type="dxa" w:w="1474"/>
            <w:shd w:val="clear" w:color="auto" w:fill="EEF3F8"/>
          </w:tcPr>
          <w:p>
            <w:pPr>
              <w:spacing w:after="20"/>
            </w:pPr>
            <w:r/>
            <w:r>
              <w:rPr>
                <w:b w:val="0"/>
                <w:i w:val="0"/>
                <w:sz w:val="17"/>
              </w:rPr>
              <w:t>US$73</w:t>
            </w:r>
          </w:p>
        </w:tc>
      </w:tr>
    </w:tbl>
    <w:p>
      <w:r>
        <w:rPr>
          <w:i/>
          <w:sz w:val="16"/>
        </w:rPr>
        <w:t>Case A: cost cap 60%, government profit oil 50%. Case B: cap 80%, government 35%. Both: royalty 10%, no corporate tax. Assumptions, not contract terms.</w:t>
      </w:r>
    </w:p>
    <w:p>
      <w:r>
        <w:rPr>
          <w:b w:val="0"/>
          <w:i w:val="0"/>
        </w:rPr>
        <w:t>The government’s NPV is positive and large in every case, because royalty and early profit oil are paid on revenue before the contractor recovers costs. Under the tougher case A the contractor does not earn its cost of capital below about US$82; this is why the stated fiscal incentives matter. A government facing a developer that needs US$73–82 Brent to break even has less room to raise take, and more to gain from lower costs and shorter timelines.</w:t>
      </w:r>
    </w:p>
    <w:p>
      <w:pPr>
        <w:pStyle w:val="Heading2"/>
      </w:pPr>
      <w:r>
        <w:t>12.2 Monte Carlo: price, output and cost uncertainty together</w:t>
      </w:r>
    </w:p>
    <w:p>
      <w:r>
        <w:rPr>
          <w:b w:val="0"/>
          <w:i w:val="0"/>
        </w:rPr>
        <w:t>2,000 random draws of: Brent (log-normal around US$70, σ 22%, bounded US$35–140), differential (US$3–10), plateau output (triangular 40/60/100 kbpd), capex (triangular US$5.0/6.0/8.5 bn, skewed to overruns) and opex plus tariff (triangular US$15/21/28). The distributions are the author’s assumptions.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2381"/>
            <w:shd w:val="clear" w:color="auto" w:fill="1F4E79"/>
          </w:tcPr>
          <w:p>
            <w:pPr>
              <w:spacing w:after="20"/>
            </w:pPr>
            <w:r/>
            <w:r>
              <w:rPr>
                <w:b/>
                <w:color w:val="FFFFFF"/>
                <w:sz w:val="17"/>
              </w:rPr>
              <w:t>US$ million (NPV10)</w:t>
            </w:r>
          </w:p>
        </w:tc>
        <w:tc>
          <w:tcPr>
            <w:tcW w:type="dxa" w:w="1247"/>
            <w:shd w:val="clear" w:color="auto" w:fill="1F4E79"/>
          </w:tcPr>
          <w:p>
            <w:pPr>
              <w:spacing w:after="20"/>
            </w:pPr>
            <w:r/>
            <w:r>
              <w:rPr>
                <w:b/>
                <w:color w:val="FFFFFF"/>
                <w:sz w:val="17"/>
              </w:rPr>
              <w:t>P10</w:t>
            </w:r>
          </w:p>
        </w:tc>
        <w:tc>
          <w:tcPr>
            <w:tcW w:type="dxa" w:w="1247"/>
            <w:shd w:val="clear" w:color="auto" w:fill="1F4E79"/>
          </w:tcPr>
          <w:p>
            <w:pPr>
              <w:spacing w:after="20"/>
            </w:pPr>
            <w:r/>
            <w:r>
              <w:rPr>
                <w:b/>
                <w:color w:val="FFFFFF"/>
                <w:sz w:val="17"/>
              </w:rPr>
              <w:t>Median</w:t>
            </w:r>
          </w:p>
        </w:tc>
        <w:tc>
          <w:tcPr>
            <w:tcW w:type="dxa" w:w="1247"/>
            <w:shd w:val="clear" w:color="auto" w:fill="1F4E79"/>
          </w:tcPr>
          <w:p>
            <w:pPr>
              <w:spacing w:after="20"/>
            </w:pPr>
            <w:r/>
            <w:r>
              <w:rPr>
                <w:b/>
                <w:color w:val="FFFFFF"/>
                <w:sz w:val="17"/>
              </w:rPr>
              <w:t>P90</w:t>
            </w:r>
          </w:p>
        </w:tc>
        <w:tc>
          <w:tcPr>
            <w:tcW w:type="dxa" w:w="1247"/>
            <w:shd w:val="clear" w:color="auto" w:fill="1F4E79"/>
          </w:tcPr>
          <w:p>
            <w:pPr>
              <w:spacing w:after="20"/>
            </w:pPr>
            <w:r/>
            <w:r>
              <w:rPr>
                <w:b/>
                <w:color w:val="FFFFFF"/>
                <w:sz w:val="17"/>
              </w:rPr>
              <w:t>Mean</w:t>
            </w:r>
          </w:p>
        </w:tc>
        <w:tc>
          <w:tcPr>
            <w:tcW w:type="dxa" w:w="1701"/>
            <w:shd w:val="clear" w:color="auto" w:fill="1F4E79"/>
          </w:tcPr>
          <w:p>
            <w:pPr>
              <w:spacing w:after="20"/>
            </w:pPr>
            <w:r/>
            <w:r>
              <w:rPr>
                <w:b/>
                <w:color w:val="FFFFFF"/>
                <w:sz w:val="17"/>
              </w:rPr>
              <w:t>Probability &lt; 0</w:t>
            </w:r>
          </w:p>
        </w:tc>
      </w:tr>
      <w:tr>
        <w:trPr>
          <w:cantSplit/>
        </w:trPr>
        <w:tc>
          <w:tcPr>
            <w:tcW w:type="dxa" w:w="2381"/>
          </w:tcPr>
          <w:p>
            <w:pPr>
              <w:spacing w:after="20"/>
            </w:pPr>
            <w:r/>
            <w:r>
              <w:rPr>
                <w:b w:val="0"/>
                <w:i w:val="0"/>
                <w:sz w:val="17"/>
              </w:rPr>
              <w:t>Project (pre-fiscal)</w:t>
            </w:r>
          </w:p>
        </w:tc>
        <w:tc>
          <w:tcPr>
            <w:tcW w:type="dxa" w:w="1247"/>
          </w:tcPr>
          <w:p>
            <w:pPr>
              <w:spacing w:after="20"/>
              <w:jc w:val="right"/>
            </w:pPr>
            <w:r/>
            <w:r>
              <w:rPr>
                <w:b w:val="0"/>
                <w:i w:val="0"/>
                <w:sz w:val="17"/>
              </w:rPr>
              <w:t>-1,746</w:t>
            </w:r>
          </w:p>
        </w:tc>
        <w:tc>
          <w:tcPr>
            <w:tcW w:type="dxa" w:w="1247"/>
          </w:tcPr>
          <w:p>
            <w:pPr>
              <w:spacing w:after="20"/>
              <w:jc w:val="right"/>
            </w:pPr>
            <w:r/>
            <w:r>
              <w:rPr>
                <w:b w:val="0"/>
                <w:i w:val="0"/>
                <w:sz w:val="17"/>
              </w:rPr>
              <w:t>1,592</w:t>
            </w:r>
          </w:p>
        </w:tc>
        <w:tc>
          <w:tcPr>
            <w:tcW w:type="dxa" w:w="1247"/>
          </w:tcPr>
          <w:p>
            <w:pPr>
              <w:spacing w:after="20"/>
              <w:jc w:val="right"/>
            </w:pPr>
            <w:r/>
            <w:r>
              <w:rPr>
                <w:b w:val="0"/>
                <w:i w:val="0"/>
                <w:sz w:val="17"/>
              </w:rPr>
              <w:t>6,633</w:t>
            </w:r>
          </w:p>
        </w:tc>
        <w:tc>
          <w:tcPr>
            <w:tcW w:type="dxa" w:w="1247"/>
          </w:tcPr>
          <w:p>
            <w:pPr>
              <w:spacing w:after="20"/>
              <w:jc w:val="right"/>
            </w:pPr>
            <w:r/>
            <w:r>
              <w:rPr>
                <w:b w:val="0"/>
                <w:i w:val="0"/>
                <w:sz w:val="17"/>
              </w:rPr>
              <w:t>2,105</w:t>
            </w:r>
          </w:p>
        </w:tc>
        <w:tc>
          <w:tcPr>
            <w:tcW w:type="dxa" w:w="1701"/>
          </w:tcPr>
          <w:p>
            <w:pPr>
              <w:spacing w:after="20"/>
              <w:jc w:val="right"/>
            </w:pPr>
            <w:r/>
            <w:r>
              <w:rPr>
                <w:b w:val="0"/>
                <w:i w:val="0"/>
                <w:sz w:val="17"/>
              </w:rPr>
              <w:t>30%</w:t>
            </w:r>
          </w:p>
        </w:tc>
      </w:tr>
      <w:tr>
        <w:trPr>
          <w:cantSplit/>
        </w:trPr>
        <w:tc>
          <w:tcPr>
            <w:tcW w:type="dxa" w:w="2381"/>
            <w:shd w:val="clear" w:color="auto" w:fill="EEF3F8"/>
          </w:tcPr>
          <w:p>
            <w:pPr>
              <w:spacing w:after="20"/>
            </w:pPr>
            <w:r/>
            <w:r>
              <w:rPr>
                <w:b w:val="0"/>
                <w:i w:val="0"/>
                <w:sz w:val="17"/>
              </w:rPr>
              <w:t>Contractor (case A)</w:t>
            </w:r>
          </w:p>
        </w:tc>
        <w:tc>
          <w:tcPr>
            <w:tcW w:type="dxa" w:w="1247"/>
            <w:shd w:val="clear" w:color="auto" w:fill="EEF3F8"/>
          </w:tcPr>
          <w:p>
            <w:pPr>
              <w:spacing w:after="20"/>
              <w:jc w:val="right"/>
            </w:pPr>
            <w:r/>
            <w:r>
              <w:rPr>
                <w:b w:val="0"/>
                <w:i w:val="0"/>
                <w:sz w:val="17"/>
              </w:rPr>
              <w:t>-3,888</w:t>
            </w:r>
          </w:p>
        </w:tc>
        <w:tc>
          <w:tcPr>
            <w:tcW w:type="dxa" w:w="1247"/>
            <w:shd w:val="clear" w:color="auto" w:fill="EEF3F8"/>
          </w:tcPr>
          <w:p>
            <w:pPr>
              <w:spacing w:after="20"/>
              <w:jc w:val="right"/>
            </w:pPr>
            <w:r/>
            <w:r>
              <w:rPr>
                <w:b w:val="0"/>
                <w:i w:val="0"/>
                <w:sz w:val="17"/>
              </w:rPr>
              <w:t>-1,423</w:t>
            </w:r>
          </w:p>
        </w:tc>
        <w:tc>
          <w:tcPr>
            <w:tcW w:type="dxa" w:w="1247"/>
            <w:shd w:val="clear" w:color="auto" w:fill="EEF3F8"/>
          </w:tcPr>
          <w:p>
            <w:pPr>
              <w:spacing w:after="20"/>
              <w:jc w:val="right"/>
            </w:pPr>
            <w:r/>
            <w:r>
              <w:rPr>
                <w:b w:val="0"/>
                <w:i w:val="0"/>
                <w:sz w:val="17"/>
              </w:rPr>
              <w:t>1,537</w:t>
            </w:r>
          </w:p>
        </w:tc>
        <w:tc>
          <w:tcPr>
            <w:tcW w:type="dxa" w:w="1247"/>
            <w:shd w:val="clear" w:color="auto" w:fill="EEF3F8"/>
          </w:tcPr>
          <w:p>
            <w:pPr>
              <w:spacing w:after="20"/>
              <w:jc w:val="right"/>
            </w:pPr>
            <w:r/>
            <w:r>
              <w:rPr>
                <w:b w:val="0"/>
                <w:i w:val="0"/>
                <w:sz w:val="17"/>
              </w:rPr>
              <w:t>-1,264</w:t>
            </w:r>
          </w:p>
        </w:tc>
        <w:tc>
          <w:tcPr>
            <w:tcW w:type="dxa" w:w="1701"/>
            <w:shd w:val="clear" w:color="auto" w:fill="EEF3F8"/>
          </w:tcPr>
          <w:p>
            <w:pPr>
              <w:spacing w:after="20"/>
              <w:jc w:val="right"/>
            </w:pPr>
            <w:r/>
            <w:r>
              <w:rPr>
                <w:b w:val="0"/>
                <w:i w:val="0"/>
                <w:sz w:val="17"/>
              </w:rPr>
              <w:t>73%</w:t>
            </w:r>
          </w:p>
        </w:tc>
      </w:tr>
      <w:tr>
        <w:trPr>
          <w:cantSplit/>
        </w:trPr>
        <w:tc>
          <w:tcPr>
            <w:tcW w:type="dxa" w:w="2381"/>
          </w:tcPr>
          <w:p>
            <w:pPr>
              <w:spacing w:after="20"/>
            </w:pPr>
            <w:r/>
            <w:r>
              <w:rPr>
                <w:b w:val="0"/>
                <w:i w:val="0"/>
                <w:sz w:val="17"/>
              </w:rPr>
              <w:t>Government (case A)</w:t>
            </w:r>
          </w:p>
        </w:tc>
        <w:tc>
          <w:tcPr>
            <w:tcW w:type="dxa" w:w="1247"/>
          </w:tcPr>
          <w:p>
            <w:pPr>
              <w:spacing w:after="20"/>
              <w:jc w:val="right"/>
            </w:pPr>
            <w:r/>
            <w:r>
              <w:rPr>
                <w:b w:val="0"/>
                <w:i w:val="0"/>
                <w:sz w:val="17"/>
              </w:rPr>
              <w:t>2,020</w:t>
            </w:r>
          </w:p>
        </w:tc>
        <w:tc>
          <w:tcPr>
            <w:tcW w:type="dxa" w:w="1247"/>
          </w:tcPr>
          <w:p>
            <w:pPr>
              <w:spacing w:after="20"/>
              <w:jc w:val="right"/>
            </w:pPr>
            <w:r/>
            <w:r>
              <w:rPr>
                <w:b w:val="0"/>
                <w:i w:val="0"/>
                <w:sz w:val="17"/>
              </w:rPr>
              <w:t>3,064</w:t>
            </w:r>
          </w:p>
        </w:tc>
        <w:tc>
          <w:tcPr>
            <w:tcW w:type="dxa" w:w="1247"/>
          </w:tcPr>
          <w:p>
            <w:pPr>
              <w:spacing w:after="20"/>
              <w:jc w:val="right"/>
            </w:pPr>
            <w:r/>
            <w:r>
              <w:rPr>
                <w:b w:val="0"/>
                <w:i w:val="0"/>
                <w:sz w:val="17"/>
              </w:rPr>
              <w:t>5,136</w:t>
            </w:r>
          </w:p>
        </w:tc>
        <w:tc>
          <w:tcPr>
            <w:tcW w:type="dxa" w:w="1247"/>
          </w:tcPr>
          <w:p>
            <w:pPr>
              <w:spacing w:after="20"/>
              <w:jc w:val="right"/>
            </w:pPr>
            <w:r/>
            <w:r>
              <w:rPr>
                <w:b w:val="0"/>
                <w:i w:val="0"/>
                <w:sz w:val="17"/>
              </w:rPr>
              <w:t>3,369</w:t>
            </w:r>
          </w:p>
        </w:tc>
        <w:tc>
          <w:tcPr>
            <w:tcW w:type="dxa" w:w="1701"/>
          </w:tcPr>
          <w:p>
            <w:pPr>
              <w:spacing w:after="20"/>
              <w:jc w:val="right"/>
            </w:pPr>
            <w:r/>
            <w:r>
              <w:rPr>
                <w:b w:val="0"/>
                <w:i w:val="0"/>
                <w:sz w:val="17"/>
              </w:rPr>
              <w:t>0%</w:t>
            </w:r>
          </w:p>
        </w:tc>
      </w:tr>
    </w:tbl>
    <w:p>
      <w:r>
        <w:rPr>
          <w:i/>
          <w:sz w:val="16"/>
        </w:rPr>
        <w:t>Same draws used for all three rows.</w:t>
      </w:r>
    </w:p>
    <w:p>
      <w:pPr>
        <w:jc w:val="center"/>
      </w:pPr>
      <w:r>
        <w:drawing>
          <wp:inline xmlns:a="http://schemas.openxmlformats.org/drawingml/2006/main" xmlns:pic="http://schemas.openxmlformats.org/drawingml/2006/picture">
            <wp:extent cx="5220000" cy="2227200"/>
            <wp:docPr id="13" name="Picture 13"/>
            <wp:cNvGraphicFramePr>
              <a:graphicFrameLocks noChangeAspect="1"/>
            </wp:cNvGraphicFramePr>
            <a:graphic>
              <a:graphicData uri="http://schemas.openxmlformats.org/drawingml/2006/picture">
                <pic:pic>
                  <pic:nvPicPr>
                    <pic:cNvPr id="0" name="f10_montecarlo.png"/>
                    <pic:cNvPicPr/>
                  </pic:nvPicPr>
                  <pic:blipFill>
                    <a:blip r:embed="rId22"/>
                    <a:stretch>
                      <a:fillRect/>
                    </a:stretch>
                  </pic:blipFill>
                  <pic:spPr>
                    <a:xfrm>
                      <a:off x="0" y="0"/>
                      <a:ext cx="5220000" cy="2227200"/>
                    </a:xfrm>
                    <a:prstGeom prst="rect"/>
                  </pic:spPr>
                </pic:pic>
              </a:graphicData>
            </a:graphic>
          </wp:inline>
        </w:drawing>
      </w:r>
    </w:p>
    <w:p>
      <w:pPr>
        <w:jc w:val="center"/>
      </w:pPr>
      <w:r>
        <w:rPr>
          <w:i/>
          <w:sz w:val="17"/>
        </w:rPr>
        <w:t>Figure 13. Distribution of project NPV10 across 2,000 draws.</w:t>
      </w:r>
    </w:p>
    <w:p>
      <w:r>
        <w:rPr>
          <w:b w:val="0"/>
          <w:i w:val="0"/>
        </w:rPr>
        <w:t>The project’s median NPV is about US$1.6 bn but the range is wide: P10 is −US$1.7 bn and P90 +US$6.6 bn. There is a 30% chance that the project value is negative and a 73% chance that the contractor’s is negative under fiscal case A. The government’s NPV is positive in every draw, which is the sense in which an upstream project with royalty and profit-oil provisions transfers risk to the developer. Pearson correlations of the inputs with project NPV: Brent 0.86, plateau output 0.45, capex -0.24, differential -0.11, opex plus tariff -0.11. Oil price explains most of the spread.</w:t>
      </w:r>
    </w:p>
    <w:p>
      <w:r>
        <w:rPr>
          <w:b/>
          <w:i w:val="0"/>
        </w:rPr>
        <w:t>Implications for Kenya.</w:t>
      </w:r>
      <w:r>
        <w:rPr>
          <w:b w:val="0"/>
          <w:i w:val="0"/>
        </w:rPr>
        <w:t xml:space="preserve"> (1) Project value is mostly a bet on oil prices, so the 2026 price spike should not be allowed to set expectations. (2) The Hormuz shock is also a reminder of the economic value of domestic crude: even 60 kbpd is about 22 million barrels a year, but Kenya’s consumption is of refined products and the crude would need refining or export, so import substitution is not automatic. (3) Delays push revenue later while capex is largely committed, which lowers NPV; the discount-rate bar in the tornado chart gives a sense of the scale, so timing risk matters alongside price risk.</w:t>
      </w:r>
    </w:p>
    <w:p>
      <w:pPr>
        <w:pStyle w:val="Heading1"/>
      </w:pPr>
      <w:r>
        <w:t>13. Risk assessment (analytical framework)</w:t>
      </w:r>
    </w:p>
    <w:p>
      <w:r>
        <w:rPr>
          <w:b w:val="0"/>
          <w:i w:val="0"/>
        </w:rPr>
        <w:t>The framework scores each major product from 1 (low risk) to 5 (high risk) on six components, using observed metrics where available and explicit judgement otherwise.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928"/>
            <w:shd w:val="clear" w:color="auto" w:fill="1F4E79"/>
          </w:tcPr>
          <w:p>
            <w:pPr>
              <w:spacing w:after="20"/>
            </w:pPr>
            <w:r/>
            <w:r>
              <w:rPr>
                <w:b/>
                <w:color w:val="FFFFFF"/>
                <w:sz w:val="17"/>
              </w:rPr>
              <w:t>Component</w:t>
            </w:r>
          </w:p>
        </w:tc>
        <w:tc>
          <w:tcPr>
            <w:tcW w:type="dxa" w:w="3402"/>
            <w:shd w:val="clear" w:color="auto" w:fill="1F4E79"/>
          </w:tcPr>
          <w:p>
            <w:pPr>
              <w:spacing w:after="20"/>
            </w:pPr>
            <w:r/>
            <w:r>
              <w:rPr>
                <w:b/>
                <w:color w:val="FFFFFF"/>
                <w:sz w:val="17"/>
              </w:rPr>
              <w:t>Definition</w:t>
            </w:r>
          </w:p>
        </w:tc>
        <w:tc>
          <w:tcPr>
            <w:tcW w:type="dxa" w:w="3005"/>
            <w:shd w:val="clear" w:color="auto" w:fill="1F4E79"/>
          </w:tcPr>
          <w:p>
            <w:pPr>
              <w:spacing w:after="20"/>
            </w:pPr>
            <w:r/>
            <w:r>
              <w:rPr>
                <w:b/>
                <w:color w:val="FFFFFF"/>
                <w:sz w:val="17"/>
              </w:rPr>
              <w:t>Scale / rule</w:t>
            </w:r>
          </w:p>
        </w:tc>
        <w:tc>
          <w:tcPr>
            <w:tcW w:type="dxa" w:w="907"/>
            <w:shd w:val="clear" w:color="auto" w:fill="1F4E79"/>
          </w:tcPr>
          <w:p>
            <w:pPr>
              <w:spacing w:after="20"/>
            </w:pPr>
            <w:r/>
            <w:r>
              <w:rPr>
                <w:b/>
                <w:color w:val="FFFFFF"/>
                <w:sz w:val="17"/>
              </w:rPr>
              <w:t>Weight</w:t>
            </w:r>
          </w:p>
        </w:tc>
      </w:tr>
      <w:tr>
        <w:trPr>
          <w:cantSplit/>
        </w:trPr>
        <w:tc>
          <w:tcPr>
            <w:tcW w:type="dxa" w:w="1928"/>
          </w:tcPr>
          <w:p>
            <w:pPr>
              <w:spacing w:after="20"/>
            </w:pPr>
            <w:r/>
            <w:r>
              <w:rPr>
                <w:b w:val="0"/>
                <w:i w:val="0"/>
                <w:sz w:val="17"/>
              </w:rPr>
              <w:t>Demand volatility</w:t>
            </w:r>
          </w:p>
        </w:tc>
        <w:tc>
          <w:tcPr>
            <w:tcW w:type="dxa" w:w="3402"/>
          </w:tcPr>
          <w:p>
            <w:pPr>
              <w:spacing w:after="20"/>
            </w:pPr>
            <w:r/>
            <w:r>
              <w:rPr>
                <w:b w:val="0"/>
                <w:i w:val="0"/>
                <w:sz w:val="17"/>
              </w:rPr>
              <w:t>Coefficient of variation of monthly demand, 2024–25</w:t>
            </w:r>
          </w:p>
        </w:tc>
        <w:tc>
          <w:tcPr>
            <w:tcW w:type="dxa" w:w="3005"/>
          </w:tcPr>
          <w:p>
            <w:pPr>
              <w:spacing w:after="20"/>
            </w:pPr>
            <w:r/>
            <w:r>
              <w:rPr>
                <w:b w:val="0"/>
                <w:i w:val="0"/>
                <w:sz w:val="17"/>
              </w:rPr>
              <w:t>5% → 1; 12% → 5 (linear)</w:t>
            </w:r>
          </w:p>
        </w:tc>
        <w:tc>
          <w:tcPr>
            <w:tcW w:type="dxa" w:w="907"/>
          </w:tcPr>
          <w:p>
            <w:pPr>
              <w:spacing w:after="20"/>
              <w:jc w:val="right"/>
            </w:pPr>
            <w:r/>
            <w:r>
              <w:rPr>
                <w:b w:val="0"/>
                <w:i w:val="0"/>
                <w:sz w:val="17"/>
              </w:rPr>
              <w:t>15%</w:t>
            </w:r>
          </w:p>
        </w:tc>
      </w:tr>
      <w:tr>
        <w:trPr>
          <w:cantSplit/>
        </w:trPr>
        <w:tc>
          <w:tcPr>
            <w:tcW w:type="dxa" w:w="1928"/>
            <w:shd w:val="clear" w:color="auto" w:fill="EEF3F8"/>
          </w:tcPr>
          <w:p>
            <w:pPr>
              <w:spacing w:after="20"/>
            </w:pPr>
            <w:r/>
            <w:r>
              <w:rPr>
                <w:b w:val="0"/>
                <w:i w:val="0"/>
                <w:sz w:val="17"/>
              </w:rPr>
              <w:t>Forecast uncertainty</w:t>
            </w:r>
          </w:p>
        </w:tc>
        <w:tc>
          <w:tcPr>
            <w:tcW w:type="dxa" w:w="3402"/>
            <w:shd w:val="clear" w:color="auto" w:fill="EEF3F8"/>
          </w:tcPr>
          <w:p>
            <w:pPr>
              <w:spacing w:after="20"/>
            </w:pPr>
            <w:r/>
            <w:r>
              <w:rPr>
                <w:b w:val="0"/>
                <w:i w:val="0"/>
                <w:sz w:val="17"/>
              </w:rPr>
              <w:t>Best out-of-sample sMAPE from the tournament</w:t>
            </w:r>
          </w:p>
        </w:tc>
        <w:tc>
          <w:tcPr>
            <w:tcW w:type="dxa" w:w="3005"/>
            <w:shd w:val="clear" w:color="auto" w:fill="EEF3F8"/>
          </w:tcPr>
          <w:p>
            <w:pPr>
              <w:spacing w:after="20"/>
            </w:pPr>
            <w:r/>
            <w:r>
              <w:rPr>
                <w:b w:val="0"/>
                <w:i w:val="0"/>
                <w:sz w:val="17"/>
              </w:rPr>
              <w:t>2% → 1; 6% → 5</w:t>
            </w:r>
          </w:p>
        </w:tc>
        <w:tc>
          <w:tcPr>
            <w:tcW w:type="dxa" w:w="907"/>
            <w:shd w:val="clear" w:color="auto" w:fill="EEF3F8"/>
          </w:tcPr>
          <w:p>
            <w:pPr>
              <w:spacing w:after="20"/>
              <w:jc w:val="right"/>
            </w:pPr>
            <w:r/>
            <w:r>
              <w:rPr>
                <w:b w:val="0"/>
                <w:i w:val="0"/>
                <w:sz w:val="17"/>
              </w:rPr>
              <w:t>10%</w:t>
            </w:r>
          </w:p>
        </w:tc>
      </w:tr>
      <w:tr>
        <w:trPr>
          <w:cantSplit/>
        </w:trPr>
        <w:tc>
          <w:tcPr>
            <w:tcW w:type="dxa" w:w="1928"/>
          </w:tcPr>
          <w:p>
            <w:pPr>
              <w:spacing w:after="20"/>
            </w:pPr>
            <w:r/>
            <w:r>
              <w:rPr>
                <w:b w:val="0"/>
                <w:i w:val="0"/>
                <w:sz w:val="17"/>
              </w:rPr>
              <w:t>Stock cover</w:t>
            </w:r>
          </w:p>
        </w:tc>
        <w:tc>
          <w:tcPr>
            <w:tcW w:type="dxa" w:w="3402"/>
          </w:tcPr>
          <w:p>
            <w:pPr>
              <w:spacing w:after="20"/>
            </w:pPr>
            <w:r/>
            <w:r>
              <w:rPr>
                <w:b w:val="0"/>
                <w:i w:val="0"/>
                <w:sz w:val="17"/>
              </w:rPr>
              <w:t>Lowest reported days of cover, Apr 2026</w:t>
            </w:r>
          </w:p>
        </w:tc>
        <w:tc>
          <w:tcPr>
            <w:tcW w:type="dxa" w:w="3005"/>
          </w:tcPr>
          <w:p>
            <w:pPr>
              <w:spacing w:after="20"/>
            </w:pPr>
            <w:r/>
            <w:r>
              <w:rPr>
                <w:b w:val="0"/>
                <w:i w:val="0"/>
                <w:sz w:val="17"/>
              </w:rPr>
              <w:t>30 days → 1; 10 days → 5; LPG (not reported) → 4</w:t>
            </w:r>
          </w:p>
        </w:tc>
        <w:tc>
          <w:tcPr>
            <w:tcW w:type="dxa" w:w="907"/>
          </w:tcPr>
          <w:p>
            <w:pPr>
              <w:spacing w:after="20"/>
              <w:jc w:val="right"/>
            </w:pPr>
            <w:r/>
            <w:r>
              <w:rPr>
                <w:b w:val="0"/>
                <w:i w:val="0"/>
                <w:sz w:val="17"/>
              </w:rPr>
              <w:t>25%</w:t>
            </w:r>
          </w:p>
        </w:tc>
      </w:tr>
      <w:tr>
        <w:trPr>
          <w:cantSplit/>
        </w:trPr>
        <w:tc>
          <w:tcPr>
            <w:tcW w:type="dxa" w:w="1928"/>
            <w:shd w:val="clear" w:color="auto" w:fill="EEF3F8"/>
          </w:tcPr>
          <w:p>
            <w:pPr>
              <w:spacing w:after="20"/>
            </w:pPr>
            <w:r/>
            <w:r>
              <w:rPr>
                <w:b w:val="0"/>
                <w:i w:val="0"/>
                <w:sz w:val="17"/>
              </w:rPr>
              <w:t>Price shock</w:t>
            </w:r>
          </w:p>
        </w:tc>
        <w:tc>
          <w:tcPr>
            <w:tcW w:type="dxa" w:w="3402"/>
            <w:shd w:val="clear" w:color="auto" w:fill="EEF3F8"/>
          </w:tcPr>
          <w:p>
            <w:pPr>
              <w:spacing w:after="20"/>
            </w:pPr>
            <w:r/>
            <w:r>
              <w:rPr>
                <w:b w:val="0"/>
                <w:i w:val="0"/>
                <w:sz w:val="17"/>
              </w:rPr>
              <w:t>Pump-price rise Mar→Sep 2026</w:t>
            </w:r>
          </w:p>
        </w:tc>
        <w:tc>
          <w:tcPr>
            <w:tcW w:type="dxa" w:w="3005"/>
            <w:shd w:val="clear" w:color="auto" w:fill="EEF3F8"/>
          </w:tcPr>
          <w:p>
            <w:pPr>
              <w:spacing w:after="20"/>
            </w:pPr>
            <w:r/>
            <w:r>
              <w:rPr>
                <w:b w:val="0"/>
                <w:i w:val="0"/>
                <w:sz w:val="17"/>
              </w:rPr>
              <w:t>0% → 1; 30% → 5; unobserved → 3</w:t>
            </w:r>
          </w:p>
        </w:tc>
        <w:tc>
          <w:tcPr>
            <w:tcW w:type="dxa" w:w="907"/>
            <w:shd w:val="clear" w:color="auto" w:fill="EEF3F8"/>
          </w:tcPr>
          <w:p>
            <w:pPr>
              <w:spacing w:after="20"/>
              <w:jc w:val="right"/>
            </w:pPr>
            <w:r/>
            <w:r>
              <w:rPr>
                <w:b w:val="0"/>
                <w:i w:val="0"/>
                <w:sz w:val="17"/>
              </w:rPr>
              <w:t>20%</w:t>
            </w:r>
          </w:p>
        </w:tc>
      </w:tr>
      <w:tr>
        <w:trPr>
          <w:cantSplit/>
        </w:trPr>
        <w:tc>
          <w:tcPr>
            <w:tcW w:type="dxa" w:w="1928"/>
          </w:tcPr>
          <w:p>
            <w:pPr>
              <w:spacing w:after="20"/>
            </w:pPr>
            <w:r/>
            <w:r>
              <w:rPr>
                <w:b w:val="0"/>
                <w:i w:val="0"/>
                <w:sz w:val="17"/>
              </w:rPr>
              <w:t>Infrastructure gap</w:t>
            </w:r>
          </w:p>
        </w:tc>
        <w:tc>
          <w:tcPr>
            <w:tcW w:type="dxa" w:w="3402"/>
          </w:tcPr>
          <w:p>
            <w:pPr>
              <w:spacing w:after="20"/>
            </w:pPr>
            <w:r/>
            <w:r>
              <w:rPr>
                <w:b w:val="0"/>
                <w:i w:val="0"/>
                <w:sz w:val="17"/>
              </w:rPr>
              <w:t>PDP assessment of storage adequacy</w:t>
            </w:r>
          </w:p>
        </w:tc>
        <w:tc>
          <w:tcPr>
            <w:tcW w:type="dxa" w:w="3005"/>
          </w:tcPr>
          <w:p>
            <w:pPr>
              <w:spacing w:after="20"/>
            </w:pPr>
            <w:r/>
            <w:r>
              <w:rPr>
                <w:b w:val="0"/>
                <w:i w:val="0"/>
                <w:sz w:val="17"/>
              </w:rPr>
              <w:t>Adequate → 1; gap → 4</w:t>
            </w:r>
          </w:p>
        </w:tc>
        <w:tc>
          <w:tcPr>
            <w:tcW w:type="dxa" w:w="907"/>
          </w:tcPr>
          <w:p>
            <w:pPr>
              <w:spacing w:after="20"/>
              <w:jc w:val="right"/>
            </w:pPr>
            <w:r/>
            <w:r>
              <w:rPr>
                <w:b w:val="0"/>
                <w:i w:val="0"/>
                <w:sz w:val="17"/>
              </w:rPr>
              <w:t>15%</w:t>
            </w:r>
          </w:p>
        </w:tc>
      </w:tr>
      <w:tr>
        <w:trPr>
          <w:cantSplit/>
        </w:trPr>
        <w:tc>
          <w:tcPr>
            <w:tcW w:type="dxa" w:w="1928"/>
            <w:shd w:val="clear" w:color="auto" w:fill="EEF3F8"/>
          </w:tcPr>
          <w:p>
            <w:pPr>
              <w:spacing w:after="20"/>
            </w:pPr>
            <w:r/>
            <w:r>
              <w:rPr>
                <w:b w:val="0"/>
                <w:i w:val="0"/>
                <w:sz w:val="17"/>
              </w:rPr>
              <w:t>Supply concentration</w:t>
            </w:r>
          </w:p>
        </w:tc>
        <w:tc>
          <w:tcPr>
            <w:tcW w:type="dxa" w:w="3402"/>
            <w:shd w:val="clear" w:color="auto" w:fill="EEF3F8"/>
          </w:tcPr>
          <w:p>
            <w:pPr>
              <w:spacing w:after="20"/>
            </w:pPr>
            <w:r/>
            <w:r>
              <w:rPr>
                <w:b w:val="0"/>
                <w:i w:val="0"/>
                <w:sz w:val="17"/>
              </w:rPr>
              <w:t>Reliance on Gulf-origin G-to-G supply (judgement)</w:t>
            </w:r>
          </w:p>
        </w:tc>
        <w:tc>
          <w:tcPr>
            <w:tcW w:type="dxa" w:w="3005"/>
            <w:shd w:val="clear" w:color="auto" w:fill="EEF3F8"/>
          </w:tcPr>
          <w:p>
            <w:pPr>
              <w:spacing w:after="20"/>
            </w:pPr>
            <w:r/>
            <w:r>
              <w:rPr>
                <w:b w:val="0"/>
                <w:i w:val="0"/>
                <w:sz w:val="17"/>
              </w:rPr>
              <w:t>Jet 3; others 4</w:t>
            </w:r>
          </w:p>
        </w:tc>
        <w:tc>
          <w:tcPr>
            <w:tcW w:type="dxa" w:w="907"/>
            <w:shd w:val="clear" w:color="auto" w:fill="EEF3F8"/>
          </w:tcPr>
          <w:p>
            <w:pPr>
              <w:spacing w:after="20"/>
              <w:jc w:val="right"/>
            </w:pPr>
            <w:r/>
            <w:r>
              <w:rPr>
                <w:b w:val="0"/>
                <w:i w:val="0"/>
                <w:sz w:val="17"/>
              </w:rPr>
              <w:t>15%</w:t>
            </w:r>
          </w:p>
        </w:tc>
      </w:tr>
    </w:tbl>
    <w:p>
      <w:pPr>
        <w:spacing w:after="40"/>
      </w:pP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cantSplit/>
        </w:trPr>
        <w:tc>
          <w:tcPr>
            <w:tcW w:type="dxa" w:w="1474"/>
            <w:shd w:val="clear" w:color="auto" w:fill="1F4E79"/>
          </w:tcPr>
          <w:p>
            <w:pPr>
              <w:spacing w:after="20"/>
            </w:pPr>
            <w:r/>
            <w:r>
              <w:rPr>
                <w:b/>
                <w:color w:val="FFFFFF"/>
                <w:sz w:val="17"/>
              </w:rPr>
              <w:t>Product</w:t>
            </w:r>
          </w:p>
        </w:tc>
        <w:tc>
          <w:tcPr>
            <w:tcW w:type="dxa" w:w="964"/>
            <w:shd w:val="clear" w:color="auto" w:fill="1F4E79"/>
          </w:tcPr>
          <w:p>
            <w:pPr>
              <w:spacing w:after="20"/>
            </w:pPr>
            <w:r/>
            <w:r>
              <w:rPr>
                <w:b/>
                <w:color w:val="FFFFFF"/>
                <w:sz w:val="17"/>
              </w:rPr>
              <w:t>Volatility</w:t>
            </w:r>
          </w:p>
        </w:tc>
        <w:tc>
          <w:tcPr>
            <w:tcW w:type="dxa" w:w="1077"/>
            <w:shd w:val="clear" w:color="auto" w:fill="1F4E79"/>
          </w:tcPr>
          <w:p>
            <w:pPr>
              <w:spacing w:after="20"/>
            </w:pPr>
            <w:r/>
            <w:r>
              <w:rPr>
                <w:b/>
                <w:color w:val="FFFFFF"/>
                <w:sz w:val="17"/>
              </w:rPr>
              <w:t>Forecast unc.</w:t>
            </w:r>
          </w:p>
        </w:tc>
        <w:tc>
          <w:tcPr>
            <w:tcW w:type="dxa" w:w="1020"/>
            <w:shd w:val="clear" w:color="auto" w:fill="1F4E79"/>
          </w:tcPr>
          <w:p>
            <w:pPr>
              <w:spacing w:after="20"/>
            </w:pPr>
            <w:r/>
            <w:r>
              <w:rPr>
                <w:b/>
                <w:color w:val="FFFFFF"/>
                <w:sz w:val="17"/>
              </w:rPr>
              <w:t>Stock cover</w:t>
            </w:r>
          </w:p>
        </w:tc>
        <w:tc>
          <w:tcPr>
            <w:tcW w:type="dxa" w:w="1020"/>
            <w:shd w:val="clear" w:color="auto" w:fill="1F4E79"/>
          </w:tcPr>
          <w:p>
            <w:pPr>
              <w:spacing w:after="20"/>
            </w:pPr>
            <w:r/>
            <w:r>
              <w:rPr>
                <w:b/>
                <w:color w:val="FFFFFF"/>
                <w:sz w:val="17"/>
              </w:rPr>
              <w:t>Price shock</w:t>
            </w:r>
          </w:p>
        </w:tc>
        <w:tc>
          <w:tcPr>
            <w:tcW w:type="dxa" w:w="1247"/>
            <w:shd w:val="clear" w:color="auto" w:fill="1F4E79"/>
          </w:tcPr>
          <w:p>
            <w:pPr>
              <w:spacing w:after="20"/>
            </w:pPr>
            <w:r/>
            <w:r>
              <w:rPr>
                <w:b/>
                <w:color w:val="FFFFFF"/>
                <w:sz w:val="17"/>
              </w:rPr>
              <w:t>Infrastructure</w:t>
            </w:r>
          </w:p>
        </w:tc>
        <w:tc>
          <w:tcPr>
            <w:tcW w:type="dxa" w:w="1361"/>
            <w:shd w:val="clear" w:color="auto" w:fill="1F4E79"/>
          </w:tcPr>
          <w:p>
            <w:pPr>
              <w:spacing w:after="20"/>
            </w:pPr>
            <w:r/>
            <w:r>
              <w:rPr>
                <w:b/>
                <w:color w:val="FFFFFF"/>
                <w:sz w:val="17"/>
              </w:rPr>
              <w:t>Concentration</w:t>
            </w:r>
          </w:p>
        </w:tc>
        <w:tc>
          <w:tcPr>
            <w:tcW w:type="dxa" w:w="794"/>
            <w:shd w:val="clear" w:color="auto" w:fill="1F4E79"/>
          </w:tcPr>
          <w:p>
            <w:pPr>
              <w:spacing w:after="20"/>
            </w:pPr>
            <w:r/>
            <w:r>
              <w:rPr>
                <w:b/>
                <w:color w:val="FFFFFF"/>
                <w:sz w:val="17"/>
              </w:rPr>
              <w:t>Score</w:t>
            </w:r>
          </w:p>
        </w:tc>
        <w:tc>
          <w:tcPr>
            <w:tcW w:type="dxa" w:w="907"/>
            <w:shd w:val="clear" w:color="auto" w:fill="1F4E79"/>
          </w:tcPr>
          <w:p>
            <w:pPr>
              <w:spacing w:after="20"/>
            </w:pPr>
            <w:r/>
            <w:r>
              <w:rPr>
                <w:b/>
                <w:color w:val="FFFFFF"/>
                <w:sz w:val="17"/>
              </w:rPr>
              <w:t>Rating</w:t>
            </w:r>
          </w:p>
        </w:tc>
      </w:tr>
      <w:tr>
        <w:trPr>
          <w:cantSplit/>
        </w:trPr>
        <w:tc>
          <w:tcPr>
            <w:tcW w:type="dxa" w:w="1474"/>
          </w:tcPr>
          <w:p>
            <w:pPr>
              <w:spacing w:after="20"/>
            </w:pPr>
            <w:r/>
            <w:r>
              <w:rPr>
                <w:b w:val="0"/>
                <w:i w:val="0"/>
                <w:sz w:val="17"/>
              </w:rPr>
              <w:t>Diesel (AGO)</w:t>
            </w:r>
          </w:p>
        </w:tc>
        <w:tc>
          <w:tcPr>
            <w:tcW w:type="dxa" w:w="964"/>
          </w:tcPr>
          <w:p>
            <w:pPr>
              <w:spacing w:after="20"/>
              <w:jc w:val="right"/>
            </w:pPr>
            <w:r/>
            <w:r>
              <w:rPr>
                <w:b w:val="0"/>
                <w:i w:val="0"/>
                <w:sz w:val="17"/>
              </w:rPr>
              <w:t>2.3</w:t>
            </w:r>
          </w:p>
        </w:tc>
        <w:tc>
          <w:tcPr>
            <w:tcW w:type="dxa" w:w="1077"/>
          </w:tcPr>
          <w:p>
            <w:pPr>
              <w:spacing w:after="20"/>
              <w:jc w:val="right"/>
            </w:pPr>
            <w:r/>
            <w:r>
              <w:rPr>
                <w:b w:val="0"/>
                <w:i w:val="0"/>
                <w:sz w:val="17"/>
              </w:rPr>
              <w:t>1.8</w:t>
            </w:r>
          </w:p>
        </w:tc>
        <w:tc>
          <w:tcPr>
            <w:tcW w:type="dxa" w:w="1020"/>
          </w:tcPr>
          <w:p>
            <w:pPr>
              <w:spacing w:after="20"/>
              <w:jc w:val="right"/>
            </w:pPr>
            <w:r/>
            <w:r>
              <w:rPr>
                <w:b w:val="0"/>
                <w:i w:val="0"/>
                <w:sz w:val="17"/>
              </w:rPr>
              <w:t>3.2</w:t>
            </w:r>
          </w:p>
        </w:tc>
        <w:tc>
          <w:tcPr>
            <w:tcW w:type="dxa" w:w="1020"/>
          </w:tcPr>
          <w:p>
            <w:pPr>
              <w:spacing w:after="20"/>
              <w:jc w:val="right"/>
            </w:pPr>
            <w:r/>
            <w:r>
              <w:rPr>
                <w:b w:val="0"/>
                <w:i w:val="0"/>
                <w:sz w:val="17"/>
              </w:rPr>
              <w:t>5.0</w:t>
            </w:r>
          </w:p>
        </w:tc>
        <w:tc>
          <w:tcPr>
            <w:tcW w:type="dxa" w:w="1247"/>
          </w:tcPr>
          <w:p>
            <w:pPr>
              <w:spacing w:after="20"/>
              <w:jc w:val="right"/>
            </w:pPr>
            <w:r/>
            <w:r>
              <w:rPr>
                <w:b w:val="0"/>
                <w:i w:val="0"/>
                <w:sz w:val="17"/>
              </w:rPr>
              <w:t>1.0</w:t>
            </w:r>
          </w:p>
        </w:tc>
        <w:tc>
          <w:tcPr>
            <w:tcW w:type="dxa" w:w="1361"/>
          </w:tcPr>
          <w:p>
            <w:pPr>
              <w:spacing w:after="20"/>
              <w:jc w:val="right"/>
            </w:pPr>
            <w:r/>
            <w:r>
              <w:rPr>
                <w:b w:val="0"/>
                <w:i w:val="0"/>
                <w:sz w:val="17"/>
              </w:rPr>
              <w:t>4.0</w:t>
            </w:r>
          </w:p>
        </w:tc>
        <w:tc>
          <w:tcPr>
            <w:tcW w:type="dxa" w:w="794"/>
          </w:tcPr>
          <w:p>
            <w:pPr>
              <w:spacing w:after="20"/>
              <w:jc w:val="right"/>
            </w:pPr>
            <w:r/>
            <w:r>
              <w:rPr>
                <w:b w:val="0"/>
                <w:i w:val="0"/>
                <w:sz w:val="17"/>
              </w:rPr>
              <w:t>3.07</w:t>
            </w:r>
          </w:p>
        </w:tc>
        <w:tc>
          <w:tcPr>
            <w:tcW w:type="dxa" w:w="907"/>
          </w:tcPr>
          <w:p>
            <w:pPr>
              <w:spacing w:after="20"/>
            </w:pPr>
            <w:r/>
            <w:r>
              <w:rPr>
                <w:b w:val="0"/>
                <w:i w:val="0"/>
                <w:sz w:val="17"/>
              </w:rPr>
              <w:t>MEDIUM</w:t>
            </w:r>
          </w:p>
        </w:tc>
      </w:tr>
      <w:tr>
        <w:trPr>
          <w:cantSplit/>
        </w:trPr>
        <w:tc>
          <w:tcPr>
            <w:tcW w:type="dxa" w:w="1474"/>
            <w:shd w:val="clear" w:color="auto" w:fill="EEF3F8"/>
          </w:tcPr>
          <w:p>
            <w:pPr>
              <w:spacing w:after="20"/>
            </w:pPr>
            <w:r/>
            <w:r>
              <w:rPr>
                <w:b w:val="0"/>
                <w:i w:val="0"/>
                <w:sz w:val="17"/>
              </w:rPr>
              <w:t>Petrol (PMS)</w:t>
            </w:r>
          </w:p>
        </w:tc>
        <w:tc>
          <w:tcPr>
            <w:tcW w:type="dxa" w:w="964"/>
            <w:shd w:val="clear" w:color="auto" w:fill="EEF3F8"/>
          </w:tcPr>
          <w:p>
            <w:pPr>
              <w:spacing w:after="20"/>
              <w:jc w:val="right"/>
            </w:pPr>
            <w:r/>
            <w:r>
              <w:rPr>
                <w:b w:val="0"/>
                <w:i w:val="0"/>
                <w:sz w:val="17"/>
              </w:rPr>
              <w:t>3.4</w:t>
            </w:r>
          </w:p>
        </w:tc>
        <w:tc>
          <w:tcPr>
            <w:tcW w:type="dxa" w:w="1077"/>
            <w:shd w:val="clear" w:color="auto" w:fill="EEF3F8"/>
          </w:tcPr>
          <w:p>
            <w:pPr>
              <w:spacing w:after="20"/>
              <w:jc w:val="right"/>
            </w:pPr>
            <w:r/>
            <w:r>
              <w:rPr>
                <w:b w:val="0"/>
                <w:i w:val="0"/>
                <w:sz w:val="17"/>
              </w:rPr>
              <w:t>2.5</w:t>
            </w:r>
          </w:p>
        </w:tc>
        <w:tc>
          <w:tcPr>
            <w:tcW w:type="dxa" w:w="1020"/>
            <w:shd w:val="clear" w:color="auto" w:fill="EEF3F8"/>
          </w:tcPr>
          <w:p>
            <w:pPr>
              <w:spacing w:after="20"/>
              <w:jc w:val="right"/>
            </w:pPr>
            <w:r/>
            <w:r>
              <w:rPr>
                <w:b w:val="0"/>
                <w:i w:val="0"/>
                <w:sz w:val="17"/>
              </w:rPr>
              <w:t>3.8</w:t>
            </w:r>
          </w:p>
        </w:tc>
        <w:tc>
          <w:tcPr>
            <w:tcW w:type="dxa" w:w="1020"/>
            <w:shd w:val="clear" w:color="auto" w:fill="EEF3F8"/>
          </w:tcPr>
          <w:p>
            <w:pPr>
              <w:spacing w:after="20"/>
              <w:jc w:val="right"/>
            </w:pPr>
            <w:r/>
            <w:r>
              <w:rPr>
                <w:b w:val="0"/>
                <w:i w:val="0"/>
                <w:sz w:val="17"/>
              </w:rPr>
              <w:t>3.7</w:t>
            </w:r>
          </w:p>
        </w:tc>
        <w:tc>
          <w:tcPr>
            <w:tcW w:type="dxa" w:w="1247"/>
            <w:shd w:val="clear" w:color="auto" w:fill="EEF3F8"/>
          </w:tcPr>
          <w:p>
            <w:pPr>
              <w:spacing w:after="20"/>
              <w:jc w:val="right"/>
            </w:pPr>
            <w:r/>
            <w:r>
              <w:rPr>
                <w:b w:val="0"/>
                <w:i w:val="0"/>
                <w:sz w:val="17"/>
              </w:rPr>
              <w:t>1.0</w:t>
            </w:r>
          </w:p>
        </w:tc>
        <w:tc>
          <w:tcPr>
            <w:tcW w:type="dxa" w:w="1361"/>
            <w:shd w:val="clear" w:color="auto" w:fill="EEF3F8"/>
          </w:tcPr>
          <w:p>
            <w:pPr>
              <w:spacing w:after="20"/>
              <w:jc w:val="right"/>
            </w:pPr>
            <w:r/>
            <w:r>
              <w:rPr>
                <w:b w:val="0"/>
                <w:i w:val="0"/>
                <w:sz w:val="17"/>
              </w:rPr>
              <w:t>4.0</w:t>
            </w:r>
          </w:p>
        </w:tc>
        <w:tc>
          <w:tcPr>
            <w:tcW w:type="dxa" w:w="794"/>
            <w:shd w:val="clear" w:color="auto" w:fill="EEF3F8"/>
          </w:tcPr>
          <w:p>
            <w:pPr>
              <w:spacing w:after="20"/>
              <w:jc w:val="right"/>
            </w:pPr>
            <w:r/>
            <w:r>
              <w:rPr>
                <w:b w:val="0"/>
                <w:i w:val="0"/>
                <w:sz w:val="17"/>
              </w:rPr>
              <w:t>3.19</w:t>
            </w:r>
          </w:p>
        </w:tc>
        <w:tc>
          <w:tcPr>
            <w:tcW w:type="dxa" w:w="907"/>
            <w:shd w:val="clear" w:color="auto" w:fill="EEF3F8"/>
          </w:tcPr>
          <w:p>
            <w:pPr>
              <w:spacing w:after="20"/>
            </w:pPr>
            <w:r/>
            <w:r>
              <w:rPr>
                <w:b w:val="0"/>
                <w:i w:val="0"/>
                <w:sz w:val="17"/>
              </w:rPr>
              <w:t>MEDIUM</w:t>
            </w:r>
          </w:p>
        </w:tc>
      </w:tr>
      <w:tr>
        <w:trPr>
          <w:cantSplit/>
        </w:trPr>
        <w:tc>
          <w:tcPr>
            <w:tcW w:type="dxa" w:w="1474"/>
          </w:tcPr>
          <w:p>
            <w:pPr>
              <w:spacing w:after="20"/>
            </w:pPr>
            <w:r/>
            <w:r>
              <w:rPr>
                <w:b w:val="0"/>
                <w:i w:val="0"/>
                <w:sz w:val="17"/>
              </w:rPr>
              <w:t>LPG</w:t>
            </w:r>
          </w:p>
        </w:tc>
        <w:tc>
          <w:tcPr>
            <w:tcW w:type="dxa" w:w="964"/>
          </w:tcPr>
          <w:p>
            <w:pPr>
              <w:spacing w:after="20"/>
              <w:jc w:val="right"/>
            </w:pPr>
            <w:r/>
            <w:r>
              <w:rPr>
                <w:b w:val="0"/>
                <w:i w:val="0"/>
                <w:sz w:val="17"/>
              </w:rPr>
              <w:t>4.3</w:t>
            </w:r>
          </w:p>
        </w:tc>
        <w:tc>
          <w:tcPr>
            <w:tcW w:type="dxa" w:w="1077"/>
          </w:tcPr>
          <w:p>
            <w:pPr>
              <w:spacing w:after="20"/>
              <w:jc w:val="right"/>
            </w:pPr>
            <w:r/>
            <w:r>
              <w:rPr>
                <w:b w:val="0"/>
                <w:i w:val="0"/>
                <w:sz w:val="17"/>
              </w:rPr>
              <w:t>2.1</w:t>
            </w:r>
          </w:p>
        </w:tc>
        <w:tc>
          <w:tcPr>
            <w:tcW w:type="dxa" w:w="1020"/>
          </w:tcPr>
          <w:p>
            <w:pPr>
              <w:spacing w:after="20"/>
              <w:jc w:val="right"/>
            </w:pPr>
            <w:r/>
            <w:r>
              <w:rPr>
                <w:b w:val="0"/>
                <w:i w:val="0"/>
                <w:sz w:val="17"/>
              </w:rPr>
              <w:t>4.0</w:t>
            </w:r>
          </w:p>
        </w:tc>
        <w:tc>
          <w:tcPr>
            <w:tcW w:type="dxa" w:w="1020"/>
          </w:tcPr>
          <w:p>
            <w:pPr>
              <w:spacing w:after="20"/>
              <w:jc w:val="right"/>
            </w:pPr>
            <w:r/>
            <w:r>
              <w:rPr>
                <w:b w:val="0"/>
                <w:i w:val="0"/>
                <w:sz w:val="17"/>
              </w:rPr>
              <w:t>3.0</w:t>
            </w:r>
          </w:p>
        </w:tc>
        <w:tc>
          <w:tcPr>
            <w:tcW w:type="dxa" w:w="1247"/>
          </w:tcPr>
          <w:p>
            <w:pPr>
              <w:spacing w:after="20"/>
              <w:jc w:val="right"/>
            </w:pPr>
            <w:r/>
            <w:r>
              <w:rPr>
                <w:b w:val="0"/>
                <w:i w:val="0"/>
                <w:sz w:val="17"/>
              </w:rPr>
              <w:t>4.0</w:t>
            </w:r>
          </w:p>
        </w:tc>
        <w:tc>
          <w:tcPr>
            <w:tcW w:type="dxa" w:w="1361"/>
          </w:tcPr>
          <w:p>
            <w:pPr>
              <w:spacing w:after="20"/>
              <w:jc w:val="right"/>
            </w:pPr>
            <w:r/>
            <w:r>
              <w:rPr>
                <w:b w:val="0"/>
                <w:i w:val="0"/>
                <w:sz w:val="17"/>
              </w:rPr>
              <w:t>4.0</w:t>
            </w:r>
          </w:p>
        </w:tc>
        <w:tc>
          <w:tcPr>
            <w:tcW w:type="dxa" w:w="794"/>
          </w:tcPr>
          <w:p>
            <w:pPr>
              <w:spacing w:after="20"/>
              <w:jc w:val="right"/>
            </w:pPr>
            <w:r/>
            <w:r>
              <w:rPr>
                <w:b w:val="0"/>
                <w:i w:val="0"/>
                <w:sz w:val="17"/>
              </w:rPr>
              <w:t>3.65</w:t>
            </w:r>
          </w:p>
        </w:tc>
        <w:tc>
          <w:tcPr>
            <w:tcW w:type="dxa" w:w="907"/>
          </w:tcPr>
          <w:p>
            <w:pPr>
              <w:spacing w:after="20"/>
            </w:pPr>
            <w:r/>
            <w:r>
              <w:rPr>
                <w:b w:val="0"/>
                <w:i w:val="0"/>
                <w:sz w:val="17"/>
              </w:rPr>
              <w:t>HIGH</w:t>
            </w:r>
          </w:p>
        </w:tc>
      </w:tr>
      <w:tr>
        <w:trPr>
          <w:cantSplit/>
        </w:trPr>
        <w:tc>
          <w:tcPr>
            <w:tcW w:type="dxa" w:w="1474"/>
            <w:shd w:val="clear" w:color="auto" w:fill="EEF3F8"/>
          </w:tcPr>
          <w:p>
            <w:pPr>
              <w:spacing w:after="20"/>
            </w:pPr>
            <w:r/>
            <w:r>
              <w:rPr>
                <w:b w:val="0"/>
                <w:i w:val="0"/>
                <w:sz w:val="17"/>
              </w:rPr>
              <w:t>Jet fuel*</w:t>
            </w:r>
          </w:p>
        </w:tc>
        <w:tc>
          <w:tcPr>
            <w:tcW w:type="dxa" w:w="964"/>
            <w:shd w:val="clear" w:color="auto" w:fill="EEF3F8"/>
          </w:tcPr>
          <w:p>
            <w:pPr>
              <w:spacing w:after="20"/>
              <w:jc w:val="right"/>
            </w:pPr>
            <w:r/>
            <w:r>
              <w:rPr>
                <w:b w:val="0"/>
                <w:i w:val="0"/>
                <w:sz w:val="17"/>
              </w:rPr>
              <w:t>1.3</w:t>
            </w:r>
          </w:p>
        </w:tc>
        <w:tc>
          <w:tcPr>
            <w:tcW w:type="dxa" w:w="1077"/>
            <w:shd w:val="clear" w:color="auto" w:fill="EEF3F8"/>
          </w:tcPr>
          <w:p>
            <w:pPr>
              <w:spacing w:after="20"/>
              <w:jc w:val="right"/>
            </w:pPr>
            <w:r/>
            <w:r>
              <w:rPr>
                <w:b w:val="0"/>
                <w:i w:val="0"/>
                <w:sz w:val="17"/>
              </w:rPr>
              <w:t>2.5</w:t>
            </w:r>
          </w:p>
        </w:tc>
        <w:tc>
          <w:tcPr>
            <w:tcW w:type="dxa" w:w="1020"/>
            <w:shd w:val="clear" w:color="auto" w:fill="EEF3F8"/>
          </w:tcPr>
          <w:p>
            <w:pPr>
              <w:spacing w:after="20"/>
              <w:jc w:val="right"/>
            </w:pPr>
            <w:r/>
            <w:r>
              <w:rPr>
                <w:b w:val="0"/>
                <w:i w:val="0"/>
                <w:sz w:val="17"/>
              </w:rPr>
              <w:t>1.0</w:t>
            </w:r>
          </w:p>
        </w:tc>
        <w:tc>
          <w:tcPr>
            <w:tcW w:type="dxa" w:w="1020"/>
            <w:shd w:val="clear" w:color="auto" w:fill="EEF3F8"/>
          </w:tcPr>
          <w:p>
            <w:pPr>
              <w:spacing w:after="20"/>
              <w:jc w:val="right"/>
            </w:pPr>
            <w:r/>
            <w:r>
              <w:rPr>
                <w:b w:val="0"/>
                <w:i w:val="0"/>
                <w:sz w:val="17"/>
              </w:rPr>
              <w:t>3.0</w:t>
            </w:r>
          </w:p>
        </w:tc>
        <w:tc>
          <w:tcPr>
            <w:tcW w:type="dxa" w:w="1247"/>
            <w:shd w:val="clear" w:color="auto" w:fill="EEF3F8"/>
          </w:tcPr>
          <w:p>
            <w:pPr>
              <w:spacing w:after="20"/>
              <w:jc w:val="right"/>
            </w:pPr>
            <w:r/>
            <w:r>
              <w:rPr>
                <w:b w:val="0"/>
                <w:i w:val="0"/>
                <w:sz w:val="17"/>
              </w:rPr>
              <w:t>1.0</w:t>
            </w:r>
          </w:p>
        </w:tc>
        <w:tc>
          <w:tcPr>
            <w:tcW w:type="dxa" w:w="1361"/>
            <w:shd w:val="clear" w:color="auto" w:fill="EEF3F8"/>
          </w:tcPr>
          <w:p>
            <w:pPr>
              <w:spacing w:after="20"/>
              <w:jc w:val="right"/>
            </w:pPr>
            <w:r/>
            <w:r>
              <w:rPr>
                <w:b w:val="0"/>
                <w:i w:val="0"/>
                <w:sz w:val="17"/>
              </w:rPr>
              <w:t>3.0</w:t>
            </w:r>
          </w:p>
        </w:tc>
        <w:tc>
          <w:tcPr>
            <w:tcW w:type="dxa" w:w="794"/>
            <w:shd w:val="clear" w:color="auto" w:fill="EEF3F8"/>
          </w:tcPr>
          <w:p>
            <w:pPr>
              <w:spacing w:after="20"/>
              <w:jc w:val="right"/>
            </w:pPr>
            <w:r/>
            <w:r>
              <w:rPr>
                <w:b w:val="0"/>
                <w:i w:val="0"/>
                <w:sz w:val="17"/>
              </w:rPr>
              <w:t>1.91</w:t>
            </w:r>
          </w:p>
        </w:tc>
        <w:tc>
          <w:tcPr>
            <w:tcW w:type="dxa" w:w="907"/>
            <w:shd w:val="clear" w:color="auto" w:fill="EEF3F8"/>
          </w:tcPr>
          <w:p>
            <w:pPr>
              <w:spacing w:after="20"/>
            </w:pPr>
            <w:r/>
            <w:r>
              <w:rPr>
                <w:b w:val="0"/>
                <w:i w:val="0"/>
                <w:sz w:val="17"/>
              </w:rPr>
              <w:t>LOW</w:t>
            </w:r>
          </w:p>
        </w:tc>
      </w:tr>
    </w:tbl>
    <w:p>
      <w:r>
        <w:rPr>
          <w:i/>
          <w:sz w:val="16"/>
        </w:rPr>
        <w:t>Scores 1 (low) to 5 (high). Ratings: LOW &lt; 2.4; MEDIUM 2.4–3.2; HIGH &gt; 3.2. LPG stock cover (no published figure) scored 4 as a data-gap penalty; unobserved LPG and jet price shocks scored a neutral 3. Concentration and infrastructure scores are judgement based on the PDP and G-to-G sourcing. Not an official classification.</w:t>
      </w:r>
    </w:p>
    <w:p>
      <w:r>
        <w:rPr>
          <w:b/>
          <w:i w:val="0"/>
        </w:rPr>
        <w:t>Robustness.</w:t>
      </w:r>
      <w:r>
        <w:rPr>
          <w:b w:val="0"/>
          <w:i w:val="0"/>
        </w:rPr>
        <w:t xml:space="preserve"> With equal weights or stock-heavy weights the scores are: LPG 3.56 / 3.63; petrol 3.06 / 3.34; diesel 2.88 / 3.19; jet 1.98 / 1.79. LPG ranks highest and jet lowest in all three weightings; the petrol–diesel order is stable. Petrol’s base-weight score (3.19) sits on the MEDIUM/HIGH boundary and would be rated HIGH under stock-heavy weights. Kerosene (0.8% of demand) and fuel oil (label uncertain) are excluded.</w:t>
      </w:r>
    </w:p>
    <w:p>
      <w:r>
        <w:rPr>
          <w:b/>
          <w:i w:val="0"/>
        </w:rPr>
        <w:t>Product notes.</w:t>
      </w:r>
      <w:r>
        <w:rPr>
          <w:b w:val="0"/>
          <w:i w:val="0"/>
        </w:rPr>
        <w:t xml:space="preserve"> *LPG*: highest growth, no published stock cover, a storage gap from 2026 and a Gulf supply origin. *Petrol*: shortest cover among the large products (13–16 days in April) and the most seasonal demand. *Diesel*: biggest price shock (+30.8%) and the largest absolute shortfall in litres, but lower demand volatility. *Jet fuel*: highest days of cover; risk is mainly route concentration.</w:t>
      </w:r>
    </w:p>
    <w:p>
      <w:pPr>
        <w:pStyle w:val="Heading1"/>
      </w:pPr>
      <w:r>
        <w:t>14. Structural change: energy transition and cooking fuels</w:t>
      </w:r>
    </w:p>
    <w:p>
      <w:r>
        <w:rPr>
          <w:b w:val="0"/>
          <w:i w:val="0"/>
        </w:rPr>
        <w:t>Over a ten-year horizon, three structural shifts could change the shape of demand: electrification of transport, the clean-cooking transition, and efficiency/modal shifts. Reliable Kenyan projections of electric-vehicle uptake were not available to this analysis, so the arithmetic below is not a forecast: it shows the import saving associated with each level of petrol displacement in 2035.</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2381"/>
            <w:shd w:val="clear" w:color="auto" w:fill="1F4E79"/>
          </w:tcPr>
          <w:p>
            <w:pPr>
              <w:spacing w:after="20"/>
            </w:pPr>
            <w:r/>
            <w:r>
              <w:rPr>
                <w:b/>
                <w:color w:val="FFFFFF"/>
                <w:sz w:val="17"/>
              </w:rPr>
              <w:t>Petrol demand displaced in 2035</w:t>
            </w:r>
          </w:p>
        </w:tc>
        <w:tc>
          <w:tcPr>
            <w:tcW w:type="dxa" w:w="1361"/>
            <w:shd w:val="clear" w:color="auto" w:fill="1F4E79"/>
          </w:tcPr>
          <w:p>
            <w:pPr>
              <w:spacing w:after="20"/>
            </w:pPr>
            <w:r/>
            <w:r>
              <w:rPr>
                <w:b/>
                <w:color w:val="FFFFFF"/>
                <w:sz w:val="17"/>
              </w:rPr>
              <w:t>Volume (kt)</w:t>
            </w:r>
          </w:p>
        </w:tc>
        <w:tc>
          <w:tcPr>
            <w:tcW w:type="dxa" w:w="1361"/>
            <w:shd w:val="clear" w:color="auto" w:fill="1F4E79"/>
          </w:tcPr>
          <w:p>
            <w:pPr>
              <w:spacing w:after="20"/>
            </w:pPr>
            <w:r/>
            <w:r>
              <w:rPr>
                <w:b/>
                <w:color w:val="FFFFFF"/>
                <w:sz w:val="17"/>
              </w:rPr>
              <w:t>Volume (ML)</w:t>
            </w:r>
          </w:p>
        </w:tc>
        <w:tc>
          <w:tcPr>
            <w:tcW w:type="dxa" w:w="2494"/>
            <w:shd w:val="clear" w:color="auto" w:fill="1F4E79"/>
          </w:tcPr>
          <w:p>
            <w:pPr>
              <w:spacing w:after="20"/>
            </w:pPr>
            <w:r/>
            <w:r>
              <w:rPr>
                <w:b/>
                <w:color w:val="FFFFFF"/>
                <w:sz w:val="17"/>
              </w:rPr>
              <w:t>Import saving (US$ m a year)</w:t>
            </w:r>
          </w:p>
        </w:tc>
        <w:tc>
          <w:tcPr>
            <w:tcW w:type="dxa" w:w="1701"/>
            <w:shd w:val="clear" w:color="auto" w:fill="1F4E79"/>
          </w:tcPr>
          <w:p>
            <w:pPr>
              <w:spacing w:after="20"/>
            </w:pPr>
            <w:r/>
            <w:r>
              <w:rPr>
                <w:b/>
                <w:color w:val="FFFFFF"/>
                <w:sz w:val="17"/>
              </w:rPr>
              <w:t>(KSh bn a year)</w:t>
            </w:r>
          </w:p>
        </w:tc>
      </w:tr>
      <w:tr>
        <w:trPr>
          <w:cantSplit/>
        </w:trPr>
        <w:tc>
          <w:tcPr>
            <w:tcW w:type="dxa" w:w="2381"/>
          </w:tcPr>
          <w:p>
            <w:pPr>
              <w:spacing w:after="20"/>
            </w:pPr>
            <w:r/>
            <w:r>
              <w:rPr>
                <w:b w:val="0"/>
                <w:i w:val="0"/>
                <w:sz w:val="17"/>
              </w:rPr>
              <w:t>2%</w:t>
            </w:r>
          </w:p>
        </w:tc>
        <w:tc>
          <w:tcPr>
            <w:tcW w:type="dxa" w:w="1361"/>
          </w:tcPr>
          <w:p>
            <w:pPr>
              <w:spacing w:after="20"/>
              <w:jc w:val="right"/>
            </w:pPr>
            <w:r/>
            <w:r>
              <w:rPr>
                <w:b w:val="0"/>
                <w:i w:val="0"/>
                <w:sz w:val="17"/>
              </w:rPr>
              <w:t>43</w:t>
            </w:r>
          </w:p>
        </w:tc>
        <w:tc>
          <w:tcPr>
            <w:tcW w:type="dxa" w:w="1361"/>
          </w:tcPr>
          <w:p>
            <w:pPr>
              <w:spacing w:after="20"/>
              <w:jc w:val="right"/>
            </w:pPr>
            <w:r/>
            <w:r>
              <w:rPr>
                <w:b w:val="0"/>
                <w:i w:val="0"/>
                <w:sz w:val="17"/>
              </w:rPr>
              <w:t>59</w:t>
            </w:r>
          </w:p>
        </w:tc>
        <w:tc>
          <w:tcPr>
            <w:tcW w:type="dxa" w:w="2494"/>
          </w:tcPr>
          <w:p>
            <w:pPr>
              <w:spacing w:after="20"/>
              <w:jc w:val="right"/>
            </w:pPr>
            <w:r/>
            <w:r>
              <w:rPr>
                <w:b w:val="0"/>
                <w:i w:val="0"/>
                <w:sz w:val="17"/>
              </w:rPr>
              <w:t>52</w:t>
            </w:r>
          </w:p>
        </w:tc>
        <w:tc>
          <w:tcPr>
            <w:tcW w:type="dxa" w:w="1701"/>
          </w:tcPr>
          <w:p>
            <w:pPr>
              <w:spacing w:after="20"/>
              <w:jc w:val="right"/>
            </w:pPr>
            <w:r/>
            <w:r>
              <w:rPr>
                <w:b w:val="0"/>
                <w:i w:val="0"/>
                <w:sz w:val="17"/>
              </w:rPr>
              <w:t>6.7</w:t>
            </w:r>
          </w:p>
        </w:tc>
      </w:tr>
      <w:tr>
        <w:trPr>
          <w:cantSplit/>
        </w:trPr>
        <w:tc>
          <w:tcPr>
            <w:tcW w:type="dxa" w:w="2381"/>
            <w:shd w:val="clear" w:color="auto" w:fill="EEF3F8"/>
          </w:tcPr>
          <w:p>
            <w:pPr>
              <w:spacing w:after="20"/>
            </w:pPr>
            <w:r/>
            <w:r>
              <w:rPr>
                <w:b w:val="0"/>
                <w:i w:val="0"/>
                <w:sz w:val="17"/>
              </w:rPr>
              <w:t>5%</w:t>
            </w:r>
          </w:p>
        </w:tc>
        <w:tc>
          <w:tcPr>
            <w:tcW w:type="dxa" w:w="1361"/>
            <w:shd w:val="clear" w:color="auto" w:fill="EEF3F8"/>
          </w:tcPr>
          <w:p>
            <w:pPr>
              <w:spacing w:after="20"/>
              <w:jc w:val="right"/>
            </w:pPr>
            <w:r/>
            <w:r>
              <w:rPr>
                <w:b w:val="0"/>
                <w:i w:val="0"/>
                <w:sz w:val="17"/>
              </w:rPr>
              <w:t>107</w:t>
            </w:r>
          </w:p>
        </w:tc>
        <w:tc>
          <w:tcPr>
            <w:tcW w:type="dxa" w:w="1361"/>
            <w:shd w:val="clear" w:color="auto" w:fill="EEF3F8"/>
          </w:tcPr>
          <w:p>
            <w:pPr>
              <w:spacing w:after="20"/>
              <w:jc w:val="right"/>
            </w:pPr>
            <w:r/>
            <w:r>
              <w:rPr>
                <w:b w:val="0"/>
                <w:i w:val="0"/>
                <w:sz w:val="17"/>
              </w:rPr>
              <w:t>148</w:t>
            </w:r>
          </w:p>
        </w:tc>
        <w:tc>
          <w:tcPr>
            <w:tcW w:type="dxa" w:w="2494"/>
            <w:shd w:val="clear" w:color="auto" w:fill="EEF3F8"/>
          </w:tcPr>
          <w:p>
            <w:pPr>
              <w:spacing w:after="20"/>
              <w:jc w:val="right"/>
            </w:pPr>
            <w:r/>
            <w:r>
              <w:rPr>
                <w:b w:val="0"/>
                <w:i w:val="0"/>
                <w:sz w:val="17"/>
              </w:rPr>
              <w:t>130</w:t>
            </w:r>
          </w:p>
        </w:tc>
        <w:tc>
          <w:tcPr>
            <w:tcW w:type="dxa" w:w="1701"/>
            <w:shd w:val="clear" w:color="auto" w:fill="EEF3F8"/>
          </w:tcPr>
          <w:p>
            <w:pPr>
              <w:spacing w:after="20"/>
              <w:jc w:val="right"/>
            </w:pPr>
            <w:r/>
            <w:r>
              <w:rPr>
                <w:b w:val="0"/>
                <w:i w:val="0"/>
                <w:sz w:val="17"/>
              </w:rPr>
              <w:t>16.8</w:t>
            </w:r>
          </w:p>
        </w:tc>
      </w:tr>
      <w:tr>
        <w:trPr>
          <w:cantSplit/>
        </w:trPr>
        <w:tc>
          <w:tcPr>
            <w:tcW w:type="dxa" w:w="2381"/>
          </w:tcPr>
          <w:p>
            <w:pPr>
              <w:spacing w:after="20"/>
            </w:pPr>
            <w:r/>
            <w:r>
              <w:rPr>
                <w:b w:val="0"/>
                <w:i w:val="0"/>
                <w:sz w:val="17"/>
              </w:rPr>
              <w:t>10%</w:t>
            </w:r>
          </w:p>
        </w:tc>
        <w:tc>
          <w:tcPr>
            <w:tcW w:type="dxa" w:w="1361"/>
          </w:tcPr>
          <w:p>
            <w:pPr>
              <w:spacing w:after="20"/>
              <w:jc w:val="right"/>
            </w:pPr>
            <w:r/>
            <w:r>
              <w:rPr>
                <w:b w:val="0"/>
                <w:i w:val="0"/>
                <w:sz w:val="17"/>
              </w:rPr>
              <w:t>214</w:t>
            </w:r>
          </w:p>
        </w:tc>
        <w:tc>
          <w:tcPr>
            <w:tcW w:type="dxa" w:w="1361"/>
          </w:tcPr>
          <w:p>
            <w:pPr>
              <w:spacing w:after="20"/>
              <w:jc w:val="right"/>
            </w:pPr>
            <w:r/>
            <w:r>
              <w:rPr>
                <w:b w:val="0"/>
                <w:i w:val="0"/>
                <w:sz w:val="17"/>
              </w:rPr>
              <w:t>297</w:t>
            </w:r>
          </w:p>
        </w:tc>
        <w:tc>
          <w:tcPr>
            <w:tcW w:type="dxa" w:w="2494"/>
          </w:tcPr>
          <w:p>
            <w:pPr>
              <w:spacing w:after="20"/>
              <w:jc w:val="right"/>
            </w:pPr>
            <w:r/>
            <w:r>
              <w:rPr>
                <w:b w:val="0"/>
                <w:i w:val="0"/>
                <w:sz w:val="17"/>
              </w:rPr>
              <w:t>259</w:t>
            </w:r>
          </w:p>
        </w:tc>
        <w:tc>
          <w:tcPr>
            <w:tcW w:type="dxa" w:w="1701"/>
          </w:tcPr>
          <w:p>
            <w:pPr>
              <w:spacing w:after="20"/>
              <w:jc w:val="right"/>
            </w:pPr>
            <w:r/>
            <w:r>
              <w:rPr>
                <w:b w:val="0"/>
                <w:i w:val="0"/>
                <w:sz w:val="17"/>
              </w:rPr>
              <w:t>33.5</w:t>
            </w:r>
          </w:p>
        </w:tc>
      </w:tr>
      <w:tr>
        <w:trPr>
          <w:cantSplit/>
        </w:trPr>
        <w:tc>
          <w:tcPr>
            <w:tcW w:type="dxa" w:w="2381"/>
            <w:shd w:val="clear" w:color="auto" w:fill="EEF3F8"/>
          </w:tcPr>
          <w:p>
            <w:pPr>
              <w:spacing w:after="20"/>
            </w:pPr>
            <w:r/>
            <w:r>
              <w:rPr>
                <w:b w:val="0"/>
                <w:i w:val="0"/>
                <w:sz w:val="17"/>
              </w:rPr>
              <w:t>20%</w:t>
            </w:r>
          </w:p>
        </w:tc>
        <w:tc>
          <w:tcPr>
            <w:tcW w:type="dxa" w:w="1361"/>
            <w:shd w:val="clear" w:color="auto" w:fill="EEF3F8"/>
          </w:tcPr>
          <w:p>
            <w:pPr>
              <w:spacing w:after="20"/>
              <w:jc w:val="right"/>
            </w:pPr>
            <w:r/>
            <w:r>
              <w:rPr>
                <w:b w:val="0"/>
                <w:i w:val="0"/>
                <w:sz w:val="17"/>
              </w:rPr>
              <w:t>428</w:t>
            </w:r>
          </w:p>
        </w:tc>
        <w:tc>
          <w:tcPr>
            <w:tcW w:type="dxa" w:w="1361"/>
            <w:shd w:val="clear" w:color="auto" w:fill="EEF3F8"/>
          </w:tcPr>
          <w:p>
            <w:pPr>
              <w:spacing w:after="20"/>
              <w:jc w:val="right"/>
            </w:pPr>
            <w:r/>
            <w:r>
              <w:rPr>
                <w:b w:val="0"/>
                <w:i w:val="0"/>
                <w:sz w:val="17"/>
              </w:rPr>
              <w:t>593</w:t>
            </w:r>
          </w:p>
        </w:tc>
        <w:tc>
          <w:tcPr>
            <w:tcW w:type="dxa" w:w="2494"/>
            <w:shd w:val="clear" w:color="auto" w:fill="EEF3F8"/>
          </w:tcPr>
          <w:p>
            <w:pPr>
              <w:spacing w:after="20"/>
              <w:jc w:val="right"/>
            </w:pPr>
            <w:r/>
            <w:r>
              <w:rPr>
                <w:b w:val="0"/>
                <w:i w:val="0"/>
                <w:sz w:val="17"/>
              </w:rPr>
              <w:t>519</w:t>
            </w:r>
          </w:p>
        </w:tc>
        <w:tc>
          <w:tcPr>
            <w:tcW w:type="dxa" w:w="1701"/>
            <w:shd w:val="clear" w:color="auto" w:fill="EEF3F8"/>
          </w:tcPr>
          <w:p>
            <w:pPr>
              <w:spacing w:after="20"/>
              <w:jc w:val="right"/>
            </w:pPr>
            <w:r/>
            <w:r>
              <w:rPr>
                <w:b w:val="0"/>
                <w:i w:val="0"/>
                <w:sz w:val="17"/>
              </w:rPr>
              <w:t>67.0</w:t>
            </w:r>
          </w:p>
        </w:tc>
      </w:tr>
    </w:tbl>
    <w:p>
      <w:r>
        <w:rPr>
          <w:i/>
          <w:sz w:val="16"/>
        </w:rPr>
        <w:t>Baseline 2035 petrol demand 2,137 kt; saving valued at August 2026 landed cost (US$874/m³), 129.2 KSh per US$. Net saving would be lower after the extra electricity generation and imported vehicles.</w:t>
      </w:r>
    </w:p>
    <w:p>
      <w:r>
        <w:rPr>
          <w:b w:val="0"/>
          <w:i w:val="0"/>
        </w:rPr>
        <w:t>Each 5% of petrol displaced saves about US$130 million (KSh 17 billion) a year in imports at 2026 prices, small relative to the whole bill but material at the margin for the shilling. The scenario analysis already allows petrol growth to fade after 2029, which is consistent with moderate displacement. The main structural change is on the LPG side: the PDP baseline already has LPG growing 7.3% a year; the observed 14.7% in 2025 suggests this could be exceeded, which would worsen the storage gap in Section 11.</w:t>
      </w:r>
    </w:p>
    <w:p>
      <w:pPr>
        <w:pStyle w:val="Heading1"/>
      </w:pPr>
      <w:r>
        <w:t>15. Stress test: a repeat supply shock</w:t>
      </w:r>
    </w:p>
    <w:p>
      <w:r>
        <w:rPr>
          <w:b w:val="0"/>
          <w:i w:val="0"/>
        </w:rPr>
        <w:t>To show what the relationships estimated above imply for a second shock, the following calculation applies the 2026 petrol relationships to a further 20% rise in landed cost from the August 2026 level (US$874 to US$1,049 per m³):</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3118"/>
            <w:shd w:val="clear" w:color="auto" w:fill="1F4E79"/>
          </w:tcPr>
          <w:p>
            <w:pPr>
              <w:spacing w:after="20"/>
            </w:pPr>
            <w:r/>
            <w:r>
              <w:rPr>
                <w:b/>
                <w:color w:val="FFFFFF"/>
                <w:sz w:val="17"/>
              </w:rPr>
              <w:t>Step</w:t>
            </w:r>
          </w:p>
        </w:tc>
        <w:tc>
          <w:tcPr>
            <w:tcW w:type="dxa" w:w="6236"/>
            <w:shd w:val="clear" w:color="auto" w:fill="1F4E79"/>
          </w:tcPr>
          <w:p>
            <w:pPr>
              <w:spacing w:after="20"/>
            </w:pPr>
            <w:r/>
            <w:r>
              <w:rPr>
                <w:b/>
                <w:color w:val="FFFFFF"/>
                <w:sz w:val="17"/>
              </w:rPr>
              <w:t>Value</w:t>
            </w:r>
          </w:p>
        </w:tc>
      </w:tr>
      <w:tr>
        <w:trPr>
          <w:cantSplit/>
        </w:trPr>
        <w:tc>
          <w:tcPr>
            <w:tcW w:type="dxa" w:w="3118"/>
          </w:tcPr>
          <w:p>
            <w:pPr>
              <w:spacing w:after="20"/>
            </w:pPr>
            <w:r/>
            <w:r>
              <w:rPr>
                <w:b w:val="0"/>
                <w:i w:val="0"/>
                <w:sz w:val="17"/>
              </w:rPr>
              <w:t>Landed-cost rise</w:t>
            </w:r>
          </w:p>
        </w:tc>
        <w:tc>
          <w:tcPr>
            <w:tcW w:type="dxa" w:w="6236"/>
          </w:tcPr>
          <w:p>
            <w:pPr>
              <w:spacing w:after="20"/>
            </w:pPr>
            <w:r/>
            <w:r>
              <w:rPr>
                <w:b w:val="0"/>
                <w:i w:val="0"/>
                <w:sz w:val="17"/>
              </w:rPr>
              <w:t>US$175/m³ = KSh 22.6 per litre at 129.2 KSh/US$</w:t>
            </w:r>
          </w:p>
        </w:tc>
      </w:tr>
      <w:tr>
        <w:trPr>
          <w:cantSplit/>
        </w:trPr>
        <w:tc>
          <w:tcPr>
            <w:tcW w:type="dxa" w:w="3118"/>
            <w:shd w:val="clear" w:color="auto" w:fill="EEF3F8"/>
          </w:tcPr>
          <w:p>
            <w:pPr>
              <w:spacing w:after="20"/>
            </w:pPr>
            <w:r/>
            <w:r>
              <w:rPr>
                <w:b w:val="0"/>
                <w:i w:val="0"/>
                <w:sz w:val="17"/>
              </w:rPr>
              <w:t>VAT-inclusive</w:t>
            </w:r>
          </w:p>
        </w:tc>
        <w:tc>
          <w:tcPr>
            <w:tcW w:type="dxa" w:w="6236"/>
            <w:shd w:val="clear" w:color="auto" w:fill="EEF3F8"/>
          </w:tcPr>
          <w:p>
            <w:pPr>
              <w:spacing w:after="20"/>
            </w:pPr>
            <w:r/>
            <w:r>
              <w:rPr>
                <w:b w:val="0"/>
                <w:i w:val="0"/>
                <w:sz w:val="17"/>
              </w:rPr>
              <w:t>KSh 26.2 per litre</w:t>
            </w:r>
          </w:p>
        </w:tc>
      </w:tr>
      <w:tr>
        <w:trPr>
          <w:cantSplit/>
        </w:trPr>
        <w:tc>
          <w:tcPr>
            <w:tcW w:type="dxa" w:w="3118"/>
          </w:tcPr>
          <w:p>
            <w:pPr>
              <w:spacing w:after="20"/>
            </w:pPr>
            <w:r/>
            <w:r>
              <w:rPr>
                <w:b w:val="0"/>
                <w:i w:val="0"/>
                <w:sz w:val="17"/>
              </w:rPr>
              <w:t>Pass-through at 82%</w:t>
            </w:r>
          </w:p>
        </w:tc>
        <w:tc>
          <w:tcPr>
            <w:tcW w:type="dxa" w:w="6236"/>
          </w:tcPr>
          <w:p>
            <w:pPr>
              <w:spacing w:after="20"/>
            </w:pPr>
            <w:r/>
            <w:r>
              <w:rPr>
                <w:b w:val="0"/>
                <w:i w:val="0"/>
                <w:sz w:val="17"/>
              </w:rPr>
              <w:t>KSh 21.5 per litre, or +10.0% on the KSh 214.03 pump price</w:t>
            </w:r>
          </w:p>
        </w:tc>
      </w:tr>
      <w:tr>
        <w:trPr>
          <w:cantSplit/>
        </w:trPr>
        <w:tc>
          <w:tcPr>
            <w:tcW w:type="dxa" w:w="3118"/>
            <w:shd w:val="clear" w:color="auto" w:fill="EEF3F8"/>
          </w:tcPr>
          <w:p>
            <w:pPr>
              <w:spacing w:after="20"/>
            </w:pPr>
            <w:r/>
            <w:r>
              <w:rPr>
                <w:b w:val="0"/>
                <w:i w:val="0"/>
                <w:sz w:val="17"/>
              </w:rPr>
              <w:t>Support required to hold the pump price flat</w:t>
            </w:r>
          </w:p>
        </w:tc>
        <w:tc>
          <w:tcPr>
            <w:tcW w:type="dxa" w:w="6236"/>
            <w:shd w:val="clear" w:color="auto" w:fill="EEF3F8"/>
          </w:tcPr>
          <w:p>
            <w:pPr>
              <w:spacing w:after="20"/>
            </w:pPr>
            <w:r/>
            <w:r>
              <w:rPr>
                <w:b w:val="0"/>
                <w:i w:val="0"/>
                <w:sz w:val="17"/>
              </w:rPr>
              <w:t>KSh 21.5 per litre × 2,346 ML = KSh 50 bn a year (petrol only)</w:t>
            </w:r>
          </w:p>
        </w:tc>
      </w:tr>
      <w:tr>
        <w:trPr>
          <w:cantSplit/>
        </w:trPr>
        <w:tc>
          <w:tcPr>
            <w:tcW w:type="dxa" w:w="3118"/>
          </w:tcPr>
          <w:p>
            <w:pPr>
              <w:spacing w:after="20"/>
            </w:pPr>
            <w:r/>
            <w:r>
              <w:rPr>
                <w:b w:val="0"/>
                <w:i w:val="0"/>
                <w:sz w:val="17"/>
              </w:rPr>
              <w:t>Short-run demand response (ε −0.096)</w:t>
            </w:r>
          </w:p>
        </w:tc>
        <w:tc>
          <w:tcPr>
            <w:tcW w:type="dxa" w:w="6236"/>
          </w:tcPr>
          <w:p>
            <w:pPr>
              <w:spacing w:after="20"/>
            </w:pPr>
            <w:r/>
            <w:r>
              <w:rPr>
                <w:b w:val="0"/>
                <w:i w:val="0"/>
                <w:sz w:val="17"/>
              </w:rPr>
              <w:t>−0.96% petrol volume</w:t>
            </w:r>
          </w:p>
        </w:tc>
      </w:tr>
      <w:tr>
        <w:trPr>
          <w:cantSplit/>
        </w:trPr>
        <w:tc>
          <w:tcPr>
            <w:tcW w:type="dxa" w:w="3118"/>
            <w:shd w:val="clear" w:color="auto" w:fill="EEF3F8"/>
          </w:tcPr>
          <w:p>
            <w:pPr>
              <w:spacing w:after="20"/>
            </w:pPr>
            <w:r/>
            <w:r>
              <w:rPr>
                <w:b w:val="0"/>
                <w:i w:val="0"/>
                <w:sz w:val="17"/>
              </w:rPr>
              <w:t>Cover if one cargo-month is lost</w:t>
            </w:r>
          </w:p>
        </w:tc>
        <w:tc>
          <w:tcPr>
            <w:tcW w:type="dxa" w:w="6236"/>
            <w:shd w:val="clear" w:color="auto" w:fill="EEF3F8"/>
          </w:tcPr>
          <w:p>
            <w:pPr>
              <w:spacing w:after="20"/>
            </w:pPr>
            <w:r/>
            <w:r>
              <w:rPr>
                <w:b w:val="0"/>
                <w:i w:val="0"/>
                <w:sz w:val="17"/>
              </w:rPr>
              <w:t>petrol: 16 days (April reported figure) → shortfall equal to about 14 days of demand</w:t>
            </w:r>
          </w:p>
        </w:tc>
      </w:tr>
    </w:tbl>
    <w:p>
      <w:r>
        <w:rPr>
          <w:i/>
          <w:sz w:val="16"/>
        </w:rPr>
        <w:t>Illustrative: assumes the same pass-through as Feb–Aug 2026, constant volumes, and no change in the exchange rate.</w:t>
      </w:r>
    </w:p>
    <w:p>
      <w:r>
        <w:rPr>
          <w:b w:val="0"/>
          <w:i w:val="0"/>
        </w:rPr>
        <w:t>Three conclusions follow. First, the demand response is negligible in the short run: a further 20% landed-cost rise reduces petrol volume by only about 1%; the adjustment is therefore entirely by price, subsidy, or rationing. Second, holding pump prices flat would cost on the order of KSh 50 billion a year for petrol alone, before diesel; stabilisation is a material fiscal exposure. Third, the supply buffer matters more than the demand response: with 13–16 days of cover, a delay of two cargo cycles can empty the system, which is what the April experience showed.</w:t>
      </w:r>
    </w:p>
    <w:p>
      <w:pPr>
        <w:pStyle w:val="Heading1"/>
      </w:pPr>
      <w:r>
        <w:t>16. Monitoring framework and early-warning indicators</w:t>
      </w:r>
    </w:p>
    <w:p>
      <w:r>
        <w:rPr>
          <w:b w:val="0"/>
          <w:i w:val="0"/>
        </w:rPr>
        <w:t>The analysis suggests a short list of indicators that an analyst unit could update monthly. Thresholds are the author’s proposals and have no official status.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71"/>
            <w:shd w:val="clear" w:color="auto" w:fill="1F4E79"/>
          </w:tcPr>
          <w:p>
            <w:pPr>
              <w:spacing w:after="20"/>
            </w:pPr>
            <w:r/>
            <w:r>
              <w:rPr>
                <w:b/>
                <w:color w:val="FFFFFF"/>
                <w:sz w:val="17"/>
              </w:rPr>
              <w:t>Indicator</w:t>
            </w:r>
          </w:p>
        </w:tc>
        <w:tc>
          <w:tcPr>
            <w:tcW w:type="dxa" w:w="3175"/>
            <w:shd w:val="clear" w:color="auto" w:fill="1F4E79"/>
          </w:tcPr>
          <w:p>
            <w:pPr>
              <w:spacing w:after="20"/>
            </w:pPr>
            <w:r/>
            <w:r>
              <w:rPr>
                <w:b/>
                <w:color w:val="FFFFFF"/>
                <w:sz w:val="17"/>
              </w:rPr>
              <w:t>Definition</w:t>
            </w:r>
          </w:p>
        </w:tc>
        <w:tc>
          <w:tcPr>
            <w:tcW w:type="dxa" w:w="2268"/>
            <w:shd w:val="clear" w:color="auto" w:fill="1F4E79"/>
          </w:tcPr>
          <w:p>
            <w:pPr>
              <w:spacing w:after="20"/>
            </w:pPr>
            <w:r/>
            <w:r>
              <w:rPr>
                <w:b/>
                <w:color w:val="FFFFFF"/>
                <w:sz w:val="17"/>
              </w:rPr>
              <w:t>Proposed trigger</w:t>
            </w:r>
          </w:p>
        </w:tc>
        <w:tc>
          <w:tcPr>
            <w:tcW w:type="dxa" w:w="2154"/>
            <w:shd w:val="clear" w:color="auto" w:fill="1F4E79"/>
          </w:tcPr>
          <w:p>
            <w:pPr>
              <w:spacing w:after="20"/>
            </w:pPr>
            <w:r/>
            <w:r>
              <w:rPr>
                <w:b/>
                <w:color w:val="FFFFFF"/>
                <w:sz w:val="17"/>
              </w:rPr>
              <w:t>Source / frequency</w:t>
            </w:r>
          </w:p>
        </w:tc>
      </w:tr>
      <w:tr>
        <w:trPr>
          <w:cantSplit/>
        </w:trPr>
        <w:tc>
          <w:tcPr>
            <w:tcW w:type="dxa" w:w="1871"/>
          </w:tcPr>
          <w:p>
            <w:pPr>
              <w:spacing w:after="20"/>
            </w:pPr>
            <w:r/>
            <w:r>
              <w:rPr>
                <w:b w:val="0"/>
                <w:i w:val="0"/>
                <w:sz w:val="17"/>
              </w:rPr>
              <w:t>Stock cover by product</w:t>
            </w:r>
          </w:p>
        </w:tc>
        <w:tc>
          <w:tcPr>
            <w:tcW w:type="dxa" w:w="3175"/>
          </w:tcPr>
          <w:p>
            <w:pPr>
              <w:spacing w:after="20"/>
            </w:pPr>
            <w:r/>
            <w:r>
              <w:rPr>
                <w:b w:val="0"/>
                <w:i w:val="0"/>
                <w:sz w:val="17"/>
              </w:rPr>
              <w:t>Days of average daily demand held in stock (petrol, diesel, jet, kerosene, LPG)</w:t>
            </w:r>
          </w:p>
        </w:tc>
        <w:tc>
          <w:tcPr>
            <w:tcW w:type="dxa" w:w="2268"/>
          </w:tcPr>
          <w:p>
            <w:pPr>
              <w:spacing w:after="20"/>
            </w:pPr>
            <w:r/>
            <w:r>
              <w:rPr>
                <w:b w:val="0"/>
                <w:i w:val="0"/>
                <w:sz w:val="17"/>
              </w:rPr>
              <w:t>Amber &lt; 30 days; red &lt; 15 days</w:t>
            </w:r>
          </w:p>
        </w:tc>
        <w:tc>
          <w:tcPr>
            <w:tcW w:type="dxa" w:w="2154"/>
          </w:tcPr>
          <w:p>
            <w:pPr>
              <w:spacing w:after="20"/>
            </w:pPr>
            <w:r/>
            <w:r>
              <w:rPr>
                <w:b w:val="0"/>
                <w:i w:val="0"/>
                <w:sz w:val="17"/>
              </w:rPr>
              <w:t>EPRA/KPC, daily or weekly</w:t>
            </w:r>
          </w:p>
        </w:tc>
      </w:tr>
      <w:tr>
        <w:trPr>
          <w:cantSplit/>
        </w:trPr>
        <w:tc>
          <w:tcPr>
            <w:tcW w:type="dxa" w:w="1871"/>
            <w:shd w:val="clear" w:color="auto" w:fill="EEF3F8"/>
          </w:tcPr>
          <w:p>
            <w:pPr>
              <w:spacing w:after="20"/>
            </w:pPr>
            <w:r/>
            <w:r>
              <w:rPr>
                <w:b w:val="0"/>
                <w:i w:val="0"/>
                <w:sz w:val="17"/>
              </w:rPr>
              <w:t>Demand versus forecast band</w:t>
            </w:r>
          </w:p>
        </w:tc>
        <w:tc>
          <w:tcPr>
            <w:tcW w:type="dxa" w:w="3175"/>
            <w:shd w:val="clear" w:color="auto" w:fill="EEF3F8"/>
          </w:tcPr>
          <w:p>
            <w:pPr>
              <w:spacing w:after="20"/>
            </w:pPr>
            <w:r/>
            <w:r>
              <w:rPr>
                <w:b w:val="0"/>
                <w:i w:val="0"/>
                <w:sz w:val="17"/>
              </w:rPr>
              <w:t>Actual monthly demand against the 80%/95% prediction intervals</w:t>
            </w:r>
          </w:p>
        </w:tc>
        <w:tc>
          <w:tcPr>
            <w:tcW w:type="dxa" w:w="2268"/>
            <w:shd w:val="clear" w:color="auto" w:fill="EEF3F8"/>
          </w:tcPr>
          <w:p>
            <w:pPr>
              <w:spacing w:after="20"/>
            </w:pPr>
            <w:r/>
            <w:r>
              <w:rPr>
                <w:b w:val="0"/>
                <w:i w:val="0"/>
                <w:sz w:val="17"/>
              </w:rPr>
              <w:t>Alert when below the 80% lower bound two months running</w:t>
            </w:r>
          </w:p>
        </w:tc>
        <w:tc>
          <w:tcPr>
            <w:tcW w:type="dxa" w:w="2154"/>
            <w:shd w:val="clear" w:color="auto" w:fill="EEF3F8"/>
          </w:tcPr>
          <w:p>
            <w:pPr>
              <w:spacing w:after="20"/>
            </w:pPr>
            <w:r/>
            <w:r>
              <w:rPr>
                <w:b w:val="0"/>
                <w:i w:val="0"/>
                <w:sz w:val="17"/>
              </w:rPr>
              <w:t>KNBS LEI, monthly</w:t>
            </w:r>
          </w:p>
        </w:tc>
      </w:tr>
      <w:tr>
        <w:trPr>
          <w:cantSplit/>
        </w:trPr>
        <w:tc>
          <w:tcPr>
            <w:tcW w:type="dxa" w:w="1871"/>
          </w:tcPr>
          <w:p>
            <w:pPr>
              <w:spacing w:after="20"/>
            </w:pPr>
            <w:r/>
            <w:r>
              <w:rPr>
                <w:b w:val="0"/>
                <w:i w:val="0"/>
                <w:sz w:val="17"/>
              </w:rPr>
              <w:t>Landed cost</w:t>
            </w:r>
          </w:p>
        </w:tc>
        <w:tc>
          <w:tcPr>
            <w:tcW w:type="dxa" w:w="3175"/>
          </w:tcPr>
          <w:p>
            <w:pPr>
              <w:spacing w:after="20"/>
            </w:pPr>
            <w:r/>
            <w:r>
              <w:rPr>
                <w:b w:val="0"/>
                <w:i w:val="0"/>
                <w:sz w:val="17"/>
              </w:rPr>
              <w:t>EPRA average landed cost, US$/m³ by product</w:t>
            </w:r>
          </w:p>
        </w:tc>
        <w:tc>
          <w:tcPr>
            <w:tcW w:type="dxa" w:w="2268"/>
          </w:tcPr>
          <w:p>
            <w:pPr>
              <w:spacing w:after="20"/>
            </w:pPr>
            <w:r/>
            <w:r>
              <w:rPr>
                <w:b w:val="0"/>
                <w:i w:val="0"/>
                <w:sz w:val="17"/>
              </w:rPr>
              <w:t>Alert on +15% in a month or +30% in a quarter</w:t>
            </w:r>
          </w:p>
        </w:tc>
        <w:tc>
          <w:tcPr>
            <w:tcW w:type="dxa" w:w="2154"/>
          </w:tcPr>
          <w:p>
            <w:pPr>
              <w:spacing w:after="20"/>
            </w:pPr>
            <w:r/>
            <w:r>
              <w:rPr>
                <w:b w:val="0"/>
                <w:i w:val="0"/>
                <w:sz w:val="17"/>
              </w:rPr>
              <w:t>EPRA, monthly</w:t>
            </w:r>
          </w:p>
        </w:tc>
      </w:tr>
      <w:tr>
        <w:trPr>
          <w:cantSplit/>
        </w:trPr>
        <w:tc>
          <w:tcPr>
            <w:tcW w:type="dxa" w:w="1871"/>
            <w:shd w:val="clear" w:color="auto" w:fill="EEF3F8"/>
          </w:tcPr>
          <w:p>
            <w:pPr>
              <w:spacing w:after="20"/>
            </w:pPr>
            <w:r/>
            <w:r>
              <w:rPr>
                <w:b w:val="0"/>
                <w:i w:val="0"/>
                <w:sz w:val="17"/>
              </w:rPr>
              <w:t>Pass-through ratio</w:t>
            </w:r>
          </w:p>
        </w:tc>
        <w:tc>
          <w:tcPr>
            <w:tcW w:type="dxa" w:w="3175"/>
            <w:shd w:val="clear" w:color="auto" w:fill="EEF3F8"/>
          </w:tcPr>
          <w:p>
            <w:pPr>
              <w:spacing w:after="20"/>
            </w:pPr>
            <w:r/>
            <w:r>
              <w:rPr>
                <w:b w:val="0"/>
                <w:i w:val="0"/>
                <w:sz w:val="17"/>
              </w:rPr>
              <w:t>Pump-price change ÷ VAT-inclusive landed-cost change (KSh/L)</w:t>
            </w:r>
          </w:p>
        </w:tc>
        <w:tc>
          <w:tcPr>
            <w:tcW w:type="dxa" w:w="2268"/>
            <w:shd w:val="clear" w:color="auto" w:fill="EEF3F8"/>
          </w:tcPr>
          <w:p>
            <w:pPr>
              <w:spacing w:after="20"/>
            </w:pPr>
            <w:r/>
            <w:r>
              <w:rPr>
                <w:b w:val="0"/>
                <w:i w:val="0"/>
                <w:sz w:val="17"/>
              </w:rPr>
              <w:t>Alert below 0.7 (rising support cost)</w:t>
            </w:r>
          </w:p>
        </w:tc>
        <w:tc>
          <w:tcPr>
            <w:tcW w:type="dxa" w:w="2154"/>
            <w:shd w:val="clear" w:color="auto" w:fill="EEF3F8"/>
          </w:tcPr>
          <w:p>
            <w:pPr>
              <w:spacing w:after="20"/>
            </w:pPr>
            <w:r/>
            <w:r>
              <w:rPr>
                <w:b w:val="0"/>
                <w:i w:val="0"/>
                <w:sz w:val="17"/>
              </w:rPr>
              <w:t>Derived, monthly</w:t>
            </w:r>
          </w:p>
        </w:tc>
      </w:tr>
      <w:tr>
        <w:trPr>
          <w:cantSplit/>
        </w:trPr>
        <w:tc>
          <w:tcPr>
            <w:tcW w:type="dxa" w:w="1871"/>
          </w:tcPr>
          <w:p>
            <w:pPr>
              <w:spacing w:after="20"/>
            </w:pPr>
            <w:r/>
            <w:r>
              <w:rPr>
                <w:b w:val="0"/>
                <w:i w:val="0"/>
                <w:sz w:val="17"/>
              </w:rPr>
              <w:t>Stabilisation cost</w:t>
            </w:r>
          </w:p>
        </w:tc>
        <w:tc>
          <w:tcPr>
            <w:tcW w:type="dxa" w:w="3175"/>
          </w:tcPr>
          <w:p>
            <w:pPr>
              <w:spacing w:after="20"/>
            </w:pPr>
            <w:r/>
            <w:r>
              <w:rPr>
                <w:b w:val="0"/>
                <w:i w:val="0"/>
                <w:sz w:val="17"/>
              </w:rPr>
              <w:t>KSh per litre support × volume</w:t>
            </w:r>
          </w:p>
        </w:tc>
        <w:tc>
          <w:tcPr>
            <w:tcW w:type="dxa" w:w="2268"/>
          </w:tcPr>
          <w:p>
            <w:pPr>
              <w:spacing w:after="20"/>
            </w:pPr>
            <w:r/>
            <w:r>
              <w:rPr>
                <w:b w:val="0"/>
                <w:i w:val="0"/>
                <w:sz w:val="17"/>
              </w:rPr>
              <w:t>Alert above KSh 5 bn a month</w:t>
            </w:r>
          </w:p>
        </w:tc>
        <w:tc>
          <w:tcPr>
            <w:tcW w:type="dxa" w:w="2154"/>
          </w:tcPr>
          <w:p>
            <w:pPr>
              <w:spacing w:after="20"/>
            </w:pPr>
            <w:r/>
            <w:r>
              <w:rPr>
                <w:b w:val="0"/>
                <w:i w:val="0"/>
                <w:sz w:val="17"/>
              </w:rPr>
              <w:t>Treasury/EPRA, monthly</w:t>
            </w:r>
          </w:p>
        </w:tc>
      </w:tr>
      <w:tr>
        <w:trPr>
          <w:cantSplit/>
        </w:trPr>
        <w:tc>
          <w:tcPr>
            <w:tcW w:type="dxa" w:w="1871"/>
            <w:shd w:val="clear" w:color="auto" w:fill="EEF3F8"/>
          </w:tcPr>
          <w:p>
            <w:pPr>
              <w:spacing w:after="20"/>
            </w:pPr>
            <w:r/>
            <w:r>
              <w:rPr>
                <w:b w:val="0"/>
                <w:i w:val="0"/>
                <w:sz w:val="17"/>
              </w:rPr>
              <w:t>LPG storage headroom</w:t>
            </w:r>
          </w:p>
        </w:tc>
        <w:tc>
          <w:tcPr>
            <w:tcW w:type="dxa" w:w="3175"/>
            <w:shd w:val="clear" w:color="auto" w:fill="EEF3F8"/>
          </w:tcPr>
          <w:p>
            <w:pPr>
              <w:spacing w:after="20"/>
            </w:pPr>
            <w:r/>
            <w:r>
              <w:rPr>
                <w:b w:val="0"/>
                <w:i w:val="0"/>
                <w:sz w:val="17"/>
              </w:rPr>
              <w:t>Installed capacity − required storage</w:t>
            </w:r>
          </w:p>
        </w:tc>
        <w:tc>
          <w:tcPr>
            <w:tcW w:type="dxa" w:w="2268"/>
            <w:shd w:val="clear" w:color="auto" w:fill="EEF3F8"/>
          </w:tcPr>
          <w:p>
            <w:pPr>
              <w:spacing w:after="20"/>
            </w:pPr>
            <w:r/>
            <w:r>
              <w:rPr>
                <w:b w:val="0"/>
                <w:i w:val="0"/>
                <w:sz w:val="17"/>
              </w:rPr>
              <w:t>Alert below 2 kt</w:t>
            </w:r>
          </w:p>
        </w:tc>
        <w:tc>
          <w:tcPr>
            <w:tcW w:type="dxa" w:w="2154"/>
            <w:shd w:val="clear" w:color="auto" w:fill="EEF3F8"/>
          </w:tcPr>
          <w:p>
            <w:pPr>
              <w:spacing w:after="20"/>
            </w:pPr>
            <w:r/>
            <w:r>
              <w:rPr>
                <w:b w:val="0"/>
                <w:i w:val="0"/>
                <w:sz w:val="17"/>
              </w:rPr>
              <w:t>EPRA, quarterly</w:t>
            </w:r>
          </w:p>
        </w:tc>
      </w:tr>
      <w:tr>
        <w:trPr>
          <w:cantSplit/>
        </w:trPr>
        <w:tc>
          <w:tcPr>
            <w:tcW w:type="dxa" w:w="1871"/>
          </w:tcPr>
          <w:p>
            <w:pPr>
              <w:spacing w:after="20"/>
            </w:pPr>
            <w:r/>
            <w:r>
              <w:rPr>
                <w:b w:val="0"/>
                <w:i w:val="0"/>
                <w:sz w:val="17"/>
              </w:rPr>
              <w:t>Source concentration</w:t>
            </w:r>
          </w:p>
        </w:tc>
        <w:tc>
          <w:tcPr>
            <w:tcW w:type="dxa" w:w="3175"/>
          </w:tcPr>
          <w:p>
            <w:pPr>
              <w:spacing w:after="20"/>
            </w:pPr>
            <w:r/>
            <w:r>
              <w:rPr>
                <w:b w:val="0"/>
                <w:i w:val="0"/>
                <w:sz w:val="17"/>
              </w:rPr>
              <w:t>Share of monthly imports from the largest origin region</w:t>
            </w:r>
          </w:p>
        </w:tc>
        <w:tc>
          <w:tcPr>
            <w:tcW w:type="dxa" w:w="2268"/>
          </w:tcPr>
          <w:p>
            <w:pPr>
              <w:spacing w:after="20"/>
            </w:pPr>
            <w:r/>
            <w:r>
              <w:rPr>
                <w:b w:val="0"/>
                <w:i w:val="0"/>
                <w:sz w:val="17"/>
              </w:rPr>
              <w:t>Alert above 70%</w:t>
            </w:r>
          </w:p>
        </w:tc>
        <w:tc>
          <w:tcPr>
            <w:tcW w:type="dxa" w:w="2154"/>
          </w:tcPr>
          <w:p>
            <w:pPr>
              <w:spacing w:after="20"/>
            </w:pPr>
            <w:r/>
            <w:r>
              <w:rPr>
                <w:b w:val="0"/>
                <w:i w:val="0"/>
                <w:sz w:val="17"/>
              </w:rPr>
              <w:t>KRA/EPRA, monthly</w:t>
            </w:r>
          </w:p>
        </w:tc>
      </w:tr>
      <w:tr>
        <w:trPr>
          <w:cantSplit/>
        </w:trPr>
        <w:tc>
          <w:tcPr>
            <w:tcW w:type="dxa" w:w="1871"/>
            <w:shd w:val="clear" w:color="auto" w:fill="EEF3F8"/>
          </w:tcPr>
          <w:p>
            <w:pPr>
              <w:spacing w:after="20"/>
            </w:pPr>
            <w:r/>
            <w:r>
              <w:rPr>
                <w:b w:val="0"/>
                <w:i w:val="0"/>
                <w:sz w:val="17"/>
              </w:rPr>
              <w:t>Pipeline utilisation</w:t>
            </w:r>
          </w:p>
        </w:tc>
        <w:tc>
          <w:tcPr>
            <w:tcW w:type="dxa" w:w="3175"/>
            <w:shd w:val="clear" w:color="auto" w:fill="EEF3F8"/>
          </w:tcPr>
          <w:p>
            <w:pPr>
              <w:spacing w:after="20"/>
            </w:pPr>
            <w:r/>
            <w:r>
              <w:rPr>
                <w:b w:val="0"/>
                <w:i w:val="0"/>
                <w:sz w:val="17"/>
              </w:rPr>
              <w:t>KPC throughput ÷ nameplate on Lines 1, 2, 3</w:t>
            </w:r>
          </w:p>
        </w:tc>
        <w:tc>
          <w:tcPr>
            <w:tcW w:type="dxa" w:w="2268"/>
            <w:shd w:val="clear" w:color="auto" w:fill="EEF3F8"/>
          </w:tcPr>
          <w:p>
            <w:pPr>
              <w:spacing w:after="20"/>
            </w:pPr>
            <w:r/>
            <w:r>
              <w:rPr>
                <w:b w:val="0"/>
                <w:i w:val="0"/>
                <w:sz w:val="17"/>
              </w:rPr>
              <w:t>Alert above 95%</w:t>
            </w:r>
          </w:p>
        </w:tc>
        <w:tc>
          <w:tcPr>
            <w:tcW w:type="dxa" w:w="2154"/>
            <w:shd w:val="clear" w:color="auto" w:fill="EEF3F8"/>
          </w:tcPr>
          <w:p>
            <w:pPr>
              <w:spacing w:after="20"/>
            </w:pPr>
            <w:r/>
            <w:r>
              <w:rPr>
                <w:b w:val="0"/>
                <w:i w:val="0"/>
                <w:sz w:val="17"/>
              </w:rPr>
              <w:t>KPC, monthly</w:t>
            </w:r>
          </w:p>
        </w:tc>
      </w:tr>
      <w:tr>
        <w:trPr>
          <w:cantSplit/>
        </w:trPr>
        <w:tc>
          <w:tcPr>
            <w:tcW w:type="dxa" w:w="1871"/>
          </w:tcPr>
          <w:p>
            <w:pPr>
              <w:spacing w:after="20"/>
            </w:pPr>
            <w:r/>
            <w:r>
              <w:rPr>
                <w:b w:val="0"/>
                <w:i w:val="0"/>
                <w:sz w:val="17"/>
              </w:rPr>
              <w:t>Brent and USD/KES</w:t>
            </w:r>
          </w:p>
        </w:tc>
        <w:tc>
          <w:tcPr>
            <w:tcW w:type="dxa" w:w="3175"/>
          </w:tcPr>
          <w:p>
            <w:pPr>
              <w:spacing w:after="20"/>
            </w:pPr>
            <w:r/>
            <w:r>
              <w:rPr>
                <w:b w:val="0"/>
                <w:i w:val="0"/>
                <w:sz w:val="17"/>
              </w:rPr>
              <w:t>Monthly average; 3-month change</w:t>
            </w:r>
          </w:p>
        </w:tc>
        <w:tc>
          <w:tcPr>
            <w:tcW w:type="dxa" w:w="2268"/>
          </w:tcPr>
          <w:p>
            <w:pPr>
              <w:spacing w:after="20"/>
            </w:pPr>
            <w:r/>
            <w:r>
              <w:rPr>
                <w:b w:val="0"/>
                <w:i w:val="0"/>
                <w:sz w:val="17"/>
              </w:rPr>
              <w:t>Alert on Brent +20% or KES −3% in a quarter</w:t>
            </w:r>
          </w:p>
        </w:tc>
        <w:tc>
          <w:tcPr>
            <w:tcW w:type="dxa" w:w="2154"/>
          </w:tcPr>
          <w:p>
            <w:pPr>
              <w:spacing w:after="20"/>
            </w:pPr>
            <w:r/>
            <w:r>
              <w:rPr>
                <w:b w:val="0"/>
                <w:i w:val="0"/>
                <w:sz w:val="17"/>
              </w:rPr>
              <w:t>Market data, daily</w:t>
            </w:r>
          </w:p>
        </w:tc>
      </w:tr>
      <w:tr>
        <w:trPr>
          <w:cantSplit/>
        </w:trPr>
        <w:tc>
          <w:tcPr>
            <w:tcW w:type="dxa" w:w="1871"/>
            <w:shd w:val="clear" w:color="auto" w:fill="EEF3F8"/>
          </w:tcPr>
          <w:p>
            <w:pPr>
              <w:spacing w:after="20"/>
            </w:pPr>
            <w:r/>
            <w:r>
              <w:rPr>
                <w:b w:val="0"/>
                <w:i w:val="0"/>
                <w:sz w:val="17"/>
              </w:rPr>
              <w:t>Data integrity</w:t>
            </w:r>
          </w:p>
        </w:tc>
        <w:tc>
          <w:tcPr>
            <w:tcW w:type="dxa" w:w="3175"/>
            <w:shd w:val="clear" w:color="auto" w:fill="EEF3F8"/>
          </w:tcPr>
          <w:p>
            <w:pPr>
              <w:spacing w:after="20"/>
            </w:pPr>
            <w:r/>
            <w:r>
              <w:rPr>
                <w:b w:val="0"/>
                <w:i w:val="0"/>
                <w:sz w:val="17"/>
              </w:rPr>
              <w:t>Reconciliation of LEI product columns to annual survey</w:t>
            </w:r>
          </w:p>
        </w:tc>
        <w:tc>
          <w:tcPr>
            <w:tcW w:type="dxa" w:w="2268"/>
            <w:shd w:val="clear" w:color="auto" w:fill="EEF3F8"/>
          </w:tcPr>
          <w:p>
            <w:pPr>
              <w:spacing w:after="20"/>
            </w:pPr>
            <w:r/>
            <w:r>
              <w:rPr>
                <w:b w:val="0"/>
                <w:i w:val="0"/>
                <w:sz w:val="17"/>
              </w:rPr>
              <w:t>Alert on a difference above 3%</w:t>
            </w:r>
          </w:p>
        </w:tc>
        <w:tc>
          <w:tcPr>
            <w:tcW w:type="dxa" w:w="2154"/>
            <w:shd w:val="clear" w:color="auto" w:fill="EEF3F8"/>
          </w:tcPr>
          <w:p>
            <w:pPr>
              <w:spacing w:after="20"/>
            </w:pPr>
            <w:r/>
            <w:r>
              <w:rPr>
                <w:b w:val="0"/>
                <w:i w:val="0"/>
                <w:sz w:val="17"/>
              </w:rPr>
              <w:t>KNBS/EPRA, annually</w:t>
            </w:r>
          </w:p>
        </w:tc>
      </w:tr>
    </w:tbl>
    <w:p>
      <w:pPr>
        <w:spacing w:after="40"/>
      </w:pPr>
    </w:p>
    <w:p>
      <w:r>
        <w:rPr>
          <w:b w:val="0"/>
          <w:i w:val="0"/>
        </w:rPr>
        <w:t>The first two indicators would have given a warning in March 2026: a stock-cover indicator showing under 20 days for petrol and diesel, and a landed-cost jump of more than 30% in a quarter.</w:t>
      </w:r>
    </w:p>
    <w:p>
      <w:r>
        <w:br w:type="page"/>
      </w:r>
    </w:p>
    <w:p>
      <w:pPr>
        <w:pStyle w:val="Heading1"/>
      </w:pPr>
      <w:r>
        <w:t>17. Key findings</w:t>
      </w:r>
    </w:p>
    <w:p>
      <w:pPr>
        <w:pStyle w:val="ListBullet"/>
        <w:spacing w:after="40"/>
      </w:pPr>
      <w:r>
        <w:rPr>
          <w:b w:val="0"/>
          <w:i w:val="0"/>
        </w:rPr>
        <w:t>Demand grew 12% in 2025 to 5.71 Mt; transport fuels are 71% of it. The dataset’s own labels mis-assign petrol, LPG and two other columns.</w:t>
      </w:r>
    </w:p>
    <w:p>
      <w:pPr>
        <w:pStyle w:val="ListBullet"/>
        <w:spacing w:after="40"/>
      </w:pPr>
      <w:r>
        <w:rPr>
          <w:b w:val="0"/>
          <w:i w:val="0"/>
        </w:rPr>
        <w:t>Statistical forecasting is reliable to roughly 12 months; the no-shock counterfactual is 6.4 Mt for March 2026–February 2027 (80% interval 6.0–6.7 Mt). The official PDP baseline underestimated 2025 demand by 5.3%.</w:t>
      </w:r>
    </w:p>
    <w:p>
      <w:pPr>
        <w:pStyle w:val="ListBullet"/>
        <w:spacing w:after="40"/>
      </w:pPr>
      <w:r>
        <w:rPr>
          <w:b w:val="0"/>
          <w:i w:val="0"/>
        </w:rPr>
        <w:t>Short-run demand response to price is small (diesel −0.19, petrol −0.10); the 2026 shock hit supply security and prices before volumes.</w:t>
      </w:r>
    </w:p>
    <w:p>
      <w:pPr>
        <w:pStyle w:val="ListBullet"/>
        <w:spacing w:after="40"/>
      </w:pPr>
      <w:r>
        <w:rPr>
          <w:b w:val="0"/>
          <w:i w:val="0"/>
        </w:rPr>
        <w:t>Pass-through of the 2026 landed-cost shock to the pump was about 82% in shilling terms for petrol, cushioned by stabilisation support; the landed-cost shock added about US$0.7 bn a year to the petrol bill at constant volumes.</w:t>
      </w:r>
    </w:p>
    <w:p>
      <w:pPr>
        <w:pStyle w:val="ListBullet"/>
        <w:spacing w:after="40"/>
      </w:pPr>
      <w:r>
        <w:rPr>
          <w:b w:val="0"/>
          <w:i w:val="0"/>
        </w:rPr>
        <w:t>Tank space is ample (73–96 days of gross capacity); stocks held were 13–28 days. Thirty days of petrol and diesel would cost about US$390 million to hold; 90 days, US$1.2 billion.</w:t>
      </w:r>
    </w:p>
    <w:p>
      <w:pPr>
        <w:pStyle w:val="ListBullet"/>
        <w:spacing w:after="40"/>
      </w:pPr>
      <w:r>
        <w:rPr>
          <w:b w:val="0"/>
          <w:i w:val="0"/>
        </w:rPr>
        <w:t>LPG storage is short from 2026 in the baseline and the shortfall grows to about 11 kt by 2029 and 14 kt by 2030.</w:t>
      </w:r>
    </w:p>
    <w:p>
      <w:pPr>
        <w:pStyle w:val="ListBullet"/>
        <w:spacing w:after="40"/>
      </w:pPr>
      <w:r>
        <w:rPr>
          <w:b w:val="0"/>
          <w:i w:val="0"/>
        </w:rPr>
        <w:t>Underlying growth, not the 2026 shock, is the largest uncertainty in the 2035 demand outlook (+17.5% / −7.8% for +2 / −1 points of growth).</w:t>
      </w:r>
    </w:p>
    <w:p>
      <w:pPr>
        <w:pStyle w:val="ListBullet"/>
        <w:spacing w:after="40"/>
      </w:pPr>
      <w:r>
        <w:rPr>
          <w:b w:val="0"/>
          <w:i w:val="0"/>
        </w:rPr>
        <w:t>South Lokichar economics depend on the oil price and on fiscal terms that are not public: 30% chance of negative project value; the contractor break-even is US$73–82.</w:t>
      </w:r>
    </w:p>
    <w:p>
      <w:pPr>
        <w:pStyle w:val="Heading1"/>
      </w:pPr>
      <w:r>
        <w:t>18. Policy considerations and implementation priorities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737"/>
            <w:shd w:val="clear" w:color="auto" w:fill="1F4E79"/>
          </w:tcPr>
          <w:p>
            <w:pPr>
              <w:spacing w:after="20"/>
            </w:pPr>
            <w:r/>
            <w:r>
              <w:rPr>
                <w:b/>
                <w:color w:val="FFFFFF"/>
                <w:sz w:val="16"/>
              </w:rPr>
              <w:t>Priority</w:t>
            </w:r>
          </w:p>
        </w:tc>
        <w:tc>
          <w:tcPr>
            <w:tcW w:type="dxa" w:w="2835"/>
            <w:shd w:val="clear" w:color="auto" w:fill="1F4E79"/>
          </w:tcPr>
          <w:p>
            <w:pPr>
              <w:spacing w:after="20"/>
            </w:pPr>
            <w:r/>
            <w:r>
              <w:rPr>
                <w:b/>
                <w:color w:val="FFFFFF"/>
                <w:sz w:val="16"/>
              </w:rPr>
              <w:t>Action</w:t>
            </w:r>
          </w:p>
        </w:tc>
        <w:tc>
          <w:tcPr>
            <w:tcW w:type="dxa" w:w="2438"/>
            <w:shd w:val="clear" w:color="auto" w:fill="1F4E79"/>
          </w:tcPr>
          <w:p>
            <w:pPr>
              <w:spacing w:after="20"/>
            </w:pPr>
            <w:r/>
            <w:r>
              <w:rPr>
                <w:b/>
                <w:color w:val="FFFFFF"/>
                <w:sz w:val="16"/>
              </w:rPr>
              <w:t>Rationale</w:t>
            </w:r>
          </w:p>
        </w:tc>
        <w:tc>
          <w:tcPr>
            <w:tcW w:type="dxa" w:w="2211"/>
            <w:shd w:val="clear" w:color="auto" w:fill="1F4E79"/>
          </w:tcPr>
          <w:p>
            <w:pPr>
              <w:spacing w:after="20"/>
            </w:pPr>
            <w:r/>
            <w:r>
              <w:rPr>
                <w:b/>
                <w:color w:val="FFFFFF"/>
                <w:sz w:val="16"/>
              </w:rPr>
              <w:t>Indicative cost / scale</w:t>
            </w:r>
          </w:p>
        </w:tc>
        <w:tc>
          <w:tcPr>
            <w:tcW w:type="dxa" w:w="1134"/>
            <w:shd w:val="clear" w:color="auto" w:fill="1F4E79"/>
          </w:tcPr>
          <w:p>
            <w:pPr>
              <w:spacing w:after="20"/>
            </w:pPr>
            <w:r/>
            <w:r>
              <w:rPr>
                <w:b/>
                <w:color w:val="FFFFFF"/>
                <w:sz w:val="16"/>
              </w:rPr>
              <w:t>Timing</w:t>
            </w:r>
          </w:p>
        </w:tc>
      </w:tr>
      <w:tr>
        <w:trPr>
          <w:cantSplit/>
        </w:trPr>
        <w:tc>
          <w:tcPr>
            <w:tcW w:type="dxa" w:w="737"/>
          </w:tcPr>
          <w:p>
            <w:pPr>
              <w:spacing w:after="20"/>
            </w:pPr>
            <w:r/>
            <w:r>
              <w:rPr>
                <w:b w:val="0"/>
                <w:i w:val="0"/>
                <w:sz w:val="16"/>
              </w:rPr>
              <w:t>1</w:t>
            </w:r>
          </w:p>
        </w:tc>
        <w:tc>
          <w:tcPr>
            <w:tcW w:type="dxa" w:w="2835"/>
          </w:tcPr>
          <w:p>
            <w:pPr>
              <w:spacing w:after="20"/>
            </w:pPr>
            <w:r/>
            <w:r>
              <w:rPr>
                <w:b w:val="0"/>
                <w:i w:val="0"/>
                <w:sz w:val="16"/>
              </w:rPr>
              <w:t>Publish a daily stock-cover indicator by product, audited and owned by one agency</w:t>
            </w:r>
          </w:p>
        </w:tc>
        <w:tc>
          <w:tcPr>
            <w:tcW w:type="dxa" w:w="2438"/>
          </w:tcPr>
          <w:p>
            <w:pPr>
              <w:spacing w:after="20"/>
            </w:pPr>
            <w:r/>
            <w:r>
              <w:rPr>
                <w:b w:val="0"/>
                <w:i w:val="0"/>
                <w:sz w:val="16"/>
              </w:rPr>
              <w:t>Public confusion in April (13–28 days for petrol) damaged credibility</w:t>
            </w:r>
          </w:p>
        </w:tc>
        <w:tc>
          <w:tcPr>
            <w:tcW w:type="dxa" w:w="2211"/>
          </w:tcPr>
          <w:p>
            <w:pPr>
              <w:spacing w:after="20"/>
            </w:pPr>
            <w:r/>
            <w:r>
              <w:rPr>
                <w:b w:val="0"/>
                <w:i w:val="0"/>
                <w:sz w:val="16"/>
              </w:rPr>
              <w:t>Low (data and reporting)</w:t>
            </w:r>
          </w:p>
        </w:tc>
        <w:tc>
          <w:tcPr>
            <w:tcW w:type="dxa" w:w="1134"/>
          </w:tcPr>
          <w:p>
            <w:pPr>
              <w:spacing w:after="20"/>
            </w:pPr>
            <w:r/>
            <w:r>
              <w:rPr>
                <w:b w:val="0"/>
                <w:i w:val="0"/>
                <w:sz w:val="16"/>
              </w:rPr>
              <w:t>Immediate</w:t>
            </w:r>
          </w:p>
        </w:tc>
      </w:tr>
      <w:tr>
        <w:trPr>
          <w:cantSplit/>
        </w:trPr>
        <w:tc>
          <w:tcPr>
            <w:tcW w:type="dxa" w:w="737"/>
            <w:shd w:val="clear" w:color="auto" w:fill="EEF3F8"/>
          </w:tcPr>
          <w:p>
            <w:pPr>
              <w:spacing w:after="20"/>
            </w:pPr>
            <w:r/>
            <w:r>
              <w:rPr>
                <w:b w:val="0"/>
                <w:i w:val="0"/>
                <w:sz w:val="16"/>
              </w:rPr>
              <w:t>2</w:t>
            </w:r>
          </w:p>
        </w:tc>
        <w:tc>
          <w:tcPr>
            <w:tcW w:type="dxa" w:w="2835"/>
            <w:shd w:val="clear" w:color="auto" w:fill="EEF3F8"/>
          </w:tcPr>
          <w:p>
            <w:pPr>
              <w:spacing w:after="20"/>
            </w:pPr>
            <w:r/>
            <w:r>
              <w:rPr>
                <w:b w:val="0"/>
                <w:i w:val="0"/>
                <w:sz w:val="16"/>
              </w:rPr>
              <w:t>Fund and legislate the strategic reserve, with release triggers set in advance and a gradual, rules-based build</w:t>
            </w:r>
          </w:p>
        </w:tc>
        <w:tc>
          <w:tcPr>
            <w:tcW w:type="dxa" w:w="2438"/>
            <w:shd w:val="clear" w:color="auto" w:fill="EEF3F8"/>
          </w:tcPr>
          <w:p>
            <w:pPr>
              <w:spacing w:after="20"/>
            </w:pPr>
            <w:r/>
            <w:r>
              <w:rPr>
                <w:b w:val="0"/>
                <w:i w:val="0"/>
                <w:sz w:val="16"/>
              </w:rPr>
              <w:t>Gross tank capacity exists; inventory does not</w:t>
            </w:r>
          </w:p>
        </w:tc>
        <w:tc>
          <w:tcPr>
            <w:tcW w:type="dxa" w:w="2211"/>
            <w:shd w:val="clear" w:color="auto" w:fill="EEF3F8"/>
          </w:tcPr>
          <w:p>
            <w:pPr>
              <w:spacing w:after="20"/>
            </w:pPr>
            <w:r/>
            <w:r>
              <w:rPr>
                <w:b w:val="0"/>
                <w:i w:val="0"/>
                <w:sz w:val="16"/>
              </w:rPr>
              <w:t>15 days of petrol + diesel ≈ US$196 m (KSh 25 bn) inventory; ≈ KSh 2.5 bn a year to finance at 10%</w:t>
            </w:r>
          </w:p>
        </w:tc>
        <w:tc>
          <w:tcPr>
            <w:tcW w:type="dxa" w:w="1134"/>
            <w:shd w:val="clear" w:color="auto" w:fill="EEF3F8"/>
          </w:tcPr>
          <w:p>
            <w:pPr>
              <w:spacing w:after="20"/>
            </w:pPr>
            <w:r/>
            <w:r>
              <w:rPr>
                <w:b w:val="0"/>
                <w:i w:val="0"/>
                <w:sz w:val="16"/>
              </w:rPr>
              <w:t>6–24 months</w:t>
            </w:r>
          </w:p>
        </w:tc>
      </w:tr>
      <w:tr>
        <w:trPr>
          <w:cantSplit/>
        </w:trPr>
        <w:tc>
          <w:tcPr>
            <w:tcW w:type="dxa" w:w="737"/>
          </w:tcPr>
          <w:p>
            <w:pPr>
              <w:spacing w:after="20"/>
            </w:pPr>
            <w:r/>
            <w:r>
              <w:rPr>
                <w:b w:val="0"/>
                <w:i w:val="0"/>
                <w:sz w:val="16"/>
              </w:rPr>
              <w:t>3</w:t>
            </w:r>
          </w:p>
        </w:tc>
        <w:tc>
          <w:tcPr>
            <w:tcW w:type="dxa" w:w="2835"/>
          </w:tcPr>
          <w:p>
            <w:pPr>
              <w:spacing w:after="20"/>
            </w:pPr>
            <w:r/>
            <w:r>
              <w:rPr>
                <w:b w:val="0"/>
                <w:i w:val="0"/>
                <w:sz w:val="16"/>
              </w:rPr>
              <w:t>Fast-track LPG storage (Lake Gas commissioning, KPRL PPP, Nairobi rail-linked storage)</w:t>
            </w:r>
          </w:p>
        </w:tc>
        <w:tc>
          <w:tcPr>
            <w:tcW w:type="dxa" w:w="2438"/>
          </w:tcPr>
          <w:p>
            <w:pPr>
              <w:spacing w:after="20"/>
            </w:pPr>
            <w:r/>
            <w:r>
              <w:rPr>
                <w:b w:val="0"/>
                <w:i w:val="0"/>
                <w:sz w:val="16"/>
              </w:rPr>
              <w:t>Baseline shortfall from 2026; ≈ 14 kt by 2030</w:t>
            </w:r>
          </w:p>
        </w:tc>
        <w:tc>
          <w:tcPr>
            <w:tcW w:type="dxa" w:w="2211"/>
          </w:tcPr>
          <w:p>
            <w:pPr>
              <w:spacing w:after="20"/>
            </w:pPr>
            <w:r/>
            <w:r>
              <w:rPr>
                <w:b w:val="0"/>
                <w:i w:val="0"/>
                <w:sz w:val="16"/>
              </w:rPr>
              <w:t>Capacity additions of 10–30 kt (PDP projects)</w:t>
            </w:r>
          </w:p>
        </w:tc>
        <w:tc>
          <w:tcPr>
            <w:tcW w:type="dxa" w:w="1134"/>
          </w:tcPr>
          <w:p>
            <w:pPr>
              <w:spacing w:after="20"/>
            </w:pPr>
            <w:r/>
            <w:r>
              <w:rPr>
                <w:b w:val="0"/>
                <w:i w:val="0"/>
                <w:sz w:val="16"/>
              </w:rPr>
              <w:t>Now–2028</w:t>
            </w:r>
          </w:p>
        </w:tc>
      </w:tr>
      <w:tr>
        <w:trPr>
          <w:cantSplit/>
        </w:trPr>
        <w:tc>
          <w:tcPr>
            <w:tcW w:type="dxa" w:w="737"/>
            <w:shd w:val="clear" w:color="auto" w:fill="EEF3F8"/>
          </w:tcPr>
          <w:p>
            <w:pPr>
              <w:spacing w:after="20"/>
            </w:pPr>
            <w:r/>
            <w:r>
              <w:rPr>
                <w:b w:val="0"/>
                <w:i w:val="0"/>
                <w:sz w:val="16"/>
              </w:rPr>
              <w:t>4</w:t>
            </w:r>
          </w:p>
        </w:tc>
        <w:tc>
          <w:tcPr>
            <w:tcW w:type="dxa" w:w="2835"/>
            <w:shd w:val="clear" w:color="auto" w:fill="EEF3F8"/>
          </w:tcPr>
          <w:p>
            <w:pPr>
              <w:spacing w:after="20"/>
            </w:pPr>
            <w:r/>
            <w:r>
              <w:rPr>
                <w:b w:val="0"/>
                <w:i w:val="0"/>
                <w:sz w:val="16"/>
              </w:rPr>
              <w:t>Diversify supply sources within the G-to-G framework; contingency tenders</w:t>
            </w:r>
          </w:p>
        </w:tc>
        <w:tc>
          <w:tcPr>
            <w:tcW w:type="dxa" w:w="2438"/>
            <w:shd w:val="clear" w:color="auto" w:fill="EEF3F8"/>
          </w:tcPr>
          <w:p>
            <w:pPr>
              <w:spacing w:after="20"/>
            </w:pPr>
            <w:r/>
            <w:r>
              <w:rPr>
                <w:b w:val="0"/>
                <w:i w:val="0"/>
                <w:sz w:val="16"/>
              </w:rPr>
              <w:t>Gulf concentration exposed the system</w:t>
            </w:r>
          </w:p>
        </w:tc>
        <w:tc>
          <w:tcPr>
            <w:tcW w:type="dxa" w:w="2211"/>
            <w:shd w:val="clear" w:color="auto" w:fill="EEF3F8"/>
          </w:tcPr>
          <w:p>
            <w:pPr>
              <w:spacing w:after="20"/>
            </w:pPr>
            <w:r/>
            <w:r>
              <w:rPr>
                <w:b w:val="0"/>
                <w:i w:val="0"/>
                <w:sz w:val="16"/>
              </w:rPr>
              <w:t>Procurement design</w:t>
            </w:r>
          </w:p>
        </w:tc>
        <w:tc>
          <w:tcPr>
            <w:tcW w:type="dxa" w:w="1134"/>
            <w:shd w:val="clear" w:color="auto" w:fill="EEF3F8"/>
          </w:tcPr>
          <w:p>
            <w:pPr>
              <w:spacing w:after="20"/>
            </w:pPr>
            <w:r/>
            <w:r>
              <w:rPr>
                <w:b w:val="0"/>
                <w:i w:val="0"/>
                <w:sz w:val="16"/>
              </w:rPr>
              <w:t>6–12 months</w:t>
            </w:r>
          </w:p>
        </w:tc>
      </w:tr>
      <w:tr>
        <w:trPr>
          <w:cantSplit/>
        </w:trPr>
        <w:tc>
          <w:tcPr>
            <w:tcW w:type="dxa" w:w="737"/>
          </w:tcPr>
          <w:p>
            <w:pPr>
              <w:spacing w:after="20"/>
            </w:pPr>
            <w:r/>
            <w:r>
              <w:rPr>
                <w:b w:val="0"/>
                <w:i w:val="0"/>
                <w:sz w:val="16"/>
              </w:rPr>
              <w:t>5</w:t>
            </w:r>
          </w:p>
        </w:tc>
        <w:tc>
          <w:tcPr>
            <w:tcW w:type="dxa" w:w="2835"/>
          </w:tcPr>
          <w:p>
            <w:pPr>
              <w:spacing w:after="20"/>
            </w:pPr>
            <w:r/>
            <w:r>
              <w:rPr>
                <w:b w:val="0"/>
                <w:i w:val="0"/>
                <w:sz w:val="16"/>
              </w:rPr>
              <w:t>Set rules for stabilisation support (trigger, size, duration, exit)</w:t>
            </w:r>
          </w:p>
        </w:tc>
        <w:tc>
          <w:tcPr>
            <w:tcW w:type="dxa" w:w="2438"/>
          </w:tcPr>
          <w:p>
            <w:pPr>
              <w:spacing w:after="20"/>
            </w:pPr>
            <w:r/>
            <w:r>
              <w:rPr>
                <w:b w:val="0"/>
                <w:i w:val="0"/>
                <w:sz w:val="16"/>
              </w:rPr>
              <w:t>Pass-through is partly determined by fiscal support; a repeat shock could cost around KSh 50 bn a year for petrol alone</w:t>
            </w:r>
          </w:p>
        </w:tc>
        <w:tc>
          <w:tcPr>
            <w:tcW w:type="dxa" w:w="2211"/>
          </w:tcPr>
          <w:p>
            <w:pPr>
              <w:spacing w:after="20"/>
            </w:pPr>
            <w:r/>
            <w:r>
              <w:rPr>
                <w:b w:val="0"/>
                <w:i w:val="0"/>
                <w:sz w:val="16"/>
              </w:rPr>
              <w:t>Fiscal contingency</w:t>
            </w:r>
          </w:p>
        </w:tc>
        <w:tc>
          <w:tcPr>
            <w:tcW w:type="dxa" w:w="1134"/>
          </w:tcPr>
          <w:p>
            <w:pPr>
              <w:spacing w:after="20"/>
            </w:pPr>
            <w:r/>
            <w:r>
              <w:rPr>
                <w:b w:val="0"/>
                <w:i w:val="0"/>
                <w:sz w:val="16"/>
              </w:rPr>
              <w:t>Before next shock</w:t>
            </w:r>
          </w:p>
        </w:tc>
      </w:tr>
      <w:tr>
        <w:trPr>
          <w:cantSplit/>
        </w:trPr>
        <w:tc>
          <w:tcPr>
            <w:tcW w:type="dxa" w:w="737"/>
            <w:shd w:val="clear" w:color="auto" w:fill="EEF3F8"/>
          </w:tcPr>
          <w:p>
            <w:pPr>
              <w:spacing w:after="20"/>
            </w:pPr>
            <w:r/>
            <w:r>
              <w:rPr>
                <w:b w:val="0"/>
                <w:i w:val="0"/>
                <w:sz w:val="16"/>
              </w:rPr>
              <w:t>6</w:t>
            </w:r>
          </w:p>
        </w:tc>
        <w:tc>
          <w:tcPr>
            <w:tcW w:type="dxa" w:w="2835"/>
            <w:shd w:val="clear" w:color="auto" w:fill="EEF3F8"/>
          </w:tcPr>
          <w:p>
            <w:pPr>
              <w:spacing w:after="20"/>
            </w:pPr>
            <w:r/>
            <w:r>
              <w:rPr>
                <w:b w:val="0"/>
                <w:i w:val="0"/>
                <w:sz w:val="16"/>
              </w:rPr>
              <w:t>Update PDP demand base and add a shock scenario</w:t>
            </w:r>
          </w:p>
        </w:tc>
        <w:tc>
          <w:tcPr>
            <w:tcW w:type="dxa" w:w="2438"/>
            <w:shd w:val="clear" w:color="auto" w:fill="EEF3F8"/>
          </w:tcPr>
          <w:p>
            <w:pPr>
              <w:spacing w:after="20"/>
            </w:pPr>
            <w:r/>
            <w:r>
              <w:rPr>
                <w:b w:val="0"/>
                <w:i w:val="0"/>
                <w:sz w:val="16"/>
              </w:rPr>
              <w:t>2025 demand was 5.3% above the PDP baseline</w:t>
            </w:r>
          </w:p>
        </w:tc>
        <w:tc>
          <w:tcPr>
            <w:tcW w:type="dxa" w:w="2211"/>
            <w:shd w:val="clear" w:color="auto" w:fill="EEF3F8"/>
          </w:tcPr>
          <w:p>
            <w:pPr>
              <w:spacing w:after="20"/>
            </w:pPr>
            <w:r/>
            <w:r>
              <w:rPr>
                <w:b w:val="0"/>
                <w:i w:val="0"/>
                <w:sz w:val="16"/>
              </w:rPr>
              <w:t>Analytical</w:t>
            </w:r>
          </w:p>
        </w:tc>
        <w:tc>
          <w:tcPr>
            <w:tcW w:type="dxa" w:w="1134"/>
            <w:shd w:val="clear" w:color="auto" w:fill="EEF3F8"/>
          </w:tcPr>
          <w:p>
            <w:pPr>
              <w:spacing w:after="20"/>
            </w:pPr>
            <w:r/>
            <w:r>
              <w:rPr>
                <w:b w:val="0"/>
                <w:i w:val="0"/>
                <w:sz w:val="16"/>
              </w:rPr>
              <w:t>Next PDP update</w:t>
            </w:r>
          </w:p>
        </w:tc>
      </w:tr>
      <w:tr>
        <w:trPr>
          <w:cantSplit/>
        </w:trPr>
        <w:tc>
          <w:tcPr>
            <w:tcW w:type="dxa" w:w="737"/>
          </w:tcPr>
          <w:p>
            <w:pPr>
              <w:spacing w:after="20"/>
            </w:pPr>
            <w:r/>
            <w:r>
              <w:rPr>
                <w:b w:val="0"/>
                <w:i w:val="0"/>
                <w:sz w:val="16"/>
              </w:rPr>
              <w:t>7</w:t>
            </w:r>
          </w:p>
        </w:tc>
        <w:tc>
          <w:tcPr>
            <w:tcW w:type="dxa" w:w="2835"/>
          </w:tcPr>
          <w:p>
            <w:pPr>
              <w:spacing w:after="20"/>
            </w:pPr>
            <w:r/>
            <w:r>
              <w:rPr>
                <w:b w:val="0"/>
                <w:i w:val="0"/>
                <w:sz w:val="16"/>
              </w:rPr>
              <w:t>Build a product-level supply–demand balance (opening stock, imports, consumption, exports, closing stock) from administrative data</w:t>
            </w:r>
          </w:p>
        </w:tc>
        <w:tc>
          <w:tcPr>
            <w:tcW w:type="dxa" w:w="2438"/>
          </w:tcPr>
          <w:p>
            <w:pPr>
              <w:spacing w:after="20"/>
            </w:pPr>
            <w:r/>
            <w:r>
              <w:rPr>
                <w:b w:val="0"/>
                <w:i w:val="0"/>
                <w:sz w:val="16"/>
              </w:rPr>
              <w:t>Could not be constructed here; core of monitoring</w:t>
            </w:r>
          </w:p>
        </w:tc>
        <w:tc>
          <w:tcPr>
            <w:tcW w:type="dxa" w:w="2211"/>
          </w:tcPr>
          <w:p>
            <w:pPr>
              <w:spacing w:after="20"/>
            </w:pPr>
            <w:r/>
            <w:r>
              <w:rPr>
                <w:b w:val="0"/>
                <w:i w:val="0"/>
                <w:sz w:val="16"/>
              </w:rPr>
              <w:t>Data sharing between EPRA, KRA, KPC</w:t>
            </w:r>
          </w:p>
        </w:tc>
        <w:tc>
          <w:tcPr>
            <w:tcW w:type="dxa" w:w="1134"/>
          </w:tcPr>
          <w:p>
            <w:pPr>
              <w:spacing w:after="20"/>
            </w:pPr>
            <w:r/>
            <w:r>
              <w:rPr>
                <w:b w:val="0"/>
                <w:i w:val="0"/>
                <w:sz w:val="16"/>
              </w:rPr>
              <w:t>12 months</w:t>
            </w:r>
          </w:p>
        </w:tc>
      </w:tr>
      <w:tr>
        <w:trPr>
          <w:cantSplit/>
        </w:trPr>
        <w:tc>
          <w:tcPr>
            <w:tcW w:type="dxa" w:w="737"/>
            <w:shd w:val="clear" w:color="auto" w:fill="EEF3F8"/>
          </w:tcPr>
          <w:p>
            <w:pPr>
              <w:spacing w:after="20"/>
            </w:pPr>
            <w:r/>
            <w:r>
              <w:rPr>
                <w:b w:val="0"/>
                <w:i w:val="0"/>
                <w:sz w:val="16"/>
              </w:rPr>
              <w:t>8</w:t>
            </w:r>
          </w:p>
        </w:tc>
        <w:tc>
          <w:tcPr>
            <w:tcW w:type="dxa" w:w="2835"/>
            <w:shd w:val="clear" w:color="auto" w:fill="EEF3F8"/>
          </w:tcPr>
          <w:p>
            <w:pPr>
              <w:spacing w:after="20"/>
            </w:pPr>
            <w:r/>
            <w:r>
              <w:rPr>
                <w:b w:val="0"/>
                <w:i w:val="0"/>
                <w:sz w:val="16"/>
              </w:rPr>
              <w:t>Clarify upstream fiscal terms and test them against price scenarios</w:t>
            </w:r>
          </w:p>
        </w:tc>
        <w:tc>
          <w:tcPr>
            <w:tcW w:type="dxa" w:w="2438"/>
            <w:shd w:val="clear" w:color="auto" w:fill="EEF3F8"/>
          </w:tcPr>
          <w:p>
            <w:pPr>
              <w:spacing w:after="20"/>
            </w:pPr>
            <w:r/>
            <w:r>
              <w:rPr>
                <w:b w:val="0"/>
                <w:i w:val="0"/>
                <w:sz w:val="16"/>
              </w:rPr>
              <w:t>Developer break-even US$73–82 vs 60 for the project</w:t>
            </w:r>
          </w:p>
        </w:tc>
        <w:tc>
          <w:tcPr>
            <w:tcW w:type="dxa" w:w="2211"/>
            <w:shd w:val="clear" w:color="auto" w:fill="EEF3F8"/>
          </w:tcPr>
          <w:p>
            <w:pPr>
              <w:spacing w:after="20"/>
            </w:pPr>
            <w:r/>
            <w:r>
              <w:rPr>
                <w:b w:val="0"/>
                <w:i w:val="0"/>
                <w:sz w:val="16"/>
              </w:rPr>
              <w:t>Policy/analytical</w:t>
            </w:r>
          </w:p>
        </w:tc>
        <w:tc>
          <w:tcPr>
            <w:tcW w:type="dxa" w:w="1134"/>
            <w:shd w:val="clear" w:color="auto" w:fill="EEF3F8"/>
          </w:tcPr>
          <w:p>
            <w:pPr>
              <w:spacing w:after="20"/>
            </w:pPr>
            <w:r/>
            <w:r>
              <w:rPr>
                <w:b w:val="0"/>
                <w:i w:val="0"/>
                <w:sz w:val="16"/>
              </w:rPr>
              <w:t>Before first oil</w:t>
            </w:r>
          </w:p>
        </w:tc>
      </w:tr>
    </w:tbl>
    <w:p>
      <w:pPr>
        <w:spacing w:after="40"/>
      </w:pPr>
    </w:p>
    <w:p>
      <w:pPr>
        <w:pStyle w:val="Heading1"/>
      </w:pPr>
      <w:r>
        <w:t>19. Limitations</w:t>
      </w:r>
    </w:p>
    <w:p>
      <w:pPr>
        <w:pStyle w:val="ListBullet"/>
        <w:spacing w:after="40"/>
      </w:pPr>
      <w:r>
        <w:rPr>
          <w:b w:val="0"/>
          <w:i w:val="0"/>
        </w:rPr>
        <w:t>Only 26 monthly observations (two seasonal cycles). Seasonal indices, model selection and prediction intervals are approximate. March 2026 and later volumes are missing.</w:t>
      </w:r>
    </w:p>
    <w:p>
      <w:pPr>
        <w:pStyle w:val="ListBullet"/>
        <w:spacing w:after="40"/>
      </w:pPr>
      <w:r>
        <w:rPr>
          <w:b w:val="0"/>
          <w:i w:val="0"/>
        </w:rPr>
        <w:t>Two product columns (jet fuel*, fuel oil/other*) are identified by magnitude matching only; their growth rates (−4.2%, +65%) should not be used for decisions until confirmed with KNBS.</w:t>
      </w:r>
    </w:p>
    <w:p>
      <w:pPr>
        <w:pStyle w:val="ListBullet"/>
        <w:spacing w:after="40"/>
      </w:pPr>
      <w:r>
        <w:rPr>
          <w:b w:val="0"/>
          <w:i w:val="0"/>
        </w:rPr>
        <w:t>No monthly GDP, CPI, Brent or exchange-rate series was available; the pass-through and driver analyses are limited to two-point and qualitative treatments.</w:t>
      </w:r>
    </w:p>
    <w:p>
      <w:pPr>
        <w:pStyle w:val="ListBullet"/>
        <w:spacing w:after="40"/>
      </w:pPr>
      <w:r>
        <w:rPr>
          <w:b w:val="0"/>
          <w:i w:val="0"/>
        </w:rPr>
        <w:t>The town-level pump-price file was empty. 2026 prices and stock-cover figures come from press reports of official statements, not primary EPRA or ministry documents; several were contested.</w:t>
      </w:r>
    </w:p>
    <w:p>
      <w:pPr>
        <w:pStyle w:val="ListBullet"/>
        <w:spacing w:after="40"/>
      </w:pPr>
      <w:r>
        <w:rPr>
          <w:b w:val="0"/>
          <w:i w:val="0"/>
        </w:rPr>
        <w:t>Own elasticity estimates failed (wrong sign); scenario elasticities come from the PDP equations and, for LPG, kerosene and jet, are assumptions.</w:t>
      </w:r>
    </w:p>
    <w:p>
      <w:pPr>
        <w:pStyle w:val="ListBullet"/>
        <w:spacing w:after="40"/>
      </w:pPr>
      <w:r>
        <w:rPr>
          <w:b w:val="0"/>
          <w:i w:val="0"/>
        </w:rPr>
        <w:t>The South Lokichar model uses assumed costs and fiscal terms. It must not be read as official project economics. The Monte Carlo distributions are the author’s assumptions.</w:t>
      </w:r>
    </w:p>
    <w:p>
      <w:pPr>
        <w:pStyle w:val="ListBullet"/>
        <w:spacing w:after="40"/>
      </w:pPr>
      <w:r>
        <w:rPr>
          <w:b w:val="0"/>
          <w:i w:val="0"/>
        </w:rPr>
        <w:t>Inventory cost, import-bill and stress-test figures are illustrative arithmetic on stated assumptions, not budget estimates.</w:t>
      </w:r>
    </w:p>
    <w:p>
      <w:pPr>
        <w:pStyle w:val="ListBullet"/>
        <w:spacing w:after="40"/>
      </w:pPr>
      <w:r>
        <w:rPr>
          <w:b w:val="0"/>
          <w:i w:val="0"/>
        </w:rPr>
        <w:t>An interactive HTML dashboard accompanies this report. No Streamlit application or SQL warehouse has been built. The Excel model reproduces the scenario, supply-security and project-economics logic.</w:t>
      </w:r>
    </w:p>
    <w:p>
      <w:pPr>
        <w:pStyle w:val="Heading1"/>
      </w:pPr>
      <w:r>
        <w:t>20. Coverage of the original project brief</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2438"/>
            <w:shd w:val="clear" w:color="auto" w:fill="1F4E79"/>
          </w:tcPr>
          <w:p>
            <w:pPr>
              <w:spacing w:after="20"/>
            </w:pPr>
            <w:r/>
            <w:r>
              <w:rPr>
                <w:b/>
                <w:color w:val="FFFFFF"/>
                <w:sz w:val="16"/>
              </w:rPr>
              <w:t>Brief module</w:t>
            </w:r>
          </w:p>
        </w:tc>
        <w:tc>
          <w:tcPr>
            <w:tcW w:type="dxa" w:w="1134"/>
            <w:shd w:val="clear" w:color="auto" w:fill="1F4E79"/>
          </w:tcPr>
          <w:p>
            <w:pPr>
              <w:spacing w:after="20"/>
            </w:pPr>
            <w:r/>
            <w:r>
              <w:rPr>
                <w:b/>
                <w:color w:val="FFFFFF"/>
                <w:sz w:val="16"/>
              </w:rPr>
              <w:t>Delivered</w:t>
            </w:r>
          </w:p>
        </w:tc>
        <w:tc>
          <w:tcPr>
            <w:tcW w:type="dxa" w:w="1361"/>
            <w:shd w:val="clear" w:color="auto" w:fill="1F4E79"/>
          </w:tcPr>
          <w:p>
            <w:pPr>
              <w:spacing w:after="20"/>
            </w:pPr>
            <w:r/>
            <w:r>
              <w:rPr>
                <w:b/>
                <w:color w:val="FFFFFF"/>
                <w:sz w:val="16"/>
              </w:rPr>
              <w:t>Where</w:t>
            </w:r>
          </w:p>
        </w:tc>
        <w:tc>
          <w:tcPr>
            <w:tcW w:type="dxa" w:w="4535"/>
            <w:shd w:val="clear" w:color="auto" w:fill="1F4E79"/>
          </w:tcPr>
          <w:p>
            <w:pPr>
              <w:spacing w:after="20"/>
            </w:pPr>
            <w:r/>
            <w:r>
              <w:rPr>
                <w:b/>
                <w:color w:val="FFFFFF"/>
                <w:sz w:val="16"/>
              </w:rPr>
              <w:t>Note</w:t>
            </w:r>
          </w:p>
        </w:tc>
      </w:tr>
      <w:tr>
        <w:trPr>
          <w:cantSplit/>
        </w:trPr>
        <w:tc>
          <w:tcPr>
            <w:tcW w:type="dxa" w:w="2438"/>
          </w:tcPr>
          <w:p>
            <w:pPr>
              <w:spacing w:after="20"/>
            </w:pPr>
            <w:r/>
            <w:r>
              <w:rPr>
                <w:b w:val="0"/>
                <w:i w:val="0"/>
                <w:sz w:val="16"/>
              </w:rPr>
              <w:t>1 Demand intelligence</w:t>
            </w:r>
          </w:p>
        </w:tc>
        <w:tc>
          <w:tcPr>
            <w:tcW w:type="dxa" w:w="1134"/>
          </w:tcPr>
          <w:p>
            <w:pPr>
              <w:spacing w:after="20"/>
            </w:pPr>
            <w:r/>
            <w:r>
              <w:rPr>
                <w:b w:val="0"/>
                <w:i w:val="0"/>
                <w:sz w:val="16"/>
              </w:rPr>
              <w:t>Yes</w:t>
            </w:r>
          </w:p>
        </w:tc>
        <w:tc>
          <w:tcPr>
            <w:tcW w:type="dxa" w:w="1361"/>
          </w:tcPr>
          <w:p>
            <w:pPr>
              <w:spacing w:after="20"/>
            </w:pPr>
            <w:r/>
            <w:r>
              <w:rPr>
                <w:b w:val="0"/>
                <w:i w:val="0"/>
                <w:sz w:val="16"/>
              </w:rPr>
              <w:t>§4, Annex A</w:t>
            </w:r>
          </w:p>
        </w:tc>
        <w:tc>
          <w:tcPr>
            <w:tcW w:type="dxa" w:w="4535"/>
          </w:tcPr>
          <w:p>
            <w:pPr>
              <w:spacing w:after="20"/>
            </w:pPr>
            <w:r/>
            <w:r>
              <w:rPr>
                <w:b w:val="0"/>
                <w:i w:val="0"/>
                <w:sz w:val="16"/>
              </w:rPr>
              <w:t>Product profiles, seasonality, YoY, shares, volatility, trends; drivers qualitative</w:t>
            </w:r>
          </w:p>
        </w:tc>
      </w:tr>
      <w:tr>
        <w:trPr>
          <w:cantSplit/>
        </w:trPr>
        <w:tc>
          <w:tcPr>
            <w:tcW w:type="dxa" w:w="2438"/>
            <w:shd w:val="clear" w:color="auto" w:fill="EEF3F8"/>
          </w:tcPr>
          <w:p>
            <w:pPr>
              <w:spacing w:after="20"/>
            </w:pPr>
            <w:r/>
            <w:r>
              <w:rPr>
                <w:b w:val="0"/>
                <w:i w:val="0"/>
                <w:sz w:val="16"/>
              </w:rPr>
              <w:t>2 Demand forecasting (tournament)</w:t>
            </w:r>
          </w:p>
        </w:tc>
        <w:tc>
          <w:tcPr>
            <w:tcW w:type="dxa" w:w="1134"/>
            <w:shd w:val="clear" w:color="auto" w:fill="EEF3F8"/>
          </w:tcPr>
          <w:p>
            <w:pPr>
              <w:spacing w:after="20"/>
            </w:pPr>
            <w:r/>
            <w:r>
              <w:rPr>
                <w:b w:val="0"/>
                <w:i w:val="0"/>
                <w:sz w:val="16"/>
              </w:rPr>
              <w:t>Partly</w:t>
            </w:r>
          </w:p>
        </w:tc>
        <w:tc>
          <w:tcPr>
            <w:tcW w:type="dxa" w:w="1361"/>
            <w:shd w:val="clear" w:color="auto" w:fill="EEF3F8"/>
          </w:tcPr>
          <w:p>
            <w:pPr>
              <w:spacing w:after="20"/>
            </w:pPr>
            <w:r/>
            <w:r>
              <w:rPr>
                <w:b w:val="0"/>
                <w:i w:val="0"/>
                <w:sz w:val="16"/>
              </w:rPr>
              <w:t>§8, Annex C</w:t>
            </w:r>
          </w:p>
        </w:tc>
        <w:tc>
          <w:tcPr>
            <w:tcW w:type="dxa" w:w="4535"/>
            <w:shd w:val="clear" w:color="auto" w:fill="EEF3F8"/>
          </w:tcPr>
          <w:p>
            <w:pPr>
              <w:spacing w:after="20"/>
            </w:pPr>
            <w:r/>
            <w:r>
              <w:rPr>
                <w:b w:val="0"/>
                <w:i w:val="0"/>
                <w:sz w:val="16"/>
              </w:rPr>
              <w:t>Eight models; SARIMA/ARIMAX/Holt-Winters infeasible with 26 points; 80/95% intervals</w:t>
            </w:r>
          </w:p>
        </w:tc>
      </w:tr>
      <w:tr>
        <w:trPr>
          <w:cantSplit/>
        </w:trPr>
        <w:tc>
          <w:tcPr>
            <w:tcW w:type="dxa" w:w="2438"/>
          </w:tcPr>
          <w:p>
            <w:pPr>
              <w:spacing w:after="20"/>
            </w:pPr>
            <w:r/>
            <w:r>
              <w:rPr>
                <w:b w:val="0"/>
                <w:i w:val="0"/>
                <w:sz w:val="16"/>
              </w:rPr>
              <w:t>3 Scenario analysis</w:t>
            </w:r>
          </w:p>
        </w:tc>
        <w:tc>
          <w:tcPr>
            <w:tcW w:type="dxa" w:w="1134"/>
          </w:tcPr>
          <w:p>
            <w:pPr>
              <w:spacing w:after="20"/>
            </w:pPr>
            <w:r/>
            <w:r>
              <w:rPr>
                <w:b w:val="0"/>
                <w:i w:val="0"/>
                <w:sz w:val="16"/>
              </w:rPr>
              <w:t>Yes</w:t>
            </w:r>
          </w:p>
        </w:tc>
        <w:tc>
          <w:tcPr>
            <w:tcW w:type="dxa" w:w="1361"/>
          </w:tcPr>
          <w:p>
            <w:pPr>
              <w:spacing w:after="20"/>
            </w:pPr>
            <w:r/>
            <w:r>
              <w:rPr>
                <w:b w:val="0"/>
                <w:i w:val="0"/>
                <w:sz w:val="16"/>
              </w:rPr>
              <w:t>§9, Excel</w:t>
            </w:r>
          </w:p>
        </w:tc>
        <w:tc>
          <w:tcPr>
            <w:tcW w:type="dxa" w:w="4535"/>
          </w:tcPr>
          <w:p>
            <w:pPr>
              <w:spacing w:after="20"/>
            </w:pPr>
            <w:r/>
            <w:r>
              <w:rPr>
                <w:b w:val="0"/>
                <w:i w:val="0"/>
                <w:sz w:val="16"/>
              </w:rPr>
              <w:t>Three scenarios to 2035 and sensitivities</w:t>
            </w:r>
          </w:p>
        </w:tc>
      </w:tr>
      <w:tr>
        <w:trPr>
          <w:cantSplit/>
        </w:trPr>
        <w:tc>
          <w:tcPr>
            <w:tcW w:type="dxa" w:w="2438"/>
            <w:shd w:val="clear" w:color="auto" w:fill="EEF3F8"/>
          </w:tcPr>
          <w:p>
            <w:pPr>
              <w:spacing w:after="20"/>
            </w:pPr>
            <w:r/>
            <w:r>
              <w:rPr>
                <w:b w:val="0"/>
                <w:i w:val="0"/>
                <w:sz w:val="16"/>
              </w:rPr>
              <w:t>4 Price economics</w:t>
            </w:r>
          </w:p>
        </w:tc>
        <w:tc>
          <w:tcPr>
            <w:tcW w:type="dxa" w:w="1134"/>
            <w:shd w:val="clear" w:color="auto" w:fill="EEF3F8"/>
          </w:tcPr>
          <w:p>
            <w:pPr>
              <w:spacing w:after="20"/>
            </w:pPr>
            <w:r/>
            <w:r>
              <w:rPr>
                <w:b w:val="0"/>
                <w:i w:val="0"/>
                <w:sz w:val="16"/>
              </w:rPr>
              <w:t>Partly</w:t>
            </w:r>
          </w:p>
        </w:tc>
        <w:tc>
          <w:tcPr>
            <w:tcW w:type="dxa" w:w="1361"/>
            <w:shd w:val="clear" w:color="auto" w:fill="EEF3F8"/>
          </w:tcPr>
          <w:p>
            <w:pPr>
              <w:spacing w:after="20"/>
            </w:pPr>
            <w:r/>
            <w:r>
              <w:rPr>
                <w:b w:val="0"/>
                <w:i w:val="0"/>
                <w:sz w:val="16"/>
              </w:rPr>
              <w:t>§5</w:t>
            </w:r>
          </w:p>
        </w:tc>
        <w:tc>
          <w:tcPr>
            <w:tcW w:type="dxa" w:w="4535"/>
            <w:shd w:val="clear" w:color="auto" w:fill="EEF3F8"/>
          </w:tcPr>
          <w:p>
            <w:pPr>
              <w:spacing w:after="20"/>
            </w:pPr>
            <w:r/>
            <w:r>
              <w:rPr>
                <w:b w:val="0"/>
                <w:i w:val="0"/>
                <w:sz w:val="16"/>
              </w:rPr>
              <w:t>Nominal only (no CPI); regional spreads from press</w:t>
            </w:r>
          </w:p>
        </w:tc>
      </w:tr>
      <w:tr>
        <w:trPr>
          <w:cantSplit/>
        </w:trPr>
        <w:tc>
          <w:tcPr>
            <w:tcW w:type="dxa" w:w="2438"/>
          </w:tcPr>
          <w:p>
            <w:pPr>
              <w:spacing w:after="20"/>
            </w:pPr>
            <w:r/>
            <w:r>
              <w:rPr>
                <w:b w:val="0"/>
                <w:i w:val="0"/>
                <w:sz w:val="16"/>
              </w:rPr>
              <w:t>5 Elasticity</w:t>
            </w:r>
          </w:p>
        </w:tc>
        <w:tc>
          <w:tcPr>
            <w:tcW w:type="dxa" w:w="1134"/>
          </w:tcPr>
          <w:p>
            <w:pPr>
              <w:spacing w:after="20"/>
            </w:pPr>
            <w:r/>
            <w:r>
              <w:rPr>
                <w:b w:val="0"/>
                <w:i w:val="0"/>
                <w:sz w:val="16"/>
              </w:rPr>
              <w:t>Partly</w:t>
            </w:r>
          </w:p>
        </w:tc>
        <w:tc>
          <w:tcPr>
            <w:tcW w:type="dxa" w:w="1361"/>
          </w:tcPr>
          <w:p>
            <w:pPr>
              <w:spacing w:after="20"/>
            </w:pPr>
            <w:r/>
            <w:r>
              <w:rPr>
                <w:b w:val="0"/>
                <w:i w:val="0"/>
                <w:sz w:val="16"/>
              </w:rPr>
              <w:t>§7</w:t>
            </w:r>
          </w:p>
        </w:tc>
        <w:tc>
          <w:tcPr>
            <w:tcW w:type="dxa" w:w="4535"/>
          </w:tcPr>
          <w:p>
            <w:pPr>
              <w:spacing w:after="20"/>
            </w:pPr>
            <w:r/>
            <w:r>
              <w:rPr>
                <w:b w:val="0"/>
                <w:i w:val="0"/>
                <w:sz w:val="16"/>
              </w:rPr>
              <w:t>Own estimate failed; PDP-implied used</w:t>
            </w:r>
          </w:p>
        </w:tc>
      </w:tr>
      <w:tr>
        <w:trPr>
          <w:cantSplit/>
        </w:trPr>
        <w:tc>
          <w:tcPr>
            <w:tcW w:type="dxa" w:w="2438"/>
            <w:shd w:val="clear" w:color="auto" w:fill="EEF3F8"/>
          </w:tcPr>
          <w:p>
            <w:pPr>
              <w:spacing w:after="20"/>
            </w:pPr>
            <w:r/>
            <w:r>
              <w:rPr>
                <w:b w:val="0"/>
                <w:i w:val="0"/>
                <w:sz w:val="16"/>
              </w:rPr>
              <w:t>6 Cross-price / substitution</w:t>
            </w:r>
          </w:p>
        </w:tc>
        <w:tc>
          <w:tcPr>
            <w:tcW w:type="dxa" w:w="1134"/>
            <w:shd w:val="clear" w:color="auto" w:fill="EEF3F8"/>
          </w:tcPr>
          <w:p>
            <w:pPr>
              <w:spacing w:after="20"/>
            </w:pPr>
            <w:r/>
            <w:r>
              <w:rPr>
                <w:b w:val="0"/>
                <w:i w:val="0"/>
                <w:sz w:val="16"/>
              </w:rPr>
              <w:t>Yes (descriptive)</w:t>
            </w:r>
          </w:p>
        </w:tc>
        <w:tc>
          <w:tcPr>
            <w:tcW w:type="dxa" w:w="1361"/>
            <w:shd w:val="clear" w:color="auto" w:fill="EEF3F8"/>
          </w:tcPr>
          <w:p>
            <w:pPr>
              <w:spacing w:after="20"/>
            </w:pPr>
            <w:r/>
            <w:r>
              <w:rPr>
                <w:b w:val="0"/>
                <w:i w:val="0"/>
                <w:sz w:val="16"/>
              </w:rPr>
              <w:t>§4.5</w:t>
            </w:r>
          </w:p>
        </w:tc>
        <w:tc>
          <w:tcPr>
            <w:tcW w:type="dxa" w:w="4535"/>
            <w:shd w:val="clear" w:color="auto" w:fill="EEF3F8"/>
          </w:tcPr>
          <w:p>
            <w:pPr>
              <w:spacing w:after="20"/>
            </w:pPr>
            <w:r/>
            <w:r>
              <w:rPr>
                <w:b w:val="0"/>
                <w:i w:val="0"/>
                <w:sz w:val="16"/>
              </w:rPr>
              <w:t>LPG–kerosene–charcoal</w:t>
            </w:r>
          </w:p>
        </w:tc>
      </w:tr>
      <w:tr>
        <w:trPr>
          <w:cantSplit/>
        </w:trPr>
        <w:tc>
          <w:tcPr>
            <w:tcW w:type="dxa" w:w="2438"/>
          </w:tcPr>
          <w:p>
            <w:pPr>
              <w:spacing w:after="20"/>
            </w:pPr>
            <w:r/>
            <w:r>
              <w:rPr>
                <w:b w:val="0"/>
                <w:i w:val="0"/>
                <w:sz w:val="16"/>
              </w:rPr>
              <w:t>7 Supply security; balance sheet</w:t>
            </w:r>
          </w:p>
        </w:tc>
        <w:tc>
          <w:tcPr>
            <w:tcW w:type="dxa" w:w="1134"/>
          </w:tcPr>
          <w:p>
            <w:pPr>
              <w:spacing w:after="20"/>
            </w:pPr>
            <w:r/>
            <w:r>
              <w:rPr>
                <w:b w:val="0"/>
                <w:i w:val="0"/>
                <w:sz w:val="16"/>
              </w:rPr>
              <w:t>Partly</w:t>
            </w:r>
          </w:p>
        </w:tc>
        <w:tc>
          <w:tcPr>
            <w:tcW w:type="dxa" w:w="1361"/>
          </w:tcPr>
          <w:p>
            <w:pPr>
              <w:spacing w:after="20"/>
            </w:pPr>
            <w:r/>
            <w:r>
              <w:rPr>
                <w:b w:val="0"/>
                <w:i w:val="0"/>
                <w:sz w:val="16"/>
              </w:rPr>
              <w:t>§10</w:t>
            </w:r>
          </w:p>
        </w:tc>
        <w:tc>
          <w:tcPr>
            <w:tcW w:type="dxa" w:w="4535"/>
          </w:tcPr>
          <w:p>
            <w:pPr>
              <w:spacing w:after="20"/>
            </w:pPr>
            <w:r/>
            <w:r>
              <w:rPr>
                <w:b w:val="0"/>
                <w:i w:val="0"/>
                <w:sz w:val="16"/>
              </w:rPr>
              <w:t>Stock-cover and capacity done; product balance sheet not feasible</w:t>
            </w:r>
          </w:p>
        </w:tc>
      </w:tr>
      <w:tr>
        <w:trPr>
          <w:cantSplit/>
        </w:trPr>
        <w:tc>
          <w:tcPr>
            <w:tcW w:type="dxa" w:w="2438"/>
            <w:shd w:val="clear" w:color="auto" w:fill="EEF3F8"/>
          </w:tcPr>
          <w:p>
            <w:pPr>
              <w:spacing w:after="20"/>
            </w:pPr>
            <w:r/>
            <w:r>
              <w:rPr>
                <w:b w:val="0"/>
                <w:i w:val="0"/>
                <w:sz w:val="16"/>
              </w:rPr>
              <w:t>8 Import dependence</w:t>
            </w:r>
          </w:p>
        </w:tc>
        <w:tc>
          <w:tcPr>
            <w:tcW w:type="dxa" w:w="1134"/>
            <w:shd w:val="clear" w:color="auto" w:fill="EEF3F8"/>
          </w:tcPr>
          <w:p>
            <w:pPr>
              <w:spacing w:after="20"/>
            </w:pPr>
            <w:r/>
            <w:r>
              <w:rPr>
                <w:b w:val="0"/>
                <w:i w:val="0"/>
                <w:sz w:val="16"/>
              </w:rPr>
              <w:t>Yes (structural)</w:t>
            </w:r>
          </w:p>
        </w:tc>
        <w:tc>
          <w:tcPr>
            <w:tcW w:type="dxa" w:w="1361"/>
            <w:shd w:val="clear" w:color="auto" w:fill="EEF3F8"/>
          </w:tcPr>
          <w:p>
            <w:pPr>
              <w:spacing w:after="20"/>
            </w:pPr>
            <w:r/>
            <w:r>
              <w:rPr>
                <w:b w:val="0"/>
                <w:i w:val="0"/>
                <w:sz w:val="16"/>
              </w:rPr>
              <w:t>§6</w:t>
            </w:r>
          </w:p>
        </w:tc>
        <w:tc>
          <w:tcPr>
            <w:tcW w:type="dxa" w:w="4535"/>
            <w:shd w:val="clear" w:color="auto" w:fill="EEF3F8"/>
          </w:tcPr>
          <w:p>
            <w:pPr>
              <w:spacing w:after="20"/>
            </w:pPr>
            <w:r/>
            <w:r>
              <w:rPr>
                <w:b w:val="0"/>
                <w:i w:val="0"/>
                <w:sz w:val="16"/>
              </w:rPr>
              <w:t>Import bill illustration; imports vs demand gap flagged</w:t>
            </w:r>
          </w:p>
        </w:tc>
      </w:tr>
      <w:tr>
        <w:trPr>
          <w:cantSplit/>
        </w:trPr>
        <w:tc>
          <w:tcPr>
            <w:tcW w:type="dxa" w:w="2438"/>
          </w:tcPr>
          <w:p>
            <w:pPr>
              <w:spacing w:after="20"/>
            </w:pPr>
            <w:r/>
            <w:r>
              <w:rPr>
                <w:b w:val="0"/>
                <w:i w:val="0"/>
                <w:sz w:val="16"/>
              </w:rPr>
              <w:t>9 Oil-price pass-through</w:t>
            </w:r>
          </w:p>
        </w:tc>
        <w:tc>
          <w:tcPr>
            <w:tcW w:type="dxa" w:w="1134"/>
          </w:tcPr>
          <w:p>
            <w:pPr>
              <w:spacing w:after="20"/>
            </w:pPr>
            <w:r/>
            <w:r>
              <w:rPr>
                <w:b w:val="0"/>
                <w:i w:val="0"/>
                <w:sz w:val="16"/>
              </w:rPr>
              <w:t>Partly</w:t>
            </w:r>
          </w:p>
        </w:tc>
        <w:tc>
          <w:tcPr>
            <w:tcW w:type="dxa" w:w="1361"/>
          </w:tcPr>
          <w:p>
            <w:pPr>
              <w:spacing w:after="20"/>
            </w:pPr>
            <w:r/>
            <w:r>
              <w:rPr>
                <w:b w:val="0"/>
                <w:i w:val="0"/>
                <w:sz w:val="16"/>
              </w:rPr>
              <w:t>§5.4</w:t>
            </w:r>
          </w:p>
        </w:tc>
        <w:tc>
          <w:tcPr>
            <w:tcW w:type="dxa" w:w="4535"/>
          </w:tcPr>
          <w:p>
            <w:pPr>
              <w:spacing w:after="20"/>
            </w:pPr>
            <w:r/>
            <w:r>
              <w:rPr>
                <w:b w:val="0"/>
                <w:i w:val="0"/>
                <w:sz w:val="16"/>
              </w:rPr>
              <w:t>Two-point; no monthly Brent/FX</w:t>
            </w:r>
          </w:p>
        </w:tc>
      </w:tr>
      <w:tr>
        <w:trPr>
          <w:cantSplit/>
        </w:trPr>
        <w:tc>
          <w:tcPr>
            <w:tcW w:type="dxa" w:w="2438"/>
            <w:shd w:val="clear" w:color="auto" w:fill="EEF3F8"/>
          </w:tcPr>
          <w:p>
            <w:pPr>
              <w:spacing w:after="20"/>
            </w:pPr>
            <w:r/>
            <w:r>
              <w:rPr>
                <w:b w:val="0"/>
                <w:i w:val="0"/>
                <w:sz w:val="16"/>
              </w:rPr>
              <w:t>10 Market outlook report</w:t>
            </w:r>
          </w:p>
        </w:tc>
        <w:tc>
          <w:tcPr>
            <w:tcW w:type="dxa" w:w="1134"/>
            <w:shd w:val="clear" w:color="auto" w:fill="EEF3F8"/>
          </w:tcPr>
          <w:p>
            <w:pPr>
              <w:spacing w:after="20"/>
            </w:pPr>
            <w:r/>
            <w:r>
              <w:rPr>
                <w:b w:val="0"/>
                <w:i w:val="0"/>
                <w:sz w:val="16"/>
              </w:rPr>
              <w:t>Yes</w:t>
            </w:r>
          </w:p>
        </w:tc>
        <w:tc>
          <w:tcPr>
            <w:tcW w:type="dxa" w:w="1361"/>
            <w:shd w:val="clear" w:color="auto" w:fill="EEF3F8"/>
          </w:tcPr>
          <w:p>
            <w:pPr>
              <w:spacing w:after="20"/>
            </w:pPr>
            <w:r/>
            <w:r>
              <w:rPr>
                <w:b w:val="0"/>
                <w:i w:val="0"/>
                <w:sz w:val="16"/>
              </w:rPr>
              <w:t>This report</w:t>
            </w:r>
          </w:p>
        </w:tc>
        <w:tc>
          <w:tcPr>
            <w:tcW w:type="dxa" w:w="4535"/>
            <w:shd w:val="clear" w:color="auto" w:fill="EEF3F8"/>
          </w:tcPr>
          <w:p>
            <w:pPr>
              <w:spacing w:after="20"/>
            </w:pPr>
            <w:r/>
            <w:r>
              <w:rPr>
                <w:b w:val="0"/>
                <w:i w:val="0"/>
                <w:sz w:val="16"/>
              </w:rPr>
              <w:t>Plus 2-page executive brief</w:t>
            </w:r>
          </w:p>
        </w:tc>
      </w:tr>
      <w:tr>
        <w:trPr>
          <w:cantSplit/>
        </w:trPr>
        <w:tc>
          <w:tcPr>
            <w:tcW w:type="dxa" w:w="2438"/>
          </w:tcPr>
          <w:p>
            <w:pPr>
              <w:spacing w:after="20"/>
            </w:pPr>
            <w:r/>
            <w:r>
              <w:rPr>
                <w:b w:val="0"/>
                <w:i w:val="0"/>
                <w:sz w:val="16"/>
              </w:rPr>
              <w:t>11 Infrastructure</w:t>
            </w:r>
          </w:p>
        </w:tc>
        <w:tc>
          <w:tcPr>
            <w:tcW w:type="dxa" w:w="1134"/>
          </w:tcPr>
          <w:p>
            <w:pPr>
              <w:spacing w:after="20"/>
            </w:pPr>
            <w:r/>
            <w:r>
              <w:rPr>
                <w:b w:val="0"/>
                <w:i w:val="0"/>
                <w:sz w:val="16"/>
              </w:rPr>
              <w:t>Yes</w:t>
            </w:r>
          </w:p>
        </w:tc>
        <w:tc>
          <w:tcPr>
            <w:tcW w:type="dxa" w:w="1361"/>
          </w:tcPr>
          <w:p>
            <w:pPr>
              <w:spacing w:after="20"/>
            </w:pPr>
            <w:r/>
            <w:r>
              <w:rPr>
                <w:b w:val="0"/>
                <w:i w:val="0"/>
                <w:sz w:val="16"/>
              </w:rPr>
              <w:t>§11</w:t>
            </w:r>
          </w:p>
        </w:tc>
        <w:tc>
          <w:tcPr>
            <w:tcW w:type="dxa" w:w="4535"/>
          </w:tcPr>
          <w:p>
            <w:pPr>
              <w:spacing w:after="20"/>
            </w:pPr>
            <w:r/>
            <w:r>
              <w:rPr>
                <w:b w:val="0"/>
                <w:i w:val="0"/>
                <w:sz w:val="16"/>
              </w:rPr>
              <w:t>White fuels adequate; LPG gap</w:t>
            </w:r>
          </w:p>
        </w:tc>
      </w:tr>
      <w:tr>
        <w:trPr>
          <w:cantSplit/>
        </w:trPr>
        <w:tc>
          <w:tcPr>
            <w:tcW w:type="dxa" w:w="2438"/>
            <w:shd w:val="clear" w:color="auto" w:fill="EEF3F8"/>
          </w:tcPr>
          <w:p>
            <w:pPr>
              <w:spacing w:after="20"/>
            </w:pPr>
            <w:r/>
            <w:r>
              <w:rPr>
                <w:b w:val="0"/>
                <w:i w:val="0"/>
                <w:sz w:val="16"/>
              </w:rPr>
              <w:t>12 Project economics</w:t>
            </w:r>
          </w:p>
        </w:tc>
        <w:tc>
          <w:tcPr>
            <w:tcW w:type="dxa" w:w="1134"/>
            <w:shd w:val="clear" w:color="auto" w:fill="EEF3F8"/>
          </w:tcPr>
          <w:p>
            <w:pPr>
              <w:spacing w:after="20"/>
            </w:pPr>
            <w:r/>
            <w:r>
              <w:rPr>
                <w:b w:val="0"/>
                <w:i w:val="0"/>
                <w:sz w:val="16"/>
              </w:rPr>
              <w:t>Yes</w:t>
            </w:r>
          </w:p>
        </w:tc>
        <w:tc>
          <w:tcPr>
            <w:tcW w:type="dxa" w:w="1361"/>
            <w:shd w:val="clear" w:color="auto" w:fill="EEF3F8"/>
          </w:tcPr>
          <w:p>
            <w:pPr>
              <w:spacing w:after="20"/>
            </w:pPr>
            <w:r/>
            <w:r>
              <w:rPr>
                <w:b w:val="0"/>
                <w:i w:val="0"/>
                <w:sz w:val="16"/>
              </w:rPr>
              <w:t>§12</w:t>
            </w:r>
          </w:p>
        </w:tc>
        <w:tc>
          <w:tcPr>
            <w:tcW w:type="dxa" w:w="4535"/>
            <w:shd w:val="clear" w:color="auto" w:fill="EEF3F8"/>
          </w:tcPr>
          <w:p>
            <w:pPr>
              <w:spacing w:after="20"/>
            </w:pPr>
            <w:r/>
            <w:r>
              <w:rPr>
                <w:b w:val="0"/>
                <w:i w:val="0"/>
                <w:sz w:val="16"/>
              </w:rPr>
              <w:t>Public-assumption model, Monte Carlo, fiscal cases</w:t>
            </w:r>
          </w:p>
        </w:tc>
      </w:tr>
      <w:tr>
        <w:trPr>
          <w:cantSplit/>
        </w:trPr>
        <w:tc>
          <w:tcPr>
            <w:tcW w:type="dxa" w:w="2438"/>
          </w:tcPr>
          <w:p>
            <w:pPr>
              <w:spacing w:after="20"/>
            </w:pPr>
            <w:r/>
            <w:r>
              <w:rPr>
                <w:b w:val="0"/>
                <w:i w:val="0"/>
                <w:sz w:val="16"/>
              </w:rPr>
              <w:t>13 Risk engine</w:t>
            </w:r>
          </w:p>
        </w:tc>
        <w:tc>
          <w:tcPr>
            <w:tcW w:type="dxa" w:w="1134"/>
          </w:tcPr>
          <w:p>
            <w:pPr>
              <w:spacing w:after="20"/>
            </w:pPr>
            <w:r/>
            <w:r>
              <w:rPr>
                <w:b w:val="0"/>
                <w:i w:val="0"/>
                <w:sz w:val="16"/>
              </w:rPr>
              <w:t>Yes</w:t>
            </w:r>
          </w:p>
        </w:tc>
        <w:tc>
          <w:tcPr>
            <w:tcW w:type="dxa" w:w="1361"/>
          </w:tcPr>
          <w:p>
            <w:pPr>
              <w:spacing w:after="20"/>
            </w:pPr>
            <w:r/>
            <w:r>
              <w:rPr>
                <w:b w:val="0"/>
                <w:i w:val="0"/>
                <w:sz w:val="16"/>
              </w:rPr>
              <w:t>§13</w:t>
            </w:r>
          </w:p>
        </w:tc>
        <w:tc>
          <w:tcPr>
            <w:tcW w:type="dxa" w:w="4535"/>
          </w:tcPr>
          <w:p>
            <w:pPr>
              <w:spacing w:after="20"/>
            </w:pPr>
            <w:r/>
            <w:r>
              <w:rPr>
                <w:b w:val="0"/>
                <w:i w:val="0"/>
                <w:sz w:val="16"/>
              </w:rPr>
              <w:t>Transparent scoring; weight sensitivity</w:t>
            </w:r>
          </w:p>
        </w:tc>
      </w:tr>
      <w:tr>
        <w:trPr>
          <w:cantSplit/>
        </w:trPr>
        <w:tc>
          <w:tcPr>
            <w:tcW w:type="dxa" w:w="2438"/>
            <w:shd w:val="clear" w:color="auto" w:fill="EEF3F8"/>
          </w:tcPr>
          <w:p>
            <w:pPr>
              <w:spacing w:after="20"/>
            </w:pPr>
            <w:r/>
            <w:r>
              <w:rPr>
                <w:b w:val="0"/>
                <w:i w:val="0"/>
                <w:sz w:val="16"/>
              </w:rPr>
              <w:t>Excel model</w:t>
            </w:r>
          </w:p>
        </w:tc>
        <w:tc>
          <w:tcPr>
            <w:tcW w:type="dxa" w:w="1134"/>
            <w:shd w:val="clear" w:color="auto" w:fill="EEF3F8"/>
          </w:tcPr>
          <w:p>
            <w:pPr>
              <w:spacing w:after="20"/>
            </w:pPr>
            <w:r/>
            <w:r>
              <w:rPr>
                <w:b w:val="0"/>
                <w:i w:val="0"/>
                <w:sz w:val="16"/>
              </w:rPr>
              <w:t>Yes</w:t>
            </w:r>
          </w:p>
        </w:tc>
        <w:tc>
          <w:tcPr>
            <w:tcW w:type="dxa" w:w="1361"/>
            <w:shd w:val="clear" w:color="auto" w:fill="EEF3F8"/>
          </w:tcPr>
          <w:p>
            <w:pPr>
              <w:spacing w:after="20"/>
            </w:pPr>
            <w:r/>
            <w:r>
              <w:rPr>
                <w:b w:val="0"/>
                <w:i w:val="0"/>
                <w:sz w:val="16"/>
              </w:rPr>
              <w:t>Excel file</w:t>
            </w:r>
          </w:p>
        </w:tc>
        <w:tc>
          <w:tcPr>
            <w:tcW w:type="dxa" w:w="4535"/>
            <w:shd w:val="clear" w:color="auto" w:fill="EEF3F8"/>
          </w:tcPr>
          <w:p>
            <w:pPr>
              <w:spacing w:after="20"/>
            </w:pPr>
            <w:r/>
            <w:r>
              <w:rPr>
                <w:b w:val="0"/>
                <w:i w:val="0"/>
                <w:sz w:val="16"/>
              </w:rPr>
              <w:t>Live formulas; verified against Python</w:t>
            </w:r>
          </w:p>
        </w:tc>
      </w:tr>
      <w:tr>
        <w:trPr>
          <w:cantSplit/>
        </w:trPr>
        <w:tc>
          <w:tcPr>
            <w:tcW w:type="dxa" w:w="2438"/>
          </w:tcPr>
          <w:p>
            <w:pPr>
              <w:spacing w:after="20"/>
            </w:pPr>
            <w:r/>
            <w:r>
              <w:rPr>
                <w:b w:val="0"/>
                <w:i w:val="0"/>
                <w:sz w:val="16"/>
              </w:rPr>
              <w:t>Data dictionary, data quality, source reconciliation</w:t>
            </w:r>
          </w:p>
        </w:tc>
        <w:tc>
          <w:tcPr>
            <w:tcW w:type="dxa" w:w="1134"/>
          </w:tcPr>
          <w:p>
            <w:pPr>
              <w:spacing w:after="20"/>
            </w:pPr>
            <w:r/>
            <w:r>
              <w:rPr>
                <w:b w:val="0"/>
                <w:i w:val="0"/>
                <w:sz w:val="16"/>
              </w:rPr>
              <w:t>Yes</w:t>
            </w:r>
          </w:p>
        </w:tc>
        <w:tc>
          <w:tcPr>
            <w:tcW w:type="dxa" w:w="1361"/>
          </w:tcPr>
          <w:p>
            <w:pPr>
              <w:spacing w:after="20"/>
            </w:pPr>
            <w:r/>
            <w:r>
              <w:rPr>
                <w:b w:val="0"/>
                <w:i w:val="0"/>
                <w:sz w:val="16"/>
              </w:rPr>
              <w:t>Repository; §3</w:t>
            </w:r>
          </w:p>
        </w:tc>
        <w:tc>
          <w:tcPr>
            <w:tcW w:type="dxa" w:w="4535"/>
          </w:tcPr>
          <w:p>
            <w:pPr>
              <w:spacing w:after="20"/>
            </w:pPr>
            <w:r/>
            <w:r>
              <w:rPr>
                <w:b w:val="0"/>
                <w:i w:val="0"/>
                <w:sz w:val="16"/>
              </w:rPr>
              <w:t>Includes label-error finding</w:t>
            </w:r>
          </w:p>
        </w:tc>
      </w:tr>
      <w:tr>
        <w:trPr>
          <w:cantSplit/>
        </w:trPr>
        <w:tc>
          <w:tcPr>
            <w:tcW w:type="dxa" w:w="2438"/>
            <w:shd w:val="clear" w:color="auto" w:fill="EEF3F8"/>
          </w:tcPr>
          <w:p>
            <w:pPr>
              <w:spacing w:after="20"/>
            </w:pPr>
            <w:r/>
            <w:r>
              <w:rPr>
                <w:b w:val="0"/>
                <w:i w:val="0"/>
                <w:sz w:val="16"/>
              </w:rPr>
              <w:t>Interactive dashboard (HTML)</w:t>
            </w:r>
          </w:p>
        </w:tc>
        <w:tc>
          <w:tcPr>
            <w:tcW w:type="dxa" w:w="1134"/>
            <w:shd w:val="clear" w:color="auto" w:fill="EEF3F8"/>
          </w:tcPr>
          <w:p>
            <w:pPr>
              <w:spacing w:after="20"/>
            </w:pPr>
            <w:r/>
            <w:r>
              <w:rPr>
                <w:b w:val="0"/>
                <w:i w:val="0"/>
                <w:sz w:val="16"/>
              </w:rPr>
              <w:t>Yes</w:t>
            </w:r>
          </w:p>
        </w:tc>
        <w:tc>
          <w:tcPr>
            <w:tcW w:type="dxa" w:w="1361"/>
            <w:shd w:val="clear" w:color="auto" w:fill="EEF3F8"/>
          </w:tcPr>
          <w:p>
            <w:pPr>
              <w:spacing w:after="20"/>
            </w:pPr>
            <w:r/>
            <w:r>
              <w:rPr>
                <w:b w:val="0"/>
                <w:i w:val="0"/>
                <w:sz w:val="16"/>
              </w:rPr>
              <w:t>—</w:t>
            </w:r>
          </w:p>
        </w:tc>
        <w:tc>
          <w:tcPr>
            <w:tcW w:type="dxa" w:w="4535"/>
            <w:shd w:val="clear" w:color="auto" w:fill="EEF3F8"/>
          </w:tcPr>
          <w:p>
            <w:pPr>
              <w:spacing w:after="20"/>
            </w:pPr>
            <w:r/>
            <w:r>
              <w:rPr>
                <w:b w:val="0"/>
                <w:i w:val="0"/>
                <w:sz w:val="16"/>
              </w:rPr>
              <w:t>Delivered separately; Streamlit and SQL not built</w:t>
            </w:r>
          </w:p>
        </w:tc>
      </w:tr>
    </w:tbl>
    <w:p>
      <w:pPr>
        <w:spacing w:after="40"/>
      </w:pPr>
    </w:p>
    <w:p>
      <w:pPr>
        <w:pStyle w:val="Heading1"/>
      </w:pPr>
      <w:r>
        <w:t>Glossary</w:t>
      </w:r>
    </w:p>
    <w:tbl>
      <w:tblPr>
        <w:tblStyle w:val="TableGrid"/>
        <w:tblW w:type="auto" w:w="0"/>
        <w:jc w:val="center"/>
        <w:tblLook w:firstColumn="1" w:firstRow="1" w:lastColumn="0" w:lastRow="0" w:noHBand="0" w:noVBand="1" w:val="04A0"/>
      </w:tblPr>
      <w:tblGrid>
        <w:gridCol w:w="4706"/>
        <w:gridCol w:w="4706"/>
      </w:tblGrid>
      <w:tr>
        <w:trPr>
          <w:tblHeader w:val="true"/>
          <w:cantSplit/>
        </w:trPr>
        <w:tc>
          <w:tcPr>
            <w:tcW w:type="dxa" w:w="1984"/>
            <w:shd w:val="clear" w:color="auto" w:fill="1F4E79"/>
          </w:tcPr>
          <w:p>
            <w:pPr>
              <w:spacing w:after="20"/>
            </w:pPr>
            <w:r/>
            <w:r>
              <w:rPr>
                <w:b/>
                <w:color w:val="FFFFFF"/>
                <w:sz w:val="17"/>
              </w:rPr>
              <w:t>Term</w:t>
            </w:r>
          </w:p>
        </w:tc>
        <w:tc>
          <w:tcPr>
            <w:tcW w:type="dxa" w:w="7370"/>
            <w:shd w:val="clear" w:color="auto" w:fill="1F4E79"/>
          </w:tcPr>
          <w:p>
            <w:pPr>
              <w:spacing w:after="20"/>
            </w:pPr>
            <w:r/>
            <w:r>
              <w:rPr>
                <w:b/>
                <w:color w:val="FFFFFF"/>
                <w:sz w:val="17"/>
              </w:rPr>
              <w:t>Meaning</w:t>
            </w:r>
          </w:p>
        </w:tc>
      </w:tr>
      <w:tr>
        <w:trPr>
          <w:cantSplit/>
        </w:trPr>
        <w:tc>
          <w:tcPr>
            <w:tcW w:type="dxa" w:w="1984"/>
          </w:tcPr>
          <w:p>
            <w:pPr>
              <w:spacing w:after="20"/>
            </w:pPr>
            <w:r/>
            <w:r>
              <w:rPr>
                <w:b w:val="0"/>
                <w:i w:val="0"/>
                <w:sz w:val="17"/>
              </w:rPr>
              <w:t>AGO</w:t>
            </w:r>
          </w:p>
        </w:tc>
        <w:tc>
          <w:tcPr>
            <w:tcW w:type="dxa" w:w="7370"/>
          </w:tcPr>
          <w:p>
            <w:pPr>
              <w:spacing w:after="20"/>
            </w:pPr>
            <w:r/>
            <w:r>
              <w:rPr>
                <w:b w:val="0"/>
                <w:i w:val="0"/>
                <w:sz w:val="17"/>
              </w:rPr>
              <w:t>Automotive gas oil (diesel)</w:t>
            </w:r>
          </w:p>
        </w:tc>
      </w:tr>
      <w:tr>
        <w:trPr>
          <w:cantSplit/>
        </w:trPr>
        <w:tc>
          <w:tcPr>
            <w:tcW w:type="dxa" w:w="1984"/>
            <w:shd w:val="clear" w:color="auto" w:fill="EEF3F8"/>
          </w:tcPr>
          <w:p>
            <w:pPr>
              <w:spacing w:after="20"/>
            </w:pPr>
            <w:r/>
            <w:r>
              <w:rPr>
                <w:b w:val="0"/>
                <w:i w:val="0"/>
                <w:sz w:val="17"/>
              </w:rPr>
              <w:t>PMS</w:t>
            </w:r>
          </w:p>
        </w:tc>
        <w:tc>
          <w:tcPr>
            <w:tcW w:type="dxa" w:w="7370"/>
            <w:shd w:val="clear" w:color="auto" w:fill="EEF3F8"/>
          </w:tcPr>
          <w:p>
            <w:pPr>
              <w:spacing w:after="20"/>
            </w:pPr>
            <w:r/>
            <w:r>
              <w:rPr>
                <w:b w:val="0"/>
                <w:i w:val="0"/>
                <w:sz w:val="17"/>
              </w:rPr>
              <w:t>Premium motor spirit (petrol)</w:t>
            </w:r>
          </w:p>
        </w:tc>
      </w:tr>
      <w:tr>
        <w:trPr>
          <w:cantSplit/>
        </w:trPr>
        <w:tc>
          <w:tcPr>
            <w:tcW w:type="dxa" w:w="1984"/>
          </w:tcPr>
          <w:p>
            <w:pPr>
              <w:spacing w:after="20"/>
            </w:pPr>
            <w:r/>
            <w:r>
              <w:rPr>
                <w:b w:val="0"/>
                <w:i w:val="0"/>
                <w:sz w:val="17"/>
              </w:rPr>
              <w:t>IK</w:t>
            </w:r>
          </w:p>
        </w:tc>
        <w:tc>
          <w:tcPr>
            <w:tcW w:type="dxa" w:w="7370"/>
          </w:tcPr>
          <w:p>
            <w:pPr>
              <w:spacing w:after="20"/>
            </w:pPr>
            <w:r/>
            <w:r>
              <w:rPr>
                <w:b w:val="0"/>
                <w:i w:val="0"/>
                <w:sz w:val="17"/>
              </w:rPr>
              <w:t>Illuminating kerosene</w:t>
            </w:r>
          </w:p>
        </w:tc>
      </w:tr>
      <w:tr>
        <w:trPr>
          <w:cantSplit/>
        </w:trPr>
        <w:tc>
          <w:tcPr>
            <w:tcW w:type="dxa" w:w="1984"/>
            <w:shd w:val="clear" w:color="auto" w:fill="EEF3F8"/>
          </w:tcPr>
          <w:p>
            <w:pPr>
              <w:spacing w:after="20"/>
            </w:pPr>
            <w:r/>
            <w:r>
              <w:rPr>
                <w:b w:val="0"/>
                <w:i w:val="0"/>
                <w:sz w:val="17"/>
              </w:rPr>
              <w:t>LPG</w:t>
            </w:r>
          </w:p>
        </w:tc>
        <w:tc>
          <w:tcPr>
            <w:tcW w:type="dxa" w:w="7370"/>
            <w:shd w:val="clear" w:color="auto" w:fill="EEF3F8"/>
          </w:tcPr>
          <w:p>
            <w:pPr>
              <w:spacing w:after="20"/>
            </w:pPr>
            <w:r/>
            <w:r>
              <w:rPr>
                <w:b w:val="0"/>
                <w:i w:val="0"/>
                <w:sz w:val="17"/>
              </w:rPr>
              <w:t>Liquefied petroleum gas</w:t>
            </w:r>
          </w:p>
        </w:tc>
      </w:tr>
      <w:tr>
        <w:trPr>
          <w:cantSplit/>
        </w:trPr>
        <w:tc>
          <w:tcPr>
            <w:tcW w:type="dxa" w:w="1984"/>
          </w:tcPr>
          <w:p>
            <w:pPr>
              <w:spacing w:after="20"/>
            </w:pPr>
            <w:r/>
            <w:r>
              <w:rPr>
                <w:b w:val="0"/>
                <w:i w:val="0"/>
                <w:sz w:val="17"/>
              </w:rPr>
              <w:t>kt; Mt</w:t>
            </w:r>
          </w:p>
        </w:tc>
        <w:tc>
          <w:tcPr>
            <w:tcW w:type="dxa" w:w="7370"/>
          </w:tcPr>
          <w:p>
            <w:pPr>
              <w:spacing w:after="20"/>
            </w:pPr>
            <w:r/>
            <w:r>
              <w:rPr>
                <w:b w:val="0"/>
                <w:i w:val="0"/>
                <w:sz w:val="17"/>
              </w:rPr>
              <w:t>Thousand tonnes; million tonnes</w:t>
            </w:r>
          </w:p>
        </w:tc>
      </w:tr>
      <w:tr>
        <w:trPr>
          <w:cantSplit/>
        </w:trPr>
        <w:tc>
          <w:tcPr>
            <w:tcW w:type="dxa" w:w="1984"/>
            <w:shd w:val="clear" w:color="auto" w:fill="EEF3F8"/>
          </w:tcPr>
          <w:p>
            <w:pPr>
              <w:spacing w:after="20"/>
            </w:pPr>
            <w:r/>
            <w:r>
              <w:rPr>
                <w:b w:val="0"/>
                <w:i w:val="0"/>
                <w:sz w:val="17"/>
              </w:rPr>
              <w:t>ML</w:t>
            </w:r>
          </w:p>
        </w:tc>
        <w:tc>
          <w:tcPr>
            <w:tcW w:type="dxa" w:w="7370"/>
            <w:shd w:val="clear" w:color="auto" w:fill="EEF3F8"/>
          </w:tcPr>
          <w:p>
            <w:pPr>
              <w:spacing w:after="20"/>
            </w:pPr>
            <w:r/>
            <w:r>
              <w:rPr>
                <w:b w:val="0"/>
                <w:i w:val="0"/>
                <w:sz w:val="17"/>
              </w:rPr>
              <w:t>Million litres</w:t>
            </w:r>
          </w:p>
        </w:tc>
      </w:tr>
      <w:tr>
        <w:trPr>
          <w:cantSplit/>
        </w:trPr>
        <w:tc>
          <w:tcPr>
            <w:tcW w:type="dxa" w:w="1984"/>
          </w:tcPr>
          <w:p>
            <w:pPr>
              <w:spacing w:after="20"/>
            </w:pPr>
            <w:r/>
            <w:r>
              <w:rPr>
                <w:b w:val="0"/>
                <w:i w:val="0"/>
                <w:sz w:val="17"/>
              </w:rPr>
              <w:t>PDP</w:t>
            </w:r>
          </w:p>
        </w:tc>
        <w:tc>
          <w:tcPr>
            <w:tcW w:type="dxa" w:w="7370"/>
          </w:tcPr>
          <w:p>
            <w:pPr>
              <w:spacing w:after="20"/>
            </w:pPr>
            <w:r/>
            <w:r>
              <w:rPr>
                <w:b w:val="0"/>
                <w:i w:val="0"/>
                <w:sz w:val="17"/>
              </w:rPr>
              <w:t>EPRA Petroleum Development Plan 2025–2029</w:t>
            </w:r>
          </w:p>
        </w:tc>
      </w:tr>
      <w:tr>
        <w:trPr>
          <w:cantSplit/>
        </w:trPr>
        <w:tc>
          <w:tcPr>
            <w:tcW w:type="dxa" w:w="1984"/>
            <w:shd w:val="clear" w:color="auto" w:fill="EEF3F8"/>
          </w:tcPr>
          <w:p>
            <w:pPr>
              <w:spacing w:after="20"/>
            </w:pPr>
            <w:r/>
            <w:r>
              <w:rPr>
                <w:b w:val="0"/>
                <w:i w:val="0"/>
                <w:sz w:val="17"/>
              </w:rPr>
              <w:t>EPRA</w:t>
            </w:r>
          </w:p>
        </w:tc>
        <w:tc>
          <w:tcPr>
            <w:tcW w:type="dxa" w:w="7370"/>
            <w:shd w:val="clear" w:color="auto" w:fill="EEF3F8"/>
          </w:tcPr>
          <w:p>
            <w:pPr>
              <w:spacing w:after="20"/>
            </w:pPr>
            <w:r/>
            <w:r>
              <w:rPr>
                <w:b w:val="0"/>
                <w:i w:val="0"/>
                <w:sz w:val="17"/>
              </w:rPr>
              <w:t>Energy and Petroleum Regulatory Authority</w:t>
            </w:r>
          </w:p>
        </w:tc>
      </w:tr>
      <w:tr>
        <w:trPr>
          <w:cantSplit/>
        </w:trPr>
        <w:tc>
          <w:tcPr>
            <w:tcW w:type="dxa" w:w="1984"/>
          </w:tcPr>
          <w:p>
            <w:pPr>
              <w:spacing w:after="20"/>
            </w:pPr>
            <w:r/>
            <w:r>
              <w:rPr>
                <w:b w:val="0"/>
                <w:i w:val="0"/>
                <w:sz w:val="17"/>
              </w:rPr>
              <w:t>KNBS; LEI</w:t>
            </w:r>
          </w:p>
        </w:tc>
        <w:tc>
          <w:tcPr>
            <w:tcW w:type="dxa" w:w="7370"/>
          </w:tcPr>
          <w:p>
            <w:pPr>
              <w:spacing w:after="20"/>
            </w:pPr>
            <w:r/>
            <w:r>
              <w:rPr>
                <w:b w:val="0"/>
                <w:i w:val="0"/>
                <w:sz w:val="17"/>
              </w:rPr>
              <w:t>Kenya National Bureau of Statistics; Leading Economic Indicators</w:t>
            </w:r>
          </w:p>
        </w:tc>
      </w:tr>
      <w:tr>
        <w:trPr>
          <w:cantSplit/>
        </w:trPr>
        <w:tc>
          <w:tcPr>
            <w:tcW w:type="dxa" w:w="1984"/>
            <w:shd w:val="clear" w:color="auto" w:fill="EEF3F8"/>
          </w:tcPr>
          <w:p>
            <w:pPr>
              <w:spacing w:after="20"/>
            </w:pPr>
            <w:r/>
            <w:r>
              <w:rPr>
                <w:b w:val="0"/>
                <w:i w:val="0"/>
                <w:sz w:val="17"/>
              </w:rPr>
              <w:t>KPC; KPRL; KOT2</w:t>
            </w:r>
          </w:p>
        </w:tc>
        <w:tc>
          <w:tcPr>
            <w:tcW w:type="dxa" w:w="7370"/>
            <w:shd w:val="clear" w:color="auto" w:fill="EEF3F8"/>
          </w:tcPr>
          <w:p>
            <w:pPr>
              <w:spacing w:after="20"/>
            </w:pPr>
            <w:r/>
            <w:r>
              <w:rPr>
                <w:b w:val="0"/>
                <w:i w:val="0"/>
                <w:sz w:val="17"/>
              </w:rPr>
              <w:t>Kenya Pipeline Company; Kenya Petroleum Refineries Ltd; Kipevu Oil Terminal 2</w:t>
            </w:r>
          </w:p>
        </w:tc>
      </w:tr>
      <w:tr>
        <w:trPr>
          <w:cantSplit/>
        </w:trPr>
        <w:tc>
          <w:tcPr>
            <w:tcW w:type="dxa" w:w="1984"/>
          </w:tcPr>
          <w:p>
            <w:pPr>
              <w:spacing w:after="20"/>
            </w:pPr>
            <w:r/>
            <w:r>
              <w:rPr>
                <w:b w:val="0"/>
                <w:i w:val="0"/>
                <w:sz w:val="17"/>
              </w:rPr>
              <w:t>G-to-G</w:t>
            </w:r>
          </w:p>
        </w:tc>
        <w:tc>
          <w:tcPr>
            <w:tcW w:type="dxa" w:w="7370"/>
          </w:tcPr>
          <w:p>
            <w:pPr>
              <w:spacing w:after="20"/>
            </w:pPr>
            <w:r/>
            <w:r>
              <w:rPr>
                <w:b w:val="0"/>
                <w:i w:val="0"/>
                <w:sz w:val="17"/>
              </w:rPr>
              <w:t>Government-to-government fuel supply arrangement</w:t>
            </w:r>
          </w:p>
        </w:tc>
      </w:tr>
      <w:tr>
        <w:trPr>
          <w:cantSplit/>
        </w:trPr>
        <w:tc>
          <w:tcPr>
            <w:tcW w:type="dxa" w:w="1984"/>
            <w:shd w:val="clear" w:color="auto" w:fill="EEF3F8"/>
          </w:tcPr>
          <w:p>
            <w:pPr>
              <w:spacing w:after="20"/>
            </w:pPr>
            <w:r/>
            <w:r>
              <w:rPr>
                <w:b w:val="0"/>
                <w:i w:val="0"/>
                <w:sz w:val="17"/>
              </w:rPr>
              <w:t>OMC</w:t>
            </w:r>
          </w:p>
        </w:tc>
        <w:tc>
          <w:tcPr>
            <w:tcW w:type="dxa" w:w="7370"/>
            <w:shd w:val="clear" w:color="auto" w:fill="EEF3F8"/>
          </w:tcPr>
          <w:p>
            <w:pPr>
              <w:spacing w:after="20"/>
            </w:pPr>
            <w:r/>
            <w:r>
              <w:rPr>
                <w:b w:val="0"/>
                <w:i w:val="0"/>
                <w:sz w:val="17"/>
              </w:rPr>
              <w:t>Oil marketing company</w:t>
            </w:r>
          </w:p>
        </w:tc>
      </w:tr>
      <w:tr>
        <w:trPr>
          <w:cantSplit/>
        </w:trPr>
        <w:tc>
          <w:tcPr>
            <w:tcW w:type="dxa" w:w="1984"/>
          </w:tcPr>
          <w:p>
            <w:pPr>
              <w:spacing w:after="20"/>
            </w:pPr>
            <w:r/>
            <w:r>
              <w:rPr>
                <w:b w:val="0"/>
                <w:i w:val="0"/>
                <w:sz w:val="17"/>
              </w:rPr>
              <w:t>sMAPE; MASE</w:t>
            </w:r>
          </w:p>
        </w:tc>
        <w:tc>
          <w:tcPr>
            <w:tcW w:type="dxa" w:w="7370"/>
          </w:tcPr>
          <w:p>
            <w:pPr>
              <w:spacing w:after="20"/>
            </w:pPr>
            <w:r/>
            <w:r>
              <w:rPr>
                <w:b w:val="0"/>
                <w:i w:val="0"/>
                <w:sz w:val="17"/>
              </w:rPr>
              <w:t>Symmetric mean absolute percentage error; mean absolute scaled error</w:t>
            </w:r>
          </w:p>
        </w:tc>
      </w:tr>
      <w:tr>
        <w:trPr>
          <w:cantSplit/>
        </w:trPr>
        <w:tc>
          <w:tcPr>
            <w:tcW w:type="dxa" w:w="1984"/>
            <w:shd w:val="clear" w:color="auto" w:fill="EEF3F8"/>
          </w:tcPr>
          <w:p>
            <w:pPr>
              <w:spacing w:after="20"/>
            </w:pPr>
            <w:r/>
            <w:r>
              <w:rPr>
                <w:b w:val="0"/>
                <w:i w:val="0"/>
                <w:sz w:val="17"/>
              </w:rPr>
              <w:t>NPV10; IRR</w:t>
            </w:r>
          </w:p>
        </w:tc>
        <w:tc>
          <w:tcPr>
            <w:tcW w:type="dxa" w:w="7370"/>
            <w:shd w:val="clear" w:color="auto" w:fill="EEF3F8"/>
          </w:tcPr>
          <w:p>
            <w:pPr>
              <w:spacing w:after="20"/>
            </w:pPr>
            <w:r/>
            <w:r>
              <w:rPr>
                <w:b w:val="0"/>
                <w:i w:val="0"/>
                <w:sz w:val="17"/>
              </w:rPr>
              <w:t>Net present value at a 10% discount rate; internal rate of return</w:t>
            </w:r>
          </w:p>
        </w:tc>
      </w:tr>
      <w:tr>
        <w:trPr>
          <w:cantSplit/>
        </w:trPr>
        <w:tc>
          <w:tcPr>
            <w:tcW w:type="dxa" w:w="1984"/>
          </w:tcPr>
          <w:p>
            <w:pPr>
              <w:spacing w:after="20"/>
            </w:pPr>
            <w:r/>
            <w:r>
              <w:rPr>
                <w:b w:val="0"/>
                <w:i w:val="0"/>
                <w:sz w:val="17"/>
              </w:rPr>
              <w:t>Prediction interval</w:t>
            </w:r>
          </w:p>
        </w:tc>
        <w:tc>
          <w:tcPr>
            <w:tcW w:type="dxa" w:w="7370"/>
          </w:tcPr>
          <w:p>
            <w:pPr>
              <w:spacing w:after="20"/>
            </w:pPr>
            <w:r/>
            <w:r>
              <w:rPr>
                <w:b w:val="0"/>
                <w:i w:val="0"/>
                <w:sz w:val="17"/>
              </w:rPr>
              <w:t>Range expected to contain a future observation with the stated probability</w:t>
            </w:r>
          </w:p>
        </w:tc>
      </w:tr>
      <w:tr>
        <w:trPr>
          <w:cantSplit/>
        </w:trPr>
        <w:tc>
          <w:tcPr>
            <w:tcW w:type="dxa" w:w="1984"/>
            <w:shd w:val="clear" w:color="auto" w:fill="EEF3F8"/>
          </w:tcPr>
          <w:p>
            <w:pPr>
              <w:spacing w:after="20"/>
            </w:pPr>
            <w:r/>
            <w:r>
              <w:rPr>
                <w:b w:val="0"/>
                <w:i w:val="0"/>
                <w:sz w:val="17"/>
              </w:rPr>
              <w:t>Pass-through</w:t>
            </w:r>
          </w:p>
        </w:tc>
        <w:tc>
          <w:tcPr>
            <w:tcW w:type="dxa" w:w="7370"/>
            <w:shd w:val="clear" w:color="auto" w:fill="EEF3F8"/>
          </w:tcPr>
          <w:p>
            <w:pPr>
              <w:spacing w:after="20"/>
            </w:pPr>
            <w:r/>
            <w:r>
              <w:rPr>
                <w:b w:val="0"/>
                <w:i w:val="0"/>
                <w:sz w:val="17"/>
              </w:rPr>
              <w:t>Share of an input-cost change that appears in the pump price</w:t>
            </w:r>
          </w:p>
        </w:tc>
      </w:tr>
    </w:tbl>
    <w:p>
      <w:pPr>
        <w:spacing w:after="40"/>
      </w:pPr>
    </w:p>
    <w:p>
      <w:r>
        <w:br w:type="page"/>
      </w:r>
    </w:p>
    <w:p>
      <w:pPr>
        <w:pStyle w:val="Heading1"/>
      </w:pPr>
      <w:r>
        <w:t>Annex A. Monthly consumption data (relabelled, kt)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cantSplit/>
        </w:trPr>
        <w:tc>
          <w:tcPr>
            <w:tcW w:type="dxa" w:w="1134"/>
            <w:shd w:val="clear" w:color="auto" w:fill="1F4E79"/>
          </w:tcPr>
          <w:p>
            <w:pPr>
              <w:spacing w:after="20"/>
            </w:pPr>
            <w:r/>
            <w:r>
              <w:rPr>
                <w:b/>
                <w:color w:val="FFFFFF"/>
                <w:sz w:val="16"/>
              </w:rPr>
              <w:t>Month</w:t>
            </w:r>
          </w:p>
        </w:tc>
        <w:tc>
          <w:tcPr>
            <w:tcW w:type="dxa" w:w="1247"/>
            <w:shd w:val="clear" w:color="auto" w:fill="1F4E79"/>
          </w:tcPr>
          <w:p>
            <w:pPr>
              <w:spacing w:after="20"/>
            </w:pPr>
            <w:r/>
            <w:r>
              <w:rPr>
                <w:b/>
                <w:color w:val="FFFFFF"/>
                <w:sz w:val="16"/>
              </w:rPr>
              <w:t>Diesel</w:t>
            </w:r>
          </w:p>
        </w:tc>
        <w:tc>
          <w:tcPr>
            <w:tcW w:type="dxa" w:w="1247"/>
            <w:shd w:val="clear" w:color="auto" w:fill="1F4E79"/>
          </w:tcPr>
          <w:p>
            <w:pPr>
              <w:spacing w:after="20"/>
            </w:pPr>
            <w:r/>
            <w:r>
              <w:rPr>
                <w:b/>
                <w:color w:val="FFFFFF"/>
                <w:sz w:val="16"/>
              </w:rPr>
              <w:t>Petrol</w:t>
            </w:r>
          </w:p>
        </w:tc>
        <w:tc>
          <w:tcPr>
            <w:tcW w:type="dxa" w:w="1134"/>
            <w:shd w:val="clear" w:color="auto" w:fill="1F4E79"/>
          </w:tcPr>
          <w:p>
            <w:pPr>
              <w:spacing w:after="20"/>
            </w:pPr>
            <w:r/>
            <w:r>
              <w:rPr>
                <w:b/>
                <w:color w:val="FFFFFF"/>
                <w:sz w:val="16"/>
              </w:rPr>
              <w:t>LPG</w:t>
            </w:r>
          </w:p>
        </w:tc>
        <w:tc>
          <w:tcPr>
            <w:tcW w:type="dxa" w:w="1134"/>
            <w:shd w:val="clear" w:color="auto" w:fill="1F4E79"/>
          </w:tcPr>
          <w:p>
            <w:pPr>
              <w:spacing w:after="20"/>
            </w:pPr>
            <w:r/>
            <w:r>
              <w:rPr>
                <w:b/>
                <w:color w:val="FFFFFF"/>
                <w:sz w:val="16"/>
              </w:rPr>
              <w:t>Jet*</w:t>
            </w:r>
          </w:p>
        </w:tc>
        <w:tc>
          <w:tcPr>
            <w:tcW w:type="dxa" w:w="1247"/>
            <w:shd w:val="clear" w:color="auto" w:fill="1F4E79"/>
          </w:tcPr>
          <w:p>
            <w:pPr>
              <w:spacing w:after="20"/>
            </w:pPr>
            <w:r/>
            <w:r>
              <w:rPr>
                <w:b/>
                <w:color w:val="FFFFFF"/>
                <w:sz w:val="16"/>
              </w:rPr>
              <w:t>Fuel oil*</w:t>
            </w:r>
          </w:p>
        </w:tc>
        <w:tc>
          <w:tcPr>
            <w:tcW w:type="dxa" w:w="1247"/>
            <w:shd w:val="clear" w:color="auto" w:fill="1F4E79"/>
          </w:tcPr>
          <w:p>
            <w:pPr>
              <w:spacing w:after="20"/>
            </w:pPr>
            <w:r/>
            <w:r>
              <w:rPr>
                <w:b/>
                <w:color w:val="FFFFFF"/>
                <w:sz w:val="16"/>
              </w:rPr>
              <w:t>Kerosene</w:t>
            </w:r>
          </w:p>
        </w:tc>
        <w:tc>
          <w:tcPr>
            <w:tcW w:type="dxa" w:w="1247"/>
            <w:shd w:val="clear" w:color="auto" w:fill="1F4E79"/>
          </w:tcPr>
          <w:p>
            <w:pPr>
              <w:spacing w:after="20"/>
            </w:pPr>
            <w:r/>
            <w:r>
              <w:rPr>
                <w:b/>
                <w:color w:val="FFFFFF"/>
                <w:sz w:val="16"/>
              </w:rPr>
              <w:t>Total</w:t>
            </w:r>
          </w:p>
        </w:tc>
      </w:tr>
      <w:tr>
        <w:trPr>
          <w:cantSplit/>
        </w:trPr>
        <w:tc>
          <w:tcPr>
            <w:tcW w:type="dxa" w:w="1134"/>
          </w:tcPr>
          <w:p>
            <w:pPr>
              <w:spacing w:after="20"/>
            </w:pPr>
            <w:r/>
            <w:r>
              <w:rPr>
                <w:b w:val="0"/>
                <w:i w:val="0"/>
                <w:sz w:val="16"/>
              </w:rPr>
              <w:t>Jan-24</w:t>
            </w:r>
          </w:p>
        </w:tc>
        <w:tc>
          <w:tcPr>
            <w:tcW w:type="dxa" w:w="1247"/>
          </w:tcPr>
          <w:p>
            <w:pPr>
              <w:spacing w:after="20"/>
              <w:jc w:val="right"/>
            </w:pPr>
            <w:r/>
            <w:r>
              <w:rPr>
                <w:b w:val="0"/>
                <w:i w:val="0"/>
                <w:sz w:val="16"/>
              </w:rPr>
              <w:t>177.1</w:t>
            </w:r>
          </w:p>
        </w:tc>
        <w:tc>
          <w:tcPr>
            <w:tcW w:type="dxa" w:w="1247"/>
          </w:tcPr>
          <w:p>
            <w:pPr>
              <w:spacing w:after="20"/>
              <w:jc w:val="right"/>
            </w:pPr>
            <w:r/>
            <w:r>
              <w:rPr>
                <w:b w:val="0"/>
                <w:i w:val="0"/>
                <w:sz w:val="16"/>
              </w:rPr>
              <w:t>123.2</w:t>
            </w:r>
          </w:p>
        </w:tc>
        <w:tc>
          <w:tcPr>
            <w:tcW w:type="dxa" w:w="1134"/>
          </w:tcPr>
          <w:p>
            <w:pPr>
              <w:spacing w:after="20"/>
              <w:jc w:val="right"/>
            </w:pPr>
            <w:r/>
            <w:r>
              <w:rPr>
                <w:b w:val="0"/>
                <w:i w:val="0"/>
                <w:sz w:val="16"/>
              </w:rPr>
              <w:t>32.5</w:t>
            </w:r>
          </w:p>
        </w:tc>
        <w:tc>
          <w:tcPr>
            <w:tcW w:type="dxa" w:w="1134"/>
          </w:tcPr>
          <w:p>
            <w:pPr>
              <w:spacing w:after="20"/>
              <w:jc w:val="right"/>
            </w:pPr>
            <w:r/>
            <w:r>
              <w:rPr>
                <w:b w:val="0"/>
                <w:i w:val="0"/>
                <w:sz w:val="16"/>
              </w:rPr>
              <w:t>60.9</w:t>
            </w:r>
          </w:p>
        </w:tc>
        <w:tc>
          <w:tcPr>
            <w:tcW w:type="dxa" w:w="1247"/>
          </w:tcPr>
          <w:p>
            <w:pPr>
              <w:spacing w:after="20"/>
              <w:jc w:val="right"/>
            </w:pPr>
            <w:r/>
            <w:r>
              <w:rPr>
                <w:b w:val="0"/>
                <w:i w:val="0"/>
                <w:sz w:val="16"/>
              </w:rPr>
              <w:t>17.4</w:t>
            </w:r>
          </w:p>
        </w:tc>
        <w:tc>
          <w:tcPr>
            <w:tcW w:type="dxa" w:w="1247"/>
          </w:tcPr>
          <w:p>
            <w:pPr>
              <w:spacing w:after="20"/>
              <w:jc w:val="right"/>
            </w:pPr>
            <w:r/>
            <w:r>
              <w:rPr>
                <w:b w:val="0"/>
                <w:i w:val="0"/>
                <w:sz w:val="16"/>
              </w:rPr>
              <w:t>3.1</w:t>
            </w:r>
          </w:p>
        </w:tc>
        <w:tc>
          <w:tcPr>
            <w:tcW w:type="dxa" w:w="1247"/>
          </w:tcPr>
          <w:p>
            <w:pPr>
              <w:spacing w:after="20"/>
              <w:jc w:val="right"/>
            </w:pPr>
            <w:r/>
            <w:r>
              <w:rPr>
                <w:b w:val="0"/>
                <w:i w:val="0"/>
                <w:sz w:val="16"/>
              </w:rPr>
              <w:t>414.2</w:t>
            </w:r>
          </w:p>
        </w:tc>
      </w:tr>
      <w:tr>
        <w:trPr>
          <w:cantSplit/>
        </w:trPr>
        <w:tc>
          <w:tcPr>
            <w:tcW w:type="dxa" w:w="1134"/>
            <w:shd w:val="clear" w:color="auto" w:fill="EEF3F8"/>
          </w:tcPr>
          <w:p>
            <w:pPr>
              <w:spacing w:after="20"/>
            </w:pPr>
            <w:r/>
            <w:r>
              <w:rPr>
                <w:b w:val="0"/>
                <w:i w:val="0"/>
                <w:sz w:val="16"/>
              </w:rPr>
              <w:t>Feb-24</w:t>
            </w:r>
          </w:p>
        </w:tc>
        <w:tc>
          <w:tcPr>
            <w:tcW w:type="dxa" w:w="1247"/>
            <w:shd w:val="clear" w:color="auto" w:fill="EEF3F8"/>
          </w:tcPr>
          <w:p>
            <w:pPr>
              <w:spacing w:after="20"/>
              <w:jc w:val="right"/>
            </w:pPr>
            <w:r/>
            <w:r>
              <w:rPr>
                <w:b w:val="0"/>
                <w:i w:val="0"/>
                <w:sz w:val="16"/>
              </w:rPr>
              <w:t>178.7</w:t>
            </w:r>
          </w:p>
        </w:tc>
        <w:tc>
          <w:tcPr>
            <w:tcW w:type="dxa" w:w="1247"/>
            <w:shd w:val="clear" w:color="auto" w:fill="EEF3F8"/>
          </w:tcPr>
          <w:p>
            <w:pPr>
              <w:spacing w:after="20"/>
              <w:jc w:val="right"/>
            </w:pPr>
            <w:r/>
            <w:r>
              <w:rPr>
                <w:b w:val="0"/>
                <w:i w:val="0"/>
                <w:sz w:val="16"/>
              </w:rPr>
              <w:t>114.2</w:t>
            </w:r>
          </w:p>
        </w:tc>
        <w:tc>
          <w:tcPr>
            <w:tcW w:type="dxa" w:w="1134"/>
            <w:shd w:val="clear" w:color="auto" w:fill="EEF3F8"/>
          </w:tcPr>
          <w:p>
            <w:pPr>
              <w:spacing w:after="20"/>
              <w:jc w:val="right"/>
            </w:pPr>
            <w:r/>
            <w:r>
              <w:rPr>
                <w:b w:val="0"/>
                <w:i w:val="0"/>
                <w:sz w:val="16"/>
              </w:rPr>
              <w:t>28.1</w:t>
            </w:r>
          </w:p>
        </w:tc>
        <w:tc>
          <w:tcPr>
            <w:tcW w:type="dxa" w:w="1134"/>
            <w:shd w:val="clear" w:color="auto" w:fill="EEF3F8"/>
          </w:tcPr>
          <w:p>
            <w:pPr>
              <w:spacing w:after="20"/>
              <w:jc w:val="right"/>
            </w:pPr>
            <w:r/>
            <w:r>
              <w:rPr>
                <w:b w:val="0"/>
                <w:i w:val="0"/>
                <w:sz w:val="16"/>
              </w:rPr>
              <w:t>60.0</w:t>
            </w:r>
          </w:p>
        </w:tc>
        <w:tc>
          <w:tcPr>
            <w:tcW w:type="dxa" w:w="1247"/>
            <w:shd w:val="clear" w:color="auto" w:fill="EEF3F8"/>
          </w:tcPr>
          <w:p>
            <w:pPr>
              <w:spacing w:after="20"/>
              <w:jc w:val="right"/>
            </w:pPr>
            <w:r/>
            <w:r>
              <w:rPr>
                <w:b w:val="0"/>
                <w:i w:val="0"/>
                <w:sz w:val="16"/>
              </w:rPr>
              <w:t>18.7</w:t>
            </w:r>
          </w:p>
        </w:tc>
        <w:tc>
          <w:tcPr>
            <w:tcW w:type="dxa" w:w="1247"/>
            <w:shd w:val="clear" w:color="auto" w:fill="EEF3F8"/>
          </w:tcPr>
          <w:p>
            <w:pPr>
              <w:spacing w:after="20"/>
              <w:jc w:val="right"/>
            </w:pPr>
            <w:r/>
            <w:r>
              <w:rPr>
                <w:b w:val="0"/>
                <w:i w:val="0"/>
                <w:sz w:val="16"/>
              </w:rPr>
              <w:t>2.8</w:t>
            </w:r>
          </w:p>
        </w:tc>
        <w:tc>
          <w:tcPr>
            <w:tcW w:type="dxa" w:w="1247"/>
            <w:shd w:val="clear" w:color="auto" w:fill="EEF3F8"/>
          </w:tcPr>
          <w:p>
            <w:pPr>
              <w:spacing w:after="20"/>
              <w:jc w:val="right"/>
            </w:pPr>
            <w:r/>
            <w:r>
              <w:rPr>
                <w:b w:val="0"/>
                <w:i w:val="0"/>
                <w:sz w:val="16"/>
              </w:rPr>
              <w:t>402.5</w:t>
            </w:r>
          </w:p>
        </w:tc>
      </w:tr>
      <w:tr>
        <w:trPr>
          <w:cantSplit/>
        </w:trPr>
        <w:tc>
          <w:tcPr>
            <w:tcW w:type="dxa" w:w="1134"/>
          </w:tcPr>
          <w:p>
            <w:pPr>
              <w:spacing w:after="20"/>
            </w:pPr>
            <w:r/>
            <w:r>
              <w:rPr>
                <w:b w:val="0"/>
                <w:i w:val="0"/>
                <w:sz w:val="16"/>
              </w:rPr>
              <w:t>Mar-24</w:t>
            </w:r>
          </w:p>
        </w:tc>
        <w:tc>
          <w:tcPr>
            <w:tcW w:type="dxa" w:w="1247"/>
          </w:tcPr>
          <w:p>
            <w:pPr>
              <w:spacing w:after="20"/>
              <w:jc w:val="right"/>
            </w:pPr>
            <w:r/>
            <w:r>
              <w:rPr>
                <w:b w:val="0"/>
                <w:i w:val="0"/>
                <w:sz w:val="16"/>
              </w:rPr>
              <w:t>191.9</w:t>
            </w:r>
          </w:p>
        </w:tc>
        <w:tc>
          <w:tcPr>
            <w:tcW w:type="dxa" w:w="1247"/>
          </w:tcPr>
          <w:p>
            <w:pPr>
              <w:spacing w:after="20"/>
              <w:jc w:val="right"/>
            </w:pPr>
            <w:r/>
            <w:r>
              <w:rPr>
                <w:b w:val="0"/>
                <w:i w:val="0"/>
                <w:sz w:val="16"/>
              </w:rPr>
              <w:t>120.1</w:t>
            </w:r>
          </w:p>
        </w:tc>
        <w:tc>
          <w:tcPr>
            <w:tcW w:type="dxa" w:w="1134"/>
          </w:tcPr>
          <w:p>
            <w:pPr>
              <w:spacing w:after="20"/>
              <w:jc w:val="right"/>
            </w:pPr>
            <w:r/>
            <w:r>
              <w:rPr>
                <w:b w:val="0"/>
                <w:i w:val="0"/>
                <w:sz w:val="16"/>
              </w:rPr>
              <w:t>33.7</w:t>
            </w:r>
          </w:p>
        </w:tc>
        <w:tc>
          <w:tcPr>
            <w:tcW w:type="dxa" w:w="1134"/>
          </w:tcPr>
          <w:p>
            <w:pPr>
              <w:spacing w:after="20"/>
              <w:jc w:val="right"/>
            </w:pPr>
            <w:r/>
            <w:r>
              <w:rPr>
                <w:b w:val="0"/>
                <w:i w:val="0"/>
                <w:sz w:val="16"/>
              </w:rPr>
              <w:t>57.5</w:t>
            </w:r>
          </w:p>
        </w:tc>
        <w:tc>
          <w:tcPr>
            <w:tcW w:type="dxa" w:w="1247"/>
          </w:tcPr>
          <w:p>
            <w:pPr>
              <w:spacing w:after="20"/>
              <w:jc w:val="right"/>
            </w:pPr>
            <w:r/>
            <w:r>
              <w:rPr>
                <w:b w:val="0"/>
                <w:i w:val="0"/>
                <w:sz w:val="16"/>
              </w:rPr>
              <w:t>14.2</w:t>
            </w:r>
          </w:p>
        </w:tc>
        <w:tc>
          <w:tcPr>
            <w:tcW w:type="dxa" w:w="1247"/>
          </w:tcPr>
          <w:p>
            <w:pPr>
              <w:spacing w:after="20"/>
              <w:jc w:val="right"/>
            </w:pPr>
            <w:r/>
            <w:r>
              <w:rPr>
                <w:b w:val="0"/>
                <w:i w:val="0"/>
                <w:sz w:val="16"/>
              </w:rPr>
              <w:t>2.5</w:t>
            </w:r>
          </w:p>
        </w:tc>
        <w:tc>
          <w:tcPr>
            <w:tcW w:type="dxa" w:w="1247"/>
          </w:tcPr>
          <w:p>
            <w:pPr>
              <w:spacing w:after="20"/>
              <w:jc w:val="right"/>
            </w:pPr>
            <w:r/>
            <w:r>
              <w:rPr>
                <w:b w:val="0"/>
                <w:i w:val="0"/>
                <w:sz w:val="16"/>
              </w:rPr>
              <w:t>419.9</w:t>
            </w:r>
          </w:p>
        </w:tc>
      </w:tr>
      <w:tr>
        <w:trPr>
          <w:cantSplit/>
        </w:trPr>
        <w:tc>
          <w:tcPr>
            <w:tcW w:type="dxa" w:w="1134"/>
            <w:shd w:val="clear" w:color="auto" w:fill="EEF3F8"/>
          </w:tcPr>
          <w:p>
            <w:pPr>
              <w:spacing w:after="20"/>
            </w:pPr>
            <w:r/>
            <w:r>
              <w:rPr>
                <w:b w:val="0"/>
                <w:i w:val="0"/>
                <w:sz w:val="16"/>
              </w:rPr>
              <w:t>Apr-24</w:t>
            </w:r>
          </w:p>
        </w:tc>
        <w:tc>
          <w:tcPr>
            <w:tcW w:type="dxa" w:w="1247"/>
            <w:shd w:val="clear" w:color="auto" w:fill="EEF3F8"/>
          </w:tcPr>
          <w:p>
            <w:pPr>
              <w:spacing w:after="20"/>
              <w:jc w:val="right"/>
            </w:pPr>
            <w:r/>
            <w:r>
              <w:rPr>
                <w:b w:val="0"/>
                <w:i w:val="0"/>
                <w:sz w:val="16"/>
              </w:rPr>
              <w:t>170.4</w:t>
            </w:r>
          </w:p>
        </w:tc>
        <w:tc>
          <w:tcPr>
            <w:tcW w:type="dxa" w:w="1247"/>
            <w:shd w:val="clear" w:color="auto" w:fill="EEF3F8"/>
          </w:tcPr>
          <w:p>
            <w:pPr>
              <w:spacing w:after="20"/>
              <w:jc w:val="right"/>
            </w:pPr>
            <w:r/>
            <w:r>
              <w:rPr>
                <w:b w:val="0"/>
                <w:i w:val="0"/>
                <w:sz w:val="16"/>
              </w:rPr>
              <w:t>113.7</w:t>
            </w:r>
          </w:p>
        </w:tc>
        <w:tc>
          <w:tcPr>
            <w:tcW w:type="dxa" w:w="1134"/>
            <w:shd w:val="clear" w:color="auto" w:fill="EEF3F8"/>
          </w:tcPr>
          <w:p>
            <w:pPr>
              <w:spacing w:after="20"/>
              <w:jc w:val="right"/>
            </w:pPr>
            <w:r/>
            <w:r>
              <w:rPr>
                <w:b w:val="0"/>
                <w:i w:val="0"/>
                <w:sz w:val="16"/>
              </w:rPr>
              <w:t>31.8</w:t>
            </w:r>
          </w:p>
        </w:tc>
        <w:tc>
          <w:tcPr>
            <w:tcW w:type="dxa" w:w="1134"/>
            <w:shd w:val="clear" w:color="auto" w:fill="EEF3F8"/>
          </w:tcPr>
          <w:p>
            <w:pPr>
              <w:spacing w:after="20"/>
              <w:jc w:val="right"/>
            </w:pPr>
            <w:r/>
            <w:r>
              <w:rPr>
                <w:b w:val="0"/>
                <w:i w:val="0"/>
                <w:sz w:val="16"/>
              </w:rPr>
              <w:t>59.6</w:t>
            </w:r>
          </w:p>
        </w:tc>
        <w:tc>
          <w:tcPr>
            <w:tcW w:type="dxa" w:w="1247"/>
            <w:shd w:val="clear" w:color="auto" w:fill="EEF3F8"/>
          </w:tcPr>
          <w:p>
            <w:pPr>
              <w:spacing w:after="20"/>
              <w:jc w:val="right"/>
            </w:pPr>
            <w:r/>
            <w:r>
              <w:rPr>
                <w:b w:val="0"/>
                <w:i w:val="0"/>
                <w:sz w:val="16"/>
              </w:rPr>
              <w:t>22.6</w:t>
            </w:r>
          </w:p>
        </w:tc>
        <w:tc>
          <w:tcPr>
            <w:tcW w:type="dxa" w:w="1247"/>
            <w:shd w:val="clear" w:color="auto" w:fill="EEF3F8"/>
          </w:tcPr>
          <w:p>
            <w:pPr>
              <w:spacing w:after="20"/>
              <w:jc w:val="right"/>
            </w:pPr>
            <w:r/>
            <w:r>
              <w:rPr>
                <w:b w:val="0"/>
                <w:i w:val="0"/>
                <w:sz w:val="16"/>
              </w:rPr>
              <w:t>3.4</w:t>
            </w:r>
          </w:p>
        </w:tc>
        <w:tc>
          <w:tcPr>
            <w:tcW w:type="dxa" w:w="1247"/>
            <w:shd w:val="clear" w:color="auto" w:fill="EEF3F8"/>
          </w:tcPr>
          <w:p>
            <w:pPr>
              <w:spacing w:after="20"/>
              <w:jc w:val="right"/>
            </w:pPr>
            <w:r/>
            <w:r>
              <w:rPr>
                <w:b w:val="0"/>
                <w:i w:val="0"/>
                <w:sz w:val="16"/>
              </w:rPr>
              <w:t>401.6</w:t>
            </w:r>
          </w:p>
        </w:tc>
      </w:tr>
      <w:tr>
        <w:trPr>
          <w:cantSplit/>
        </w:trPr>
        <w:tc>
          <w:tcPr>
            <w:tcW w:type="dxa" w:w="1134"/>
          </w:tcPr>
          <w:p>
            <w:pPr>
              <w:spacing w:after="20"/>
            </w:pPr>
            <w:r/>
            <w:r>
              <w:rPr>
                <w:b w:val="0"/>
                <w:i w:val="0"/>
                <w:sz w:val="16"/>
              </w:rPr>
              <w:t>May-24</w:t>
            </w:r>
          </w:p>
        </w:tc>
        <w:tc>
          <w:tcPr>
            <w:tcW w:type="dxa" w:w="1247"/>
          </w:tcPr>
          <w:p>
            <w:pPr>
              <w:spacing w:after="20"/>
              <w:jc w:val="right"/>
            </w:pPr>
            <w:r/>
            <w:r>
              <w:rPr>
                <w:b w:val="0"/>
                <w:i w:val="0"/>
                <w:sz w:val="16"/>
              </w:rPr>
              <w:t>182.4</w:t>
            </w:r>
          </w:p>
        </w:tc>
        <w:tc>
          <w:tcPr>
            <w:tcW w:type="dxa" w:w="1247"/>
          </w:tcPr>
          <w:p>
            <w:pPr>
              <w:spacing w:after="20"/>
              <w:jc w:val="right"/>
            </w:pPr>
            <w:r/>
            <w:r>
              <w:rPr>
                <w:b w:val="0"/>
                <w:i w:val="0"/>
                <w:sz w:val="16"/>
              </w:rPr>
              <w:t>117.9</w:t>
            </w:r>
          </w:p>
        </w:tc>
        <w:tc>
          <w:tcPr>
            <w:tcW w:type="dxa" w:w="1134"/>
          </w:tcPr>
          <w:p>
            <w:pPr>
              <w:spacing w:after="20"/>
              <w:jc w:val="right"/>
            </w:pPr>
            <w:r/>
            <w:r>
              <w:rPr>
                <w:b w:val="0"/>
                <w:i w:val="0"/>
                <w:sz w:val="16"/>
              </w:rPr>
              <w:t>36.2</w:t>
            </w:r>
          </w:p>
        </w:tc>
        <w:tc>
          <w:tcPr>
            <w:tcW w:type="dxa" w:w="1134"/>
          </w:tcPr>
          <w:p>
            <w:pPr>
              <w:spacing w:after="20"/>
              <w:jc w:val="right"/>
            </w:pPr>
            <w:r/>
            <w:r>
              <w:rPr>
                <w:b w:val="0"/>
                <w:i w:val="0"/>
                <w:sz w:val="16"/>
              </w:rPr>
              <w:t>59.8</w:t>
            </w:r>
          </w:p>
        </w:tc>
        <w:tc>
          <w:tcPr>
            <w:tcW w:type="dxa" w:w="1247"/>
          </w:tcPr>
          <w:p>
            <w:pPr>
              <w:spacing w:after="20"/>
              <w:jc w:val="right"/>
            </w:pPr>
            <w:r/>
            <w:r>
              <w:rPr>
                <w:b w:val="0"/>
                <w:i w:val="0"/>
                <w:sz w:val="16"/>
              </w:rPr>
              <w:t>25.0</w:t>
            </w:r>
          </w:p>
        </w:tc>
        <w:tc>
          <w:tcPr>
            <w:tcW w:type="dxa" w:w="1247"/>
          </w:tcPr>
          <w:p>
            <w:pPr>
              <w:spacing w:after="20"/>
              <w:jc w:val="right"/>
            </w:pPr>
            <w:r/>
            <w:r>
              <w:rPr>
                <w:b w:val="0"/>
                <w:i w:val="0"/>
                <w:sz w:val="16"/>
              </w:rPr>
              <w:t>3.2</w:t>
            </w:r>
          </w:p>
        </w:tc>
        <w:tc>
          <w:tcPr>
            <w:tcW w:type="dxa" w:w="1247"/>
          </w:tcPr>
          <w:p>
            <w:pPr>
              <w:spacing w:after="20"/>
              <w:jc w:val="right"/>
            </w:pPr>
            <w:r/>
            <w:r>
              <w:rPr>
                <w:b w:val="0"/>
                <w:i w:val="0"/>
                <w:sz w:val="16"/>
              </w:rPr>
              <w:t>424.6</w:t>
            </w:r>
          </w:p>
        </w:tc>
      </w:tr>
      <w:tr>
        <w:trPr>
          <w:cantSplit/>
        </w:trPr>
        <w:tc>
          <w:tcPr>
            <w:tcW w:type="dxa" w:w="1134"/>
            <w:shd w:val="clear" w:color="auto" w:fill="EEF3F8"/>
          </w:tcPr>
          <w:p>
            <w:pPr>
              <w:spacing w:after="20"/>
            </w:pPr>
            <w:r/>
            <w:r>
              <w:rPr>
                <w:b w:val="0"/>
                <w:i w:val="0"/>
                <w:sz w:val="16"/>
              </w:rPr>
              <w:t>Jun-24</w:t>
            </w:r>
          </w:p>
        </w:tc>
        <w:tc>
          <w:tcPr>
            <w:tcW w:type="dxa" w:w="1247"/>
            <w:shd w:val="clear" w:color="auto" w:fill="EEF3F8"/>
          </w:tcPr>
          <w:p>
            <w:pPr>
              <w:spacing w:after="20"/>
              <w:jc w:val="right"/>
            </w:pPr>
            <w:r/>
            <w:r>
              <w:rPr>
                <w:b w:val="0"/>
                <w:i w:val="0"/>
                <w:sz w:val="16"/>
              </w:rPr>
              <w:t>165.8</w:t>
            </w:r>
          </w:p>
        </w:tc>
        <w:tc>
          <w:tcPr>
            <w:tcW w:type="dxa" w:w="1247"/>
            <w:shd w:val="clear" w:color="auto" w:fill="EEF3F8"/>
          </w:tcPr>
          <w:p>
            <w:pPr>
              <w:spacing w:after="20"/>
              <w:jc w:val="right"/>
            </w:pPr>
            <w:r/>
            <w:r>
              <w:rPr>
                <w:b w:val="0"/>
                <w:i w:val="0"/>
                <w:sz w:val="16"/>
              </w:rPr>
              <w:t>106.8</w:t>
            </w:r>
          </w:p>
        </w:tc>
        <w:tc>
          <w:tcPr>
            <w:tcW w:type="dxa" w:w="1134"/>
            <w:shd w:val="clear" w:color="auto" w:fill="EEF3F8"/>
          </w:tcPr>
          <w:p>
            <w:pPr>
              <w:spacing w:after="20"/>
              <w:jc w:val="right"/>
            </w:pPr>
            <w:r/>
            <w:r>
              <w:rPr>
                <w:b w:val="0"/>
                <w:i w:val="0"/>
                <w:sz w:val="16"/>
              </w:rPr>
              <w:t>33.3</w:t>
            </w:r>
          </w:p>
        </w:tc>
        <w:tc>
          <w:tcPr>
            <w:tcW w:type="dxa" w:w="1134"/>
            <w:shd w:val="clear" w:color="auto" w:fill="EEF3F8"/>
          </w:tcPr>
          <w:p>
            <w:pPr>
              <w:spacing w:after="20"/>
              <w:jc w:val="right"/>
            </w:pPr>
            <w:r/>
            <w:r>
              <w:rPr>
                <w:b w:val="0"/>
                <w:i w:val="0"/>
                <w:sz w:val="16"/>
              </w:rPr>
              <w:t>60.6</w:t>
            </w:r>
          </w:p>
        </w:tc>
        <w:tc>
          <w:tcPr>
            <w:tcW w:type="dxa" w:w="1247"/>
            <w:shd w:val="clear" w:color="auto" w:fill="EEF3F8"/>
          </w:tcPr>
          <w:p>
            <w:pPr>
              <w:spacing w:after="20"/>
              <w:jc w:val="right"/>
            </w:pPr>
            <w:r/>
            <w:r>
              <w:rPr>
                <w:b w:val="0"/>
                <w:i w:val="0"/>
                <w:sz w:val="16"/>
              </w:rPr>
              <w:t>13.1</w:t>
            </w:r>
          </w:p>
        </w:tc>
        <w:tc>
          <w:tcPr>
            <w:tcW w:type="dxa" w:w="1247"/>
            <w:shd w:val="clear" w:color="auto" w:fill="EEF3F8"/>
          </w:tcPr>
          <w:p>
            <w:pPr>
              <w:spacing w:after="20"/>
              <w:jc w:val="right"/>
            </w:pPr>
            <w:r/>
            <w:r>
              <w:rPr>
                <w:b w:val="0"/>
                <w:i w:val="0"/>
                <w:sz w:val="16"/>
              </w:rPr>
              <w:t>3.1</w:t>
            </w:r>
          </w:p>
        </w:tc>
        <w:tc>
          <w:tcPr>
            <w:tcW w:type="dxa" w:w="1247"/>
            <w:shd w:val="clear" w:color="auto" w:fill="EEF3F8"/>
          </w:tcPr>
          <w:p>
            <w:pPr>
              <w:spacing w:after="20"/>
              <w:jc w:val="right"/>
            </w:pPr>
            <w:r/>
            <w:r>
              <w:rPr>
                <w:b w:val="0"/>
                <w:i w:val="0"/>
                <w:sz w:val="16"/>
              </w:rPr>
              <w:t>382.8</w:t>
            </w:r>
          </w:p>
        </w:tc>
      </w:tr>
      <w:tr>
        <w:trPr>
          <w:cantSplit/>
        </w:trPr>
        <w:tc>
          <w:tcPr>
            <w:tcW w:type="dxa" w:w="1134"/>
          </w:tcPr>
          <w:p>
            <w:pPr>
              <w:spacing w:after="20"/>
            </w:pPr>
            <w:r/>
            <w:r>
              <w:rPr>
                <w:b w:val="0"/>
                <w:i w:val="0"/>
                <w:sz w:val="16"/>
              </w:rPr>
              <w:t>Jul-24</w:t>
            </w:r>
          </w:p>
        </w:tc>
        <w:tc>
          <w:tcPr>
            <w:tcW w:type="dxa" w:w="1247"/>
          </w:tcPr>
          <w:p>
            <w:pPr>
              <w:spacing w:after="20"/>
              <w:jc w:val="right"/>
            </w:pPr>
            <w:r/>
            <w:r>
              <w:rPr>
                <w:b w:val="0"/>
                <w:i w:val="0"/>
                <w:sz w:val="16"/>
              </w:rPr>
              <w:t>192.2</w:t>
            </w:r>
          </w:p>
        </w:tc>
        <w:tc>
          <w:tcPr>
            <w:tcW w:type="dxa" w:w="1247"/>
          </w:tcPr>
          <w:p>
            <w:pPr>
              <w:spacing w:after="20"/>
              <w:jc w:val="right"/>
            </w:pPr>
            <w:r/>
            <w:r>
              <w:rPr>
                <w:b w:val="0"/>
                <w:i w:val="0"/>
                <w:sz w:val="16"/>
              </w:rPr>
              <w:t>126.1</w:t>
            </w:r>
          </w:p>
        </w:tc>
        <w:tc>
          <w:tcPr>
            <w:tcW w:type="dxa" w:w="1134"/>
          </w:tcPr>
          <w:p>
            <w:pPr>
              <w:spacing w:after="20"/>
              <w:jc w:val="right"/>
            </w:pPr>
            <w:r/>
            <w:r>
              <w:rPr>
                <w:b w:val="0"/>
                <w:i w:val="0"/>
                <w:sz w:val="16"/>
              </w:rPr>
              <w:t>37.4</w:t>
            </w:r>
          </w:p>
        </w:tc>
        <w:tc>
          <w:tcPr>
            <w:tcW w:type="dxa" w:w="1134"/>
          </w:tcPr>
          <w:p>
            <w:pPr>
              <w:spacing w:after="20"/>
              <w:jc w:val="right"/>
            </w:pPr>
            <w:r/>
            <w:r>
              <w:rPr>
                <w:b w:val="0"/>
                <w:i w:val="0"/>
                <w:sz w:val="16"/>
              </w:rPr>
              <w:t>64.8</w:t>
            </w:r>
          </w:p>
        </w:tc>
        <w:tc>
          <w:tcPr>
            <w:tcW w:type="dxa" w:w="1247"/>
          </w:tcPr>
          <w:p>
            <w:pPr>
              <w:spacing w:after="20"/>
              <w:jc w:val="right"/>
            </w:pPr>
            <w:r/>
            <w:r>
              <w:rPr>
                <w:b w:val="0"/>
                <w:i w:val="0"/>
                <w:sz w:val="16"/>
              </w:rPr>
              <w:t>21.6</w:t>
            </w:r>
          </w:p>
        </w:tc>
        <w:tc>
          <w:tcPr>
            <w:tcW w:type="dxa" w:w="1247"/>
          </w:tcPr>
          <w:p>
            <w:pPr>
              <w:spacing w:after="20"/>
              <w:jc w:val="right"/>
            </w:pPr>
            <w:r/>
            <w:r>
              <w:rPr>
                <w:b w:val="0"/>
                <w:i w:val="0"/>
                <w:sz w:val="16"/>
              </w:rPr>
              <w:t>3.4</w:t>
            </w:r>
          </w:p>
        </w:tc>
        <w:tc>
          <w:tcPr>
            <w:tcW w:type="dxa" w:w="1247"/>
          </w:tcPr>
          <w:p>
            <w:pPr>
              <w:spacing w:after="20"/>
              <w:jc w:val="right"/>
            </w:pPr>
            <w:r/>
            <w:r>
              <w:rPr>
                <w:b w:val="0"/>
                <w:i w:val="0"/>
                <w:sz w:val="16"/>
              </w:rPr>
              <w:t>445.5</w:t>
            </w:r>
          </w:p>
        </w:tc>
      </w:tr>
      <w:tr>
        <w:trPr>
          <w:cantSplit/>
        </w:trPr>
        <w:tc>
          <w:tcPr>
            <w:tcW w:type="dxa" w:w="1134"/>
            <w:shd w:val="clear" w:color="auto" w:fill="EEF3F8"/>
          </w:tcPr>
          <w:p>
            <w:pPr>
              <w:spacing w:after="20"/>
            </w:pPr>
            <w:r/>
            <w:r>
              <w:rPr>
                <w:b w:val="0"/>
                <w:i w:val="0"/>
                <w:sz w:val="16"/>
              </w:rPr>
              <w:t>Aug-24</w:t>
            </w:r>
          </w:p>
        </w:tc>
        <w:tc>
          <w:tcPr>
            <w:tcW w:type="dxa" w:w="1247"/>
            <w:shd w:val="clear" w:color="auto" w:fill="EEF3F8"/>
          </w:tcPr>
          <w:p>
            <w:pPr>
              <w:spacing w:after="20"/>
              <w:jc w:val="right"/>
            </w:pPr>
            <w:r/>
            <w:r>
              <w:rPr>
                <w:b w:val="0"/>
                <w:i w:val="0"/>
                <w:sz w:val="16"/>
              </w:rPr>
              <w:t>195.5</w:t>
            </w:r>
          </w:p>
        </w:tc>
        <w:tc>
          <w:tcPr>
            <w:tcW w:type="dxa" w:w="1247"/>
            <w:shd w:val="clear" w:color="auto" w:fill="EEF3F8"/>
          </w:tcPr>
          <w:p>
            <w:pPr>
              <w:spacing w:after="20"/>
              <w:jc w:val="right"/>
            </w:pPr>
            <w:r/>
            <w:r>
              <w:rPr>
                <w:b w:val="0"/>
                <w:i w:val="0"/>
                <w:sz w:val="16"/>
              </w:rPr>
              <w:t>128.3</w:t>
            </w:r>
          </w:p>
        </w:tc>
        <w:tc>
          <w:tcPr>
            <w:tcW w:type="dxa" w:w="1134"/>
            <w:shd w:val="clear" w:color="auto" w:fill="EEF3F8"/>
          </w:tcPr>
          <w:p>
            <w:pPr>
              <w:spacing w:after="20"/>
              <w:jc w:val="right"/>
            </w:pPr>
            <w:r/>
            <w:r>
              <w:rPr>
                <w:b w:val="0"/>
                <w:i w:val="0"/>
                <w:sz w:val="16"/>
              </w:rPr>
              <w:t>38.3</w:t>
            </w:r>
          </w:p>
        </w:tc>
        <w:tc>
          <w:tcPr>
            <w:tcW w:type="dxa" w:w="1134"/>
            <w:shd w:val="clear" w:color="auto" w:fill="EEF3F8"/>
          </w:tcPr>
          <w:p>
            <w:pPr>
              <w:spacing w:after="20"/>
              <w:jc w:val="right"/>
            </w:pPr>
            <w:r/>
            <w:r>
              <w:rPr>
                <w:b w:val="0"/>
                <w:i w:val="0"/>
                <w:sz w:val="16"/>
              </w:rPr>
              <w:t>57.8</w:t>
            </w:r>
          </w:p>
        </w:tc>
        <w:tc>
          <w:tcPr>
            <w:tcW w:type="dxa" w:w="1247"/>
            <w:shd w:val="clear" w:color="auto" w:fill="EEF3F8"/>
          </w:tcPr>
          <w:p>
            <w:pPr>
              <w:spacing w:after="20"/>
              <w:jc w:val="right"/>
            </w:pPr>
            <w:r/>
            <w:r>
              <w:rPr>
                <w:b w:val="0"/>
                <w:i w:val="0"/>
                <w:sz w:val="16"/>
              </w:rPr>
              <w:t>28.9</w:t>
            </w:r>
          </w:p>
        </w:tc>
        <w:tc>
          <w:tcPr>
            <w:tcW w:type="dxa" w:w="1247"/>
            <w:shd w:val="clear" w:color="auto" w:fill="EEF3F8"/>
          </w:tcPr>
          <w:p>
            <w:pPr>
              <w:spacing w:after="20"/>
              <w:jc w:val="right"/>
            </w:pPr>
            <w:r/>
            <w:r>
              <w:rPr>
                <w:b w:val="0"/>
                <w:i w:val="0"/>
                <w:sz w:val="16"/>
              </w:rPr>
              <w:t>3.4</w:t>
            </w:r>
          </w:p>
        </w:tc>
        <w:tc>
          <w:tcPr>
            <w:tcW w:type="dxa" w:w="1247"/>
            <w:shd w:val="clear" w:color="auto" w:fill="EEF3F8"/>
          </w:tcPr>
          <w:p>
            <w:pPr>
              <w:spacing w:after="20"/>
              <w:jc w:val="right"/>
            </w:pPr>
            <w:r/>
            <w:r>
              <w:rPr>
                <w:b w:val="0"/>
                <w:i w:val="0"/>
                <w:sz w:val="16"/>
              </w:rPr>
              <w:t>452.3</w:t>
            </w:r>
          </w:p>
        </w:tc>
      </w:tr>
      <w:tr>
        <w:trPr>
          <w:cantSplit/>
        </w:trPr>
        <w:tc>
          <w:tcPr>
            <w:tcW w:type="dxa" w:w="1134"/>
          </w:tcPr>
          <w:p>
            <w:pPr>
              <w:spacing w:after="20"/>
            </w:pPr>
            <w:r/>
            <w:r>
              <w:rPr>
                <w:b w:val="0"/>
                <w:i w:val="0"/>
                <w:sz w:val="16"/>
              </w:rPr>
              <w:t>Sep-24</w:t>
            </w:r>
          </w:p>
        </w:tc>
        <w:tc>
          <w:tcPr>
            <w:tcW w:type="dxa" w:w="1247"/>
          </w:tcPr>
          <w:p>
            <w:pPr>
              <w:spacing w:after="20"/>
              <w:jc w:val="right"/>
            </w:pPr>
            <w:r/>
            <w:r>
              <w:rPr>
                <w:b w:val="0"/>
                <w:i w:val="0"/>
                <w:sz w:val="16"/>
              </w:rPr>
              <w:t>185.1</w:t>
            </w:r>
          </w:p>
        </w:tc>
        <w:tc>
          <w:tcPr>
            <w:tcW w:type="dxa" w:w="1247"/>
          </w:tcPr>
          <w:p>
            <w:pPr>
              <w:spacing w:after="20"/>
              <w:jc w:val="right"/>
            </w:pPr>
            <w:r/>
            <w:r>
              <w:rPr>
                <w:b w:val="0"/>
                <w:i w:val="0"/>
                <w:sz w:val="16"/>
              </w:rPr>
              <w:t>123.7</w:t>
            </w:r>
          </w:p>
        </w:tc>
        <w:tc>
          <w:tcPr>
            <w:tcW w:type="dxa" w:w="1134"/>
          </w:tcPr>
          <w:p>
            <w:pPr>
              <w:spacing w:after="20"/>
              <w:jc w:val="right"/>
            </w:pPr>
            <w:r/>
            <w:r>
              <w:rPr>
                <w:b w:val="0"/>
                <w:i w:val="0"/>
                <w:sz w:val="16"/>
              </w:rPr>
              <w:t>33.8</w:t>
            </w:r>
          </w:p>
        </w:tc>
        <w:tc>
          <w:tcPr>
            <w:tcW w:type="dxa" w:w="1134"/>
          </w:tcPr>
          <w:p>
            <w:pPr>
              <w:spacing w:after="20"/>
              <w:jc w:val="right"/>
            </w:pPr>
            <w:r/>
            <w:r>
              <w:rPr>
                <w:b w:val="0"/>
                <w:i w:val="0"/>
                <w:sz w:val="16"/>
              </w:rPr>
              <w:t>61.9</w:t>
            </w:r>
          </w:p>
        </w:tc>
        <w:tc>
          <w:tcPr>
            <w:tcW w:type="dxa" w:w="1247"/>
          </w:tcPr>
          <w:p>
            <w:pPr>
              <w:spacing w:after="20"/>
              <w:jc w:val="right"/>
            </w:pPr>
            <w:r/>
            <w:r>
              <w:rPr>
                <w:b w:val="0"/>
                <w:i w:val="0"/>
                <w:sz w:val="16"/>
              </w:rPr>
              <w:t>17.9</w:t>
            </w:r>
          </w:p>
        </w:tc>
        <w:tc>
          <w:tcPr>
            <w:tcW w:type="dxa" w:w="1247"/>
          </w:tcPr>
          <w:p>
            <w:pPr>
              <w:spacing w:after="20"/>
              <w:jc w:val="right"/>
            </w:pPr>
            <w:r/>
            <w:r>
              <w:rPr>
                <w:b w:val="0"/>
                <w:i w:val="0"/>
                <w:sz w:val="16"/>
              </w:rPr>
              <w:t>2.9</w:t>
            </w:r>
          </w:p>
        </w:tc>
        <w:tc>
          <w:tcPr>
            <w:tcW w:type="dxa" w:w="1247"/>
          </w:tcPr>
          <w:p>
            <w:pPr>
              <w:spacing w:after="20"/>
              <w:jc w:val="right"/>
            </w:pPr>
            <w:r/>
            <w:r>
              <w:rPr>
                <w:b w:val="0"/>
                <w:i w:val="0"/>
                <w:sz w:val="16"/>
              </w:rPr>
              <w:t>425.2</w:t>
            </w:r>
          </w:p>
        </w:tc>
      </w:tr>
      <w:tr>
        <w:trPr>
          <w:cantSplit/>
        </w:trPr>
        <w:tc>
          <w:tcPr>
            <w:tcW w:type="dxa" w:w="1134"/>
            <w:shd w:val="clear" w:color="auto" w:fill="EEF3F8"/>
          </w:tcPr>
          <w:p>
            <w:pPr>
              <w:spacing w:after="20"/>
            </w:pPr>
            <w:r/>
            <w:r>
              <w:rPr>
                <w:b w:val="0"/>
                <w:i w:val="0"/>
                <w:sz w:val="16"/>
              </w:rPr>
              <w:t>Oct-24</w:t>
            </w:r>
          </w:p>
        </w:tc>
        <w:tc>
          <w:tcPr>
            <w:tcW w:type="dxa" w:w="1247"/>
            <w:shd w:val="clear" w:color="auto" w:fill="EEF3F8"/>
          </w:tcPr>
          <w:p>
            <w:pPr>
              <w:spacing w:after="20"/>
              <w:jc w:val="right"/>
            </w:pPr>
            <w:r/>
            <w:r>
              <w:rPr>
                <w:b w:val="0"/>
                <w:i w:val="0"/>
                <w:sz w:val="16"/>
              </w:rPr>
              <w:t>195.6</w:t>
            </w:r>
          </w:p>
        </w:tc>
        <w:tc>
          <w:tcPr>
            <w:tcW w:type="dxa" w:w="1247"/>
            <w:shd w:val="clear" w:color="auto" w:fill="EEF3F8"/>
          </w:tcPr>
          <w:p>
            <w:pPr>
              <w:spacing w:after="20"/>
              <w:jc w:val="right"/>
            </w:pPr>
            <w:r/>
            <w:r>
              <w:rPr>
                <w:b w:val="0"/>
                <w:i w:val="0"/>
                <w:sz w:val="16"/>
              </w:rPr>
              <w:t>132.5</w:t>
            </w:r>
          </w:p>
        </w:tc>
        <w:tc>
          <w:tcPr>
            <w:tcW w:type="dxa" w:w="1134"/>
            <w:shd w:val="clear" w:color="auto" w:fill="EEF3F8"/>
          </w:tcPr>
          <w:p>
            <w:pPr>
              <w:spacing w:after="20"/>
              <w:jc w:val="right"/>
            </w:pPr>
            <w:r/>
            <w:r>
              <w:rPr>
                <w:b w:val="0"/>
                <w:i w:val="0"/>
                <w:sz w:val="16"/>
              </w:rPr>
              <w:t>36.4</w:t>
            </w:r>
          </w:p>
        </w:tc>
        <w:tc>
          <w:tcPr>
            <w:tcW w:type="dxa" w:w="1134"/>
            <w:shd w:val="clear" w:color="auto" w:fill="EEF3F8"/>
          </w:tcPr>
          <w:p>
            <w:pPr>
              <w:spacing w:after="20"/>
              <w:jc w:val="right"/>
            </w:pPr>
            <w:r/>
            <w:r>
              <w:rPr>
                <w:b w:val="0"/>
                <w:i w:val="0"/>
                <w:sz w:val="16"/>
              </w:rPr>
              <w:t>62.4</w:t>
            </w:r>
          </w:p>
        </w:tc>
        <w:tc>
          <w:tcPr>
            <w:tcW w:type="dxa" w:w="1247"/>
            <w:shd w:val="clear" w:color="auto" w:fill="EEF3F8"/>
          </w:tcPr>
          <w:p>
            <w:pPr>
              <w:spacing w:after="20"/>
              <w:jc w:val="right"/>
            </w:pPr>
            <w:r/>
            <w:r>
              <w:rPr>
                <w:b w:val="0"/>
                <w:i w:val="0"/>
                <w:sz w:val="16"/>
              </w:rPr>
              <w:t>31.7</w:t>
            </w:r>
          </w:p>
        </w:tc>
        <w:tc>
          <w:tcPr>
            <w:tcW w:type="dxa" w:w="1247"/>
            <w:shd w:val="clear" w:color="auto" w:fill="EEF3F8"/>
          </w:tcPr>
          <w:p>
            <w:pPr>
              <w:spacing w:after="20"/>
              <w:jc w:val="right"/>
            </w:pPr>
            <w:r/>
            <w:r>
              <w:rPr>
                <w:b w:val="0"/>
                <w:i w:val="0"/>
                <w:sz w:val="16"/>
              </w:rPr>
              <w:t>3.2</w:t>
            </w:r>
          </w:p>
        </w:tc>
        <w:tc>
          <w:tcPr>
            <w:tcW w:type="dxa" w:w="1247"/>
            <w:shd w:val="clear" w:color="auto" w:fill="EEF3F8"/>
          </w:tcPr>
          <w:p>
            <w:pPr>
              <w:spacing w:after="20"/>
              <w:jc w:val="right"/>
            </w:pPr>
            <w:r/>
            <w:r>
              <w:rPr>
                <w:b w:val="0"/>
                <w:i w:val="0"/>
                <w:sz w:val="16"/>
              </w:rPr>
              <w:t>461.9</w:t>
            </w:r>
          </w:p>
        </w:tc>
      </w:tr>
      <w:tr>
        <w:trPr>
          <w:cantSplit/>
        </w:trPr>
        <w:tc>
          <w:tcPr>
            <w:tcW w:type="dxa" w:w="1134"/>
          </w:tcPr>
          <w:p>
            <w:pPr>
              <w:spacing w:after="20"/>
            </w:pPr>
            <w:r/>
            <w:r>
              <w:rPr>
                <w:b w:val="0"/>
                <w:i w:val="0"/>
                <w:sz w:val="16"/>
              </w:rPr>
              <w:t>Nov-24</w:t>
            </w:r>
          </w:p>
        </w:tc>
        <w:tc>
          <w:tcPr>
            <w:tcW w:type="dxa" w:w="1247"/>
          </w:tcPr>
          <w:p>
            <w:pPr>
              <w:spacing w:after="20"/>
              <w:jc w:val="right"/>
            </w:pPr>
            <w:r/>
            <w:r>
              <w:rPr>
                <w:b w:val="0"/>
                <w:i w:val="0"/>
                <w:sz w:val="16"/>
              </w:rPr>
              <w:t>180.0</w:t>
            </w:r>
          </w:p>
        </w:tc>
        <w:tc>
          <w:tcPr>
            <w:tcW w:type="dxa" w:w="1247"/>
          </w:tcPr>
          <w:p>
            <w:pPr>
              <w:spacing w:after="20"/>
              <w:jc w:val="right"/>
            </w:pPr>
            <w:r/>
            <w:r>
              <w:rPr>
                <w:b w:val="0"/>
                <w:i w:val="0"/>
                <w:sz w:val="16"/>
              </w:rPr>
              <w:t>121.9</w:t>
            </w:r>
          </w:p>
        </w:tc>
        <w:tc>
          <w:tcPr>
            <w:tcW w:type="dxa" w:w="1134"/>
          </w:tcPr>
          <w:p>
            <w:pPr>
              <w:spacing w:after="20"/>
              <w:jc w:val="right"/>
            </w:pPr>
            <w:r/>
            <w:r>
              <w:rPr>
                <w:b w:val="0"/>
                <w:i w:val="0"/>
                <w:sz w:val="16"/>
              </w:rPr>
              <w:t>36.0</w:t>
            </w:r>
          </w:p>
        </w:tc>
        <w:tc>
          <w:tcPr>
            <w:tcW w:type="dxa" w:w="1134"/>
          </w:tcPr>
          <w:p>
            <w:pPr>
              <w:spacing w:after="20"/>
              <w:jc w:val="right"/>
            </w:pPr>
            <w:r/>
            <w:r>
              <w:rPr>
                <w:b w:val="0"/>
                <w:i w:val="0"/>
                <w:sz w:val="16"/>
              </w:rPr>
              <w:t>63.6</w:t>
            </w:r>
          </w:p>
        </w:tc>
        <w:tc>
          <w:tcPr>
            <w:tcW w:type="dxa" w:w="1247"/>
          </w:tcPr>
          <w:p>
            <w:pPr>
              <w:spacing w:after="20"/>
              <w:jc w:val="right"/>
            </w:pPr>
            <w:r/>
            <w:r>
              <w:rPr>
                <w:b w:val="0"/>
                <w:i w:val="0"/>
                <w:sz w:val="16"/>
              </w:rPr>
              <w:t>15.6</w:t>
            </w:r>
          </w:p>
        </w:tc>
        <w:tc>
          <w:tcPr>
            <w:tcW w:type="dxa" w:w="1247"/>
          </w:tcPr>
          <w:p>
            <w:pPr>
              <w:spacing w:after="20"/>
              <w:jc w:val="right"/>
            </w:pPr>
            <w:r/>
            <w:r>
              <w:rPr>
                <w:b w:val="0"/>
                <w:i w:val="0"/>
                <w:sz w:val="16"/>
              </w:rPr>
              <w:t>3.2</w:t>
            </w:r>
          </w:p>
        </w:tc>
        <w:tc>
          <w:tcPr>
            <w:tcW w:type="dxa" w:w="1247"/>
          </w:tcPr>
          <w:p>
            <w:pPr>
              <w:spacing w:after="20"/>
              <w:jc w:val="right"/>
            </w:pPr>
            <w:r/>
            <w:r>
              <w:rPr>
                <w:b w:val="0"/>
                <w:i w:val="0"/>
                <w:sz w:val="16"/>
              </w:rPr>
              <w:t>420.6</w:t>
            </w:r>
          </w:p>
        </w:tc>
      </w:tr>
      <w:tr>
        <w:trPr>
          <w:cantSplit/>
        </w:trPr>
        <w:tc>
          <w:tcPr>
            <w:tcW w:type="dxa" w:w="1134"/>
            <w:shd w:val="clear" w:color="auto" w:fill="EEF3F8"/>
          </w:tcPr>
          <w:p>
            <w:pPr>
              <w:spacing w:after="20"/>
            </w:pPr>
            <w:r/>
            <w:r>
              <w:rPr>
                <w:b w:val="0"/>
                <w:i w:val="0"/>
                <w:sz w:val="16"/>
              </w:rPr>
              <w:t>Dec-24</w:t>
            </w:r>
          </w:p>
        </w:tc>
        <w:tc>
          <w:tcPr>
            <w:tcW w:type="dxa" w:w="1247"/>
            <w:shd w:val="clear" w:color="auto" w:fill="EEF3F8"/>
          </w:tcPr>
          <w:p>
            <w:pPr>
              <w:spacing w:after="20"/>
              <w:jc w:val="right"/>
            </w:pPr>
            <w:r/>
            <w:r>
              <w:rPr>
                <w:b w:val="0"/>
                <w:i w:val="0"/>
                <w:sz w:val="16"/>
              </w:rPr>
              <w:t>179.0</w:t>
            </w:r>
          </w:p>
        </w:tc>
        <w:tc>
          <w:tcPr>
            <w:tcW w:type="dxa" w:w="1247"/>
            <w:shd w:val="clear" w:color="auto" w:fill="EEF3F8"/>
          </w:tcPr>
          <w:p>
            <w:pPr>
              <w:spacing w:after="20"/>
              <w:jc w:val="right"/>
            </w:pPr>
            <w:r/>
            <w:r>
              <w:rPr>
                <w:b w:val="0"/>
                <w:i w:val="0"/>
                <w:sz w:val="16"/>
              </w:rPr>
              <w:t>144.4</w:t>
            </w:r>
          </w:p>
        </w:tc>
        <w:tc>
          <w:tcPr>
            <w:tcW w:type="dxa" w:w="1134"/>
            <w:shd w:val="clear" w:color="auto" w:fill="EEF3F8"/>
          </w:tcPr>
          <w:p>
            <w:pPr>
              <w:spacing w:after="20"/>
              <w:jc w:val="right"/>
            </w:pPr>
            <w:r/>
            <w:r>
              <w:rPr>
                <w:b w:val="0"/>
                <w:i w:val="0"/>
                <w:sz w:val="16"/>
              </w:rPr>
              <w:t>37.5</w:t>
            </w:r>
          </w:p>
        </w:tc>
        <w:tc>
          <w:tcPr>
            <w:tcW w:type="dxa" w:w="1134"/>
            <w:shd w:val="clear" w:color="auto" w:fill="EEF3F8"/>
          </w:tcPr>
          <w:p>
            <w:pPr>
              <w:spacing w:after="20"/>
              <w:jc w:val="right"/>
            </w:pPr>
            <w:r/>
            <w:r>
              <w:rPr>
                <w:b w:val="0"/>
                <w:i w:val="0"/>
                <w:sz w:val="16"/>
              </w:rPr>
              <w:t>63.5</w:t>
            </w:r>
          </w:p>
        </w:tc>
        <w:tc>
          <w:tcPr>
            <w:tcW w:type="dxa" w:w="1247"/>
            <w:shd w:val="clear" w:color="auto" w:fill="EEF3F8"/>
          </w:tcPr>
          <w:p>
            <w:pPr>
              <w:spacing w:after="20"/>
              <w:jc w:val="right"/>
            </w:pPr>
            <w:r/>
            <w:r>
              <w:rPr>
                <w:b w:val="0"/>
                <w:i w:val="0"/>
                <w:sz w:val="16"/>
              </w:rPr>
              <w:t>23.4</w:t>
            </w:r>
          </w:p>
        </w:tc>
        <w:tc>
          <w:tcPr>
            <w:tcW w:type="dxa" w:w="1247"/>
            <w:shd w:val="clear" w:color="auto" w:fill="EEF3F8"/>
          </w:tcPr>
          <w:p>
            <w:pPr>
              <w:spacing w:after="20"/>
              <w:jc w:val="right"/>
            </w:pPr>
            <w:r/>
            <w:r>
              <w:rPr>
                <w:b w:val="0"/>
                <w:i w:val="0"/>
                <w:sz w:val="16"/>
              </w:rPr>
              <w:t>2.8</w:t>
            </w:r>
          </w:p>
        </w:tc>
        <w:tc>
          <w:tcPr>
            <w:tcW w:type="dxa" w:w="1247"/>
            <w:shd w:val="clear" w:color="auto" w:fill="EEF3F8"/>
          </w:tcPr>
          <w:p>
            <w:pPr>
              <w:spacing w:after="20"/>
              <w:jc w:val="right"/>
            </w:pPr>
            <w:r/>
            <w:r>
              <w:rPr>
                <w:b w:val="0"/>
                <w:i w:val="0"/>
                <w:sz w:val="16"/>
              </w:rPr>
              <w:t>450.7</w:t>
            </w:r>
          </w:p>
        </w:tc>
      </w:tr>
      <w:tr>
        <w:trPr>
          <w:cantSplit/>
        </w:trPr>
        <w:tc>
          <w:tcPr>
            <w:tcW w:type="dxa" w:w="1134"/>
          </w:tcPr>
          <w:p>
            <w:pPr>
              <w:spacing w:after="20"/>
            </w:pPr>
            <w:r/>
            <w:r>
              <w:rPr>
                <w:b w:val="0"/>
                <w:i w:val="0"/>
                <w:sz w:val="16"/>
              </w:rPr>
              <w:t>Jan-25</w:t>
            </w:r>
          </w:p>
        </w:tc>
        <w:tc>
          <w:tcPr>
            <w:tcW w:type="dxa" w:w="1247"/>
          </w:tcPr>
          <w:p>
            <w:pPr>
              <w:spacing w:after="20"/>
              <w:jc w:val="right"/>
            </w:pPr>
            <w:r/>
            <w:r>
              <w:rPr>
                <w:b w:val="0"/>
                <w:i w:val="0"/>
                <w:sz w:val="16"/>
              </w:rPr>
              <w:t>194.8</w:t>
            </w:r>
          </w:p>
        </w:tc>
        <w:tc>
          <w:tcPr>
            <w:tcW w:type="dxa" w:w="1247"/>
          </w:tcPr>
          <w:p>
            <w:pPr>
              <w:spacing w:after="20"/>
              <w:jc w:val="right"/>
            </w:pPr>
            <w:r/>
            <w:r>
              <w:rPr>
                <w:b w:val="0"/>
                <w:i w:val="0"/>
                <w:sz w:val="16"/>
              </w:rPr>
              <w:t>134.9</w:t>
            </w:r>
          </w:p>
        </w:tc>
        <w:tc>
          <w:tcPr>
            <w:tcW w:type="dxa" w:w="1134"/>
          </w:tcPr>
          <w:p>
            <w:pPr>
              <w:spacing w:after="20"/>
              <w:jc w:val="right"/>
            </w:pPr>
            <w:r/>
            <w:r>
              <w:rPr>
                <w:b w:val="0"/>
                <w:i w:val="0"/>
                <w:sz w:val="16"/>
              </w:rPr>
              <w:t>38.1</w:t>
            </w:r>
          </w:p>
        </w:tc>
        <w:tc>
          <w:tcPr>
            <w:tcW w:type="dxa" w:w="1134"/>
          </w:tcPr>
          <w:p>
            <w:pPr>
              <w:spacing w:after="20"/>
              <w:jc w:val="right"/>
            </w:pPr>
            <w:r/>
            <w:r>
              <w:rPr>
                <w:b w:val="0"/>
                <w:i w:val="0"/>
                <w:sz w:val="16"/>
              </w:rPr>
              <w:t>67.3</w:t>
            </w:r>
          </w:p>
        </w:tc>
        <w:tc>
          <w:tcPr>
            <w:tcW w:type="dxa" w:w="1247"/>
          </w:tcPr>
          <w:p>
            <w:pPr>
              <w:spacing w:after="20"/>
              <w:jc w:val="right"/>
            </w:pPr>
            <w:r/>
            <w:r>
              <w:rPr>
                <w:b w:val="0"/>
                <w:i w:val="0"/>
                <w:sz w:val="16"/>
              </w:rPr>
              <w:t>25.1</w:t>
            </w:r>
          </w:p>
        </w:tc>
        <w:tc>
          <w:tcPr>
            <w:tcW w:type="dxa" w:w="1247"/>
          </w:tcPr>
          <w:p>
            <w:pPr>
              <w:spacing w:after="20"/>
              <w:jc w:val="right"/>
            </w:pPr>
            <w:r/>
            <w:r>
              <w:rPr>
                <w:b w:val="0"/>
                <w:i w:val="0"/>
                <w:sz w:val="16"/>
              </w:rPr>
              <w:t>3.9</w:t>
            </w:r>
          </w:p>
        </w:tc>
        <w:tc>
          <w:tcPr>
            <w:tcW w:type="dxa" w:w="1247"/>
          </w:tcPr>
          <w:p>
            <w:pPr>
              <w:spacing w:after="20"/>
              <w:jc w:val="right"/>
            </w:pPr>
            <w:r/>
            <w:r>
              <w:rPr>
                <w:b w:val="0"/>
                <w:i w:val="0"/>
                <w:sz w:val="16"/>
              </w:rPr>
              <w:t>464.2</w:t>
            </w:r>
          </w:p>
        </w:tc>
      </w:tr>
      <w:tr>
        <w:trPr>
          <w:cantSplit/>
        </w:trPr>
        <w:tc>
          <w:tcPr>
            <w:tcW w:type="dxa" w:w="1134"/>
            <w:shd w:val="clear" w:color="auto" w:fill="EEF3F8"/>
          </w:tcPr>
          <w:p>
            <w:pPr>
              <w:spacing w:after="20"/>
            </w:pPr>
            <w:r/>
            <w:r>
              <w:rPr>
                <w:b w:val="0"/>
                <w:i w:val="0"/>
                <w:sz w:val="16"/>
              </w:rPr>
              <w:t>Feb-25</w:t>
            </w:r>
          </w:p>
        </w:tc>
        <w:tc>
          <w:tcPr>
            <w:tcW w:type="dxa" w:w="1247"/>
            <w:shd w:val="clear" w:color="auto" w:fill="EEF3F8"/>
          </w:tcPr>
          <w:p>
            <w:pPr>
              <w:spacing w:after="20"/>
              <w:jc w:val="right"/>
            </w:pPr>
            <w:r/>
            <w:r>
              <w:rPr>
                <w:b w:val="0"/>
                <w:i w:val="0"/>
                <w:sz w:val="16"/>
              </w:rPr>
              <w:t>183.3</w:t>
            </w:r>
          </w:p>
        </w:tc>
        <w:tc>
          <w:tcPr>
            <w:tcW w:type="dxa" w:w="1247"/>
            <w:shd w:val="clear" w:color="auto" w:fill="EEF3F8"/>
          </w:tcPr>
          <w:p>
            <w:pPr>
              <w:spacing w:after="20"/>
              <w:jc w:val="right"/>
            </w:pPr>
            <w:r/>
            <w:r>
              <w:rPr>
                <w:b w:val="0"/>
                <w:i w:val="0"/>
                <w:sz w:val="16"/>
              </w:rPr>
              <w:t>124.5</w:t>
            </w:r>
          </w:p>
        </w:tc>
        <w:tc>
          <w:tcPr>
            <w:tcW w:type="dxa" w:w="1134"/>
            <w:shd w:val="clear" w:color="auto" w:fill="EEF3F8"/>
          </w:tcPr>
          <w:p>
            <w:pPr>
              <w:spacing w:after="20"/>
              <w:jc w:val="right"/>
            </w:pPr>
            <w:r/>
            <w:r>
              <w:rPr>
                <w:b w:val="0"/>
                <w:i w:val="0"/>
                <w:sz w:val="16"/>
              </w:rPr>
              <w:t>34.1</w:t>
            </w:r>
          </w:p>
        </w:tc>
        <w:tc>
          <w:tcPr>
            <w:tcW w:type="dxa" w:w="1134"/>
            <w:shd w:val="clear" w:color="auto" w:fill="EEF3F8"/>
          </w:tcPr>
          <w:p>
            <w:pPr>
              <w:spacing w:after="20"/>
              <w:jc w:val="right"/>
            </w:pPr>
            <w:r/>
            <w:r>
              <w:rPr>
                <w:b w:val="0"/>
                <w:i w:val="0"/>
                <w:sz w:val="16"/>
              </w:rPr>
              <w:t>59.5</w:t>
            </w:r>
          </w:p>
        </w:tc>
        <w:tc>
          <w:tcPr>
            <w:tcW w:type="dxa" w:w="1247"/>
            <w:shd w:val="clear" w:color="auto" w:fill="EEF3F8"/>
          </w:tcPr>
          <w:p>
            <w:pPr>
              <w:spacing w:after="20"/>
              <w:jc w:val="right"/>
            </w:pPr>
            <w:r/>
            <w:r>
              <w:rPr>
                <w:b w:val="0"/>
                <w:i w:val="0"/>
                <w:sz w:val="16"/>
              </w:rPr>
              <w:t>26.6</w:t>
            </w:r>
          </w:p>
        </w:tc>
        <w:tc>
          <w:tcPr>
            <w:tcW w:type="dxa" w:w="1247"/>
            <w:shd w:val="clear" w:color="auto" w:fill="EEF3F8"/>
          </w:tcPr>
          <w:p>
            <w:pPr>
              <w:spacing w:after="20"/>
              <w:jc w:val="right"/>
            </w:pPr>
            <w:r/>
            <w:r>
              <w:rPr>
                <w:b w:val="0"/>
                <w:i w:val="0"/>
                <w:sz w:val="16"/>
              </w:rPr>
              <w:t>3.4</w:t>
            </w:r>
          </w:p>
        </w:tc>
        <w:tc>
          <w:tcPr>
            <w:tcW w:type="dxa" w:w="1247"/>
            <w:shd w:val="clear" w:color="auto" w:fill="EEF3F8"/>
          </w:tcPr>
          <w:p>
            <w:pPr>
              <w:spacing w:after="20"/>
              <w:jc w:val="right"/>
            </w:pPr>
            <w:r/>
            <w:r>
              <w:rPr>
                <w:b w:val="0"/>
                <w:i w:val="0"/>
                <w:sz w:val="16"/>
              </w:rPr>
              <w:t>431.6</w:t>
            </w:r>
          </w:p>
        </w:tc>
      </w:tr>
      <w:tr>
        <w:trPr>
          <w:cantSplit/>
        </w:trPr>
        <w:tc>
          <w:tcPr>
            <w:tcW w:type="dxa" w:w="1134"/>
          </w:tcPr>
          <w:p>
            <w:pPr>
              <w:spacing w:after="20"/>
            </w:pPr>
            <w:r/>
            <w:r>
              <w:rPr>
                <w:b w:val="0"/>
                <w:i w:val="0"/>
                <w:sz w:val="16"/>
              </w:rPr>
              <w:t>Mar-25</w:t>
            </w:r>
          </w:p>
        </w:tc>
        <w:tc>
          <w:tcPr>
            <w:tcW w:type="dxa" w:w="1247"/>
          </w:tcPr>
          <w:p>
            <w:pPr>
              <w:spacing w:after="20"/>
              <w:jc w:val="right"/>
            </w:pPr>
            <w:r/>
            <w:r>
              <w:rPr>
                <w:b w:val="0"/>
                <w:i w:val="0"/>
                <w:sz w:val="16"/>
              </w:rPr>
              <w:t>194.6</w:t>
            </w:r>
          </w:p>
        </w:tc>
        <w:tc>
          <w:tcPr>
            <w:tcW w:type="dxa" w:w="1247"/>
          </w:tcPr>
          <w:p>
            <w:pPr>
              <w:spacing w:after="20"/>
              <w:jc w:val="right"/>
            </w:pPr>
            <w:r/>
            <w:r>
              <w:rPr>
                <w:b w:val="0"/>
                <w:i w:val="0"/>
                <w:sz w:val="16"/>
              </w:rPr>
              <w:t>130.4</w:t>
            </w:r>
          </w:p>
        </w:tc>
        <w:tc>
          <w:tcPr>
            <w:tcW w:type="dxa" w:w="1134"/>
          </w:tcPr>
          <w:p>
            <w:pPr>
              <w:spacing w:after="20"/>
              <w:jc w:val="right"/>
            </w:pPr>
            <w:r/>
            <w:r>
              <w:rPr>
                <w:b w:val="0"/>
                <w:i w:val="0"/>
                <w:sz w:val="16"/>
              </w:rPr>
              <w:t>33.1</w:t>
            </w:r>
          </w:p>
        </w:tc>
        <w:tc>
          <w:tcPr>
            <w:tcW w:type="dxa" w:w="1134"/>
          </w:tcPr>
          <w:p>
            <w:pPr>
              <w:spacing w:after="20"/>
              <w:jc w:val="right"/>
            </w:pPr>
            <w:r/>
            <w:r>
              <w:rPr>
                <w:b w:val="0"/>
                <w:i w:val="0"/>
                <w:sz w:val="16"/>
              </w:rPr>
              <w:t>61.9</w:t>
            </w:r>
          </w:p>
        </w:tc>
        <w:tc>
          <w:tcPr>
            <w:tcW w:type="dxa" w:w="1247"/>
          </w:tcPr>
          <w:p>
            <w:pPr>
              <w:spacing w:after="20"/>
              <w:jc w:val="right"/>
            </w:pPr>
            <w:r/>
            <w:r>
              <w:rPr>
                <w:b w:val="0"/>
                <w:i w:val="0"/>
                <w:sz w:val="16"/>
              </w:rPr>
              <w:t>36.1</w:t>
            </w:r>
          </w:p>
        </w:tc>
        <w:tc>
          <w:tcPr>
            <w:tcW w:type="dxa" w:w="1247"/>
          </w:tcPr>
          <w:p>
            <w:pPr>
              <w:spacing w:after="20"/>
              <w:jc w:val="right"/>
            </w:pPr>
            <w:r/>
            <w:r>
              <w:rPr>
                <w:b w:val="0"/>
                <w:i w:val="0"/>
                <w:sz w:val="16"/>
              </w:rPr>
              <w:t>4.0</w:t>
            </w:r>
          </w:p>
        </w:tc>
        <w:tc>
          <w:tcPr>
            <w:tcW w:type="dxa" w:w="1247"/>
          </w:tcPr>
          <w:p>
            <w:pPr>
              <w:spacing w:after="20"/>
              <w:jc w:val="right"/>
            </w:pPr>
            <w:r/>
            <w:r>
              <w:rPr>
                <w:b w:val="0"/>
                <w:i w:val="0"/>
                <w:sz w:val="16"/>
              </w:rPr>
              <w:t>460.1</w:t>
            </w:r>
          </w:p>
        </w:tc>
      </w:tr>
      <w:tr>
        <w:trPr>
          <w:cantSplit/>
        </w:trPr>
        <w:tc>
          <w:tcPr>
            <w:tcW w:type="dxa" w:w="1134"/>
            <w:shd w:val="clear" w:color="auto" w:fill="EEF3F8"/>
          </w:tcPr>
          <w:p>
            <w:pPr>
              <w:spacing w:after="20"/>
            </w:pPr>
            <w:r/>
            <w:r>
              <w:rPr>
                <w:b w:val="0"/>
                <w:i w:val="0"/>
                <w:sz w:val="16"/>
              </w:rPr>
              <w:t>Apr-25</w:t>
            </w:r>
          </w:p>
        </w:tc>
        <w:tc>
          <w:tcPr>
            <w:tcW w:type="dxa" w:w="1247"/>
            <w:shd w:val="clear" w:color="auto" w:fill="EEF3F8"/>
          </w:tcPr>
          <w:p>
            <w:pPr>
              <w:spacing w:after="20"/>
              <w:jc w:val="right"/>
            </w:pPr>
            <w:r/>
            <w:r>
              <w:rPr>
                <w:b w:val="0"/>
                <w:i w:val="0"/>
                <w:sz w:val="16"/>
              </w:rPr>
              <w:t>199.0</w:t>
            </w:r>
          </w:p>
        </w:tc>
        <w:tc>
          <w:tcPr>
            <w:tcW w:type="dxa" w:w="1247"/>
            <w:shd w:val="clear" w:color="auto" w:fill="EEF3F8"/>
          </w:tcPr>
          <w:p>
            <w:pPr>
              <w:spacing w:after="20"/>
              <w:jc w:val="right"/>
            </w:pPr>
            <w:r/>
            <w:r>
              <w:rPr>
                <w:b w:val="0"/>
                <w:i w:val="0"/>
                <w:sz w:val="16"/>
              </w:rPr>
              <w:t>140.9</w:t>
            </w:r>
          </w:p>
        </w:tc>
        <w:tc>
          <w:tcPr>
            <w:tcW w:type="dxa" w:w="1134"/>
            <w:shd w:val="clear" w:color="auto" w:fill="EEF3F8"/>
          </w:tcPr>
          <w:p>
            <w:pPr>
              <w:spacing w:after="20"/>
              <w:jc w:val="right"/>
            </w:pPr>
            <w:r/>
            <w:r>
              <w:rPr>
                <w:b w:val="0"/>
                <w:i w:val="0"/>
                <w:sz w:val="16"/>
              </w:rPr>
              <w:t>39.2</w:t>
            </w:r>
          </w:p>
        </w:tc>
        <w:tc>
          <w:tcPr>
            <w:tcW w:type="dxa" w:w="1134"/>
            <w:shd w:val="clear" w:color="auto" w:fill="EEF3F8"/>
          </w:tcPr>
          <w:p>
            <w:pPr>
              <w:spacing w:after="20"/>
              <w:jc w:val="right"/>
            </w:pPr>
            <w:r/>
            <w:r>
              <w:rPr>
                <w:b w:val="0"/>
                <w:i w:val="0"/>
                <w:sz w:val="16"/>
              </w:rPr>
              <w:t>54.4</w:t>
            </w:r>
          </w:p>
        </w:tc>
        <w:tc>
          <w:tcPr>
            <w:tcW w:type="dxa" w:w="1247"/>
            <w:shd w:val="clear" w:color="auto" w:fill="EEF3F8"/>
          </w:tcPr>
          <w:p>
            <w:pPr>
              <w:spacing w:after="20"/>
              <w:jc w:val="right"/>
            </w:pPr>
            <w:r/>
            <w:r>
              <w:rPr>
                <w:b w:val="0"/>
                <w:i w:val="0"/>
                <w:sz w:val="16"/>
              </w:rPr>
              <w:t>31.7</w:t>
            </w:r>
          </w:p>
        </w:tc>
        <w:tc>
          <w:tcPr>
            <w:tcW w:type="dxa" w:w="1247"/>
            <w:shd w:val="clear" w:color="auto" w:fill="EEF3F8"/>
          </w:tcPr>
          <w:p>
            <w:pPr>
              <w:spacing w:after="20"/>
              <w:jc w:val="right"/>
            </w:pPr>
            <w:r/>
            <w:r>
              <w:rPr>
                <w:b w:val="0"/>
                <w:i w:val="0"/>
                <w:sz w:val="16"/>
              </w:rPr>
              <w:t>3.5</w:t>
            </w:r>
          </w:p>
        </w:tc>
        <w:tc>
          <w:tcPr>
            <w:tcW w:type="dxa" w:w="1247"/>
            <w:shd w:val="clear" w:color="auto" w:fill="EEF3F8"/>
          </w:tcPr>
          <w:p>
            <w:pPr>
              <w:spacing w:after="20"/>
              <w:jc w:val="right"/>
            </w:pPr>
            <w:r/>
            <w:r>
              <w:rPr>
                <w:b w:val="0"/>
                <w:i w:val="0"/>
                <w:sz w:val="16"/>
              </w:rPr>
              <w:t>468.8</w:t>
            </w:r>
          </w:p>
        </w:tc>
      </w:tr>
      <w:tr>
        <w:trPr>
          <w:cantSplit/>
        </w:trPr>
        <w:tc>
          <w:tcPr>
            <w:tcW w:type="dxa" w:w="1134"/>
          </w:tcPr>
          <w:p>
            <w:pPr>
              <w:spacing w:after="20"/>
            </w:pPr>
            <w:r/>
            <w:r>
              <w:rPr>
                <w:b w:val="0"/>
                <w:i w:val="0"/>
                <w:sz w:val="16"/>
              </w:rPr>
              <w:t>May-25</w:t>
            </w:r>
          </w:p>
        </w:tc>
        <w:tc>
          <w:tcPr>
            <w:tcW w:type="dxa" w:w="1247"/>
          </w:tcPr>
          <w:p>
            <w:pPr>
              <w:spacing w:after="20"/>
              <w:jc w:val="right"/>
            </w:pPr>
            <w:r/>
            <w:r>
              <w:rPr>
                <w:b w:val="0"/>
                <w:i w:val="0"/>
                <w:sz w:val="16"/>
              </w:rPr>
              <w:t>198.8</w:t>
            </w:r>
          </w:p>
        </w:tc>
        <w:tc>
          <w:tcPr>
            <w:tcW w:type="dxa" w:w="1247"/>
          </w:tcPr>
          <w:p>
            <w:pPr>
              <w:spacing w:after="20"/>
              <w:jc w:val="right"/>
            </w:pPr>
            <w:r/>
            <w:r>
              <w:rPr>
                <w:b w:val="0"/>
                <w:i w:val="0"/>
                <w:sz w:val="16"/>
              </w:rPr>
              <w:t>137.9</w:t>
            </w:r>
          </w:p>
        </w:tc>
        <w:tc>
          <w:tcPr>
            <w:tcW w:type="dxa" w:w="1134"/>
          </w:tcPr>
          <w:p>
            <w:pPr>
              <w:spacing w:after="20"/>
              <w:jc w:val="right"/>
            </w:pPr>
            <w:r/>
            <w:r>
              <w:rPr>
                <w:b w:val="0"/>
                <w:i w:val="0"/>
                <w:sz w:val="16"/>
              </w:rPr>
              <w:t>40.5</w:t>
            </w:r>
          </w:p>
        </w:tc>
        <w:tc>
          <w:tcPr>
            <w:tcW w:type="dxa" w:w="1134"/>
          </w:tcPr>
          <w:p>
            <w:pPr>
              <w:spacing w:after="20"/>
              <w:jc w:val="right"/>
            </w:pPr>
            <w:r/>
            <w:r>
              <w:rPr>
                <w:b w:val="0"/>
                <w:i w:val="0"/>
                <w:sz w:val="16"/>
              </w:rPr>
              <w:t>55.0</w:t>
            </w:r>
          </w:p>
        </w:tc>
        <w:tc>
          <w:tcPr>
            <w:tcW w:type="dxa" w:w="1247"/>
          </w:tcPr>
          <w:p>
            <w:pPr>
              <w:spacing w:after="20"/>
              <w:jc w:val="right"/>
            </w:pPr>
            <w:r/>
            <w:r>
              <w:rPr>
                <w:b w:val="0"/>
                <w:i w:val="0"/>
                <w:sz w:val="16"/>
              </w:rPr>
              <w:t>37.2</w:t>
            </w:r>
          </w:p>
        </w:tc>
        <w:tc>
          <w:tcPr>
            <w:tcW w:type="dxa" w:w="1247"/>
          </w:tcPr>
          <w:p>
            <w:pPr>
              <w:spacing w:after="20"/>
              <w:jc w:val="right"/>
            </w:pPr>
            <w:r/>
            <w:r>
              <w:rPr>
                <w:b w:val="0"/>
                <w:i w:val="0"/>
                <w:sz w:val="16"/>
              </w:rPr>
              <w:t>3.7</w:t>
            </w:r>
          </w:p>
        </w:tc>
        <w:tc>
          <w:tcPr>
            <w:tcW w:type="dxa" w:w="1247"/>
          </w:tcPr>
          <w:p>
            <w:pPr>
              <w:spacing w:after="20"/>
              <w:jc w:val="right"/>
            </w:pPr>
            <w:r/>
            <w:r>
              <w:rPr>
                <w:b w:val="0"/>
                <w:i w:val="0"/>
                <w:sz w:val="16"/>
              </w:rPr>
              <w:t>473.3</w:t>
            </w:r>
          </w:p>
        </w:tc>
      </w:tr>
      <w:tr>
        <w:trPr>
          <w:cantSplit/>
        </w:trPr>
        <w:tc>
          <w:tcPr>
            <w:tcW w:type="dxa" w:w="1134"/>
            <w:shd w:val="clear" w:color="auto" w:fill="EEF3F8"/>
          </w:tcPr>
          <w:p>
            <w:pPr>
              <w:spacing w:after="20"/>
            </w:pPr>
            <w:r/>
            <w:r>
              <w:rPr>
                <w:b w:val="0"/>
                <w:i w:val="0"/>
                <w:sz w:val="16"/>
              </w:rPr>
              <w:t>Jun-25</w:t>
            </w:r>
          </w:p>
        </w:tc>
        <w:tc>
          <w:tcPr>
            <w:tcW w:type="dxa" w:w="1247"/>
            <w:shd w:val="clear" w:color="auto" w:fill="EEF3F8"/>
          </w:tcPr>
          <w:p>
            <w:pPr>
              <w:spacing w:after="20"/>
              <w:jc w:val="right"/>
            </w:pPr>
            <w:r/>
            <w:r>
              <w:rPr>
                <w:b w:val="0"/>
                <w:i w:val="0"/>
                <w:sz w:val="16"/>
              </w:rPr>
              <w:t>186.6</w:t>
            </w:r>
          </w:p>
        </w:tc>
        <w:tc>
          <w:tcPr>
            <w:tcW w:type="dxa" w:w="1247"/>
            <w:shd w:val="clear" w:color="auto" w:fill="EEF3F8"/>
          </w:tcPr>
          <w:p>
            <w:pPr>
              <w:spacing w:after="20"/>
              <w:jc w:val="right"/>
            </w:pPr>
            <w:r/>
            <w:r>
              <w:rPr>
                <w:b w:val="0"/>
                <w:i w:val="0"/>
                <w:sz w:val="16"/>
              </w:rPr>
              <w:t>129.7</w:t>
            </w:r>
          </w:p>
        </w:tc>
        <w:tc>
          <w:tcPr>
            <w:tcW w:type="dxa" w:w="1134"/>
            <w:shd w:val="clear" w:color="auto" w:fill="EEF3F8"/>
          </w:tcPr>
          <w:p>
            <w:pPr>
              <w:spacing w:after="20"/>
              <w:jc w:val="right"/>
            </w:pPr>
            <w:r/>
            <w:r>
              <w:rPr>
                <w:b w:val="0"/>
                <w:i w:val="0"/>
                <w:sz w:val="16"/>
              </w:rPr>
              <w:t>39.5</w:t>
            </w:r>
          </w:p>
        </w:tc>
        <w:tc>
          <w:tcPr>
            <w:tcW w:type="dxa" w:w="1134"/>
            <w:shd w:val="clear" w:color="auto" w:fill="EEF3F8"/>
          </w:tcPr>
          <w:p>
            <w:pPr>
              <w:spacing w:after="20"/>
              <w:jc w:val="right"/>
            </w:pPr>
            <w:r/>
            <w:r>
              <w:rPr>
                <w:b w:val="0"/>
                <w:i w:val="0"/>
                <w:sz w:val="16"/>
              </w:rPr>
              <w:t>54.4</w:t>
            </w:r>
          </w:p>
        </w:tc>
        <w:tc>
          <w:tcPr>
            <w:tcW w:type="dxa" w:w="1247"/>
            <w:shd w:val="clear" w:color="auto" w:fill="EEF3F8"/>
          </w:tcPr>
          <w:p>
            <w:pPr>
              <w:spacing w:after="20"/>
              <w:jc w:val="right"/>
            </w:pPr>
            <w:r/>
            <w:r>
              <w:rPr>
                <w:b w:val="0"/>
                <w:i w:val="0"/>
                <w:sz w:val="16"/>
              </w:rPr>
              <w:t>30.5</w:t>
            </w:r>
          </w:p>
        </w:tc>
        <w:tc>
          <w:tcPr>
            <w:tcW w:type="dxa" w:w="1247"/>
            <w:shd w:val="clear" w:color="auto" w:fill="EEF3F8"/>
          </w:tcPr>
          <w:p>
            <w:pPr>
              <w:spacing w:after="20"/>
              <w:jc w:val="right"/>
            </w:pPr>
            <w:r/>
            <w:r>
              <w:rPr>
                <w:b w:val="0"/>
                <w:i w:val="0"/>
                <w:sz w:val="16"/>
              </w:rPr>
              <w:t>3.5</w:t>
            </w:r>
          </w:p>
        </w:tc>
        <w:tc>
          <w:tcPr>
            <w:tcW w:type="dxa" w:w="1247"/>
            <w:shd w:val="clear" w:color="auto" w:fill="EEF3F8"/>
          </w:tcPr>
          <w:p>
            <w:pPr>
              <w:spacing w:after="20"/>
              <w:jc w:val="right"/>
            </w:pPr>
            <w:r/>
            <w:r>
              <w:rPr>
                <w:b w:val="0"/>
                <w:i w:val="0"/>
                <w:sz w:val="16"/>
              </w:rPr>
              <w:t>444.3</w:t>
            </w:r>
          </w:p>
        </w:tc>
      </w:tr>
      <w:tr>
        <w:trPr>
          <w:cantSplit/>
        </w:trPr>
        <w:tc>
          <w:tcPr>
            <w:tcW w:type="dxa" w:w="1134"/>
          </w:tcPr>
          <w:p>
            <w:pPr>
              <w:spacing w:after="20"/>
            </w:pPr>
            <w:r/>
            <w:r>
              <w:rPr>
                <w:b w:val="0"/>
                <w:i w:val="0"/>
                <w:sz w:val="16"/>
              </w:rPr>
              <w:t>Jul-25</w:t>
            </w:r>
          </w:p>
        </w:tc>
        <w:tc>
          <w:tcPr>
            <w:tcW w:type="dxa" w:w="1247"/>
          </w:tcPr>
          <w:p>
            <w:pPr>
              <w:spacing w:after="20"/>
              <w:jc w:val="right"/>
            </w:pPr>
            <w:r/>
            <w:r>
              <w:rPr>
                <w:b w:val="0"/>
                <w:i w:val="0"/>
                <w:sz w:val="16"/>
              </w:rPr>
              <w:t>213.8</w:t>
            </w:r>
          </w:p>
        </w:tc>
        <w:tc>
          <w:tcPr>
            <w:tcW w:type="dxa" w:w="1247"/>
          </w:tcPr>
          <w:p>
            <w:pPr>
              <w:spacing w:after="20"/>
              <w:jc w:val="right"/>
            </w:pPr>
            <w:r/>
            <w:r>
              <w:rPr>
                <w:b w:val="0"/>
                <w:i w:val="0"/>
                <w:sz w:val="16"/>
              </w:rPr>
              <w:t>144.8</w:t>
            </w:r>
          </w:p>
        </w:tc>
        <w:tc>
          <w:tcPr>
            <w:tcW w:type="dxa" w:w="1134"/>
          </w:tcPr>
          <w:p>
            <w:pPr>
              <w:spacing w:after="20"/>
              <w:jc w:val="right"/>
            </w:pPr>
            <w:r/>
            <w:r>
              <w:rPr>
                <w:b w:val="0"/>
                <w:i w:val="0"/>
                <w:sz w:val="16"/>
              </w:rPr>
              <w:t>41.5</w:t>
            </w:r>
          </w:p>
        </w:tc>
        <w:tc>
          <w:tcPr>
            <w:tcW w:type="dxa" w:w="1134"/>
          </w:tcPr>
          <w:p>
            <w:pPr>
              <w:spacing w:after="20"/>
              <w:jc w:val="right"/>
            </w:pPr>
            <w:r/>
            <w:r>
              <w:rPr>
                <w:b w:val="0"/>
                <w:i w:val="0"/>
                <w:sz w:val="16"/>
              </w:rPr>
              <w:t>59.0</w:t>
            </w:r>
          </w:p>
        </w:tc>
        <w:tc>
          <w:tcPr>
            <w:tcW w:type="dxa" w:w="1247"/>
          </w:tcPr>
          <w:p>
            <w:pPr>
              <w:spacing w:after="20"/>
              <w:jc w:val="right"/>
            </w:pPr>
            <w:r/>
            <w:r>
              <w:rPr>
                <w:b w:val="0"/>
                <w:i w:val="0"/>
                <w:sz w:val="16"/>
              </w:rPr>
              <w:t>40.3</w:t>
            </w:r>
          </w:p>
        </w:tc>
        <w:tc>
          <w:tcPr>
            <w:tcW w:type="dxa" w:w="1247"/>
          </w:tcPr>
          <w:p>
            <w:pPr>
              <w:spacing w:after="20"/>
              <w:jc w:val="right"/>
            </w:pPr>
            <w:r/>
            <w:r>
              <w:rPr>
                <w:b w:val="0"/>
                <w:i w:val="0"/>
                <w:sz w:val="16"/>
              </w:rPr>
              <w:t>3.0</w:t>
            </w:r>
          </w:p>
        </w:tc>
        <w:tc>
          <w:tcPr>
            <w:tcW w:type="dxa" w:w="1247"/>
          </w:tcPr>
          <w:p>
            <w:pPr>
              <w:spacing w:after="20"/>
              <w:jc w:val="right"/>
            </w:pPr>
            <w:r/>
            <w:r>
              <w:rPr>
                <w:b w:val="0"/>
                <w:i w:val="0"/>
                <w:sz w:val="16"/>
              </w:rPr>
              <w:t>502.5</w:t>
            </w:r>
          </w:p>
        </w:tc>
      </w:tr>
      <w:tr>
        <w:trPr>
          <w:cantSplit/>
        </w:trPr>
        <w:tc>
          <w:tcPr>
            <w:tcW w:type="dxa" w:w="1134"/>
            <w:shd w:val="clear" w:color="auto" w:fill="EEF3F8"/>
          </w:tcPr>
          <w:p>
            <w:pPr>
              <w:spacing w:after="20"/>
            </w:pPr>
            <w:r/>
            <w:r>
              <w:rPr>
                <w:b w:val="0"/>
                <w:i w:val="0"/>
                <w:sz w:val="16"/>
              </w:rPr>
              <w:t>Aug-25</w:t>
            </w:r>
          </w:p>
        </w:tc>
        <w:tc>
          <w:tcPr>
            <w:tcW w:type="dxa" w:w="1247"/>
            <w:shd w:val="clear" w:color="auto" w:fill="EEF3F8"/>
          </w:tcPr>
          <w:p>
            <w:pPr>
              <w:spacing w:after="20"/>
              <w:jc w:val="right"/>
            </w:pPr>
            <w:r/>
            <w:r>
              <w:rPr>
                <w:b w:val="0"/>
                <w:i w:val="0"/>
                <w:sz w:val="16"/>
              </w:rPr>
              <w:t>213.4</w:t>
            </w:r>
          </w:p>
        </w:tc>
        <w:tc>
          <w:tcPr>
            <w:tcW w:type="dxa" w:w="1247"/>
            <w:shd w:val="clear" w:color="auto" w:fill="EEF3F8"/>
          </w:tcPr>
          <w:p>
            <w:pPr>
              <w:spacing w:after="20"/>
              <w:jc w:val="right"/>
            </w:pPr>
            <w:r/>
            <w:r>
              <w:rPr>
                <w:b w:val="0"/>
                <w:i w:val="0"/>
                <w:sz w:val="16"/>
              </w:rPr>
              <w:t>140.2</w:t>
            </w:r>
          </w:p>
        </w:tc>
        <w:tc>
          <w:tcPr>
            <w:tcW w:type="dxa" w:w="1134"/>
            <w:shd w:val="clear" w:color="auto" w:fill="EEF3F8"/>
          </w:tcPr>
          <w:p>
            <w:pPr>
              <w:spacing w:after="20"/>
              <w:jc w:val="right"/>
            </w:pPr>
            <w:r/>
            <w:r>
              <w:rPr>
                <w:b w:val="0"/>
                <w:i w:val="0"/>
                <w:sz w:val="16"/>
              </w:rPr>
              <w:t>42.7</w:t>
            </w:r>
          </w:p>
        </w:tc>
        <w:tc>
          <w:tcPr>
            <w:tcW w:type="dxa" w:w="1134"/>
            <w:shd w:val="clear" w:color="auto" w:fill="EEF3F8"/>
          </w:tcPr>
          <w:p>
            <w:pPr>
              <w:spacing w:after="20"/>
              <w:jc w:val="right"/>
            </w:pPr>
            <w:r/>
            <w:r>
              <w:rPr>
                <w:b w:val="0"/>
                <w:i w:val="0"/>
                <w:sz w:val="16"/>
              </w:rPr>
              <w:t>61.8</w:t>
            </w:r>
          </w:p>
        </w:tc>
        <w:tc>
          <w:tcPr>
            <w:tcW w:type="dxa" w:w="1247"/>
            <w:shd w:val="clear" w:color="auto" w:fill="EEF3F8"/>
          </w:tcPr>
          <w:p>
            <w:pPr>
              <w:spacing w:after="20"/>
              <w:jc w:val="right"/>
            </w:pPr>
            <w:r/>
            <w:r>
              <w:rPr>
                <w:b w:val="0"/>
                <w:i w:val="0"/>
                <w:sz w:val="16"/>
              </w:rPr>
              <w:t>40.2</w:t>
            </w:r>
          </w:p>
        </w:tc>
        <w:tc>
          <w:tcPr>
            <w:tcW w:type="dxa" w:w="1247"/>
            <w:shd w:val="clear" w:color="auto" w:fill="EEF3F8"/>
          </w:tcPr>
          <w:p>
            <w:pPr>
              <w:spacing w:after="20"/>
              <w:jc w:val="right"/>
            </w:pPr>
            <w:r/>
            <w:r>
              <w:rPr>
                <w:b w:val="0"/>
                <w:i w:val="0"/>
                <w:sz w:val="16"/>
              </w:rPr>
              <w:t>3.7</w:t>
            </w:r>
          </w:p>
        </w:tc>
        <w:tc>
          <w:tcPr>
            <w:tcW w:type="dxa" w:w="1247"/>
            <w:shd w:val="clear" w:color="auto" w:fill="EEF3F8"/>
          </w:tcPr>
          <w:p>
            <w:pPr>
              <w:spacing w:after="20"/>
              <w:jc w:val="right"/>
            </w:pPr>
            <w:r/>
            <w:r>
              <w:rPr>
                <w:b w:val="0"/>
                <w:i w:val="0"/>
                <w:sz w:val="16"/>
              </w:rPr>
              <w:t>502.1</w:t>
            </w:r>
          </w:p>
        </w:tc>
      </w:tr>
      <w:tr>
        <w:trPr>
          <w:cantSplit/>
        </w:trPr>
        <w:tc>
          <w:tcPr>
            <w:tcW w:type="dxa" w:w="1134"/>
          </w:tcPr>
          <w:p>
            <w:pPr>
              <w:spacing w:after="20"/>
            </w:pPr>
            <w:r/>
            <w:r>
              <w:rPr>
                <w:b w:val="0"/>
                <w:i w:val="0"/>
                <w:sz w:val="16"/>
              </w:rPr>
              <w:t>Sep-25</w:t>
            </w:r>
          </w:p>
        </w:tc>
        <w:tc>
          <w:tcPr>
            <w:tcW w:type="dxa" w:w="1247"/>
          </w:tcPr>
          <w:p>
            <w:pPr>
              <w:spacing w:after="20"/>
              <w:jc w:val="right"/>
            </w:pPr>
            <w:r/>
            <w:r>
              <w:rPr>
                <w:b w:val="0"/>
                <w:i w:val="0"/>
                <w:sz w:val="16"/>
              </w:rPr>
              <w:t>205.6</w:t>
            </w:r>
          </w:p>
        </w:tc>
        <w:tc>
          <w:tcPr>
            <w:tcW w:type="dxa" w:w="1247"/>
          </w:tcPr>
          <w:p>
            <w:pPr>
              <w:spacing w:after="20"/>
              <w:jc w:val="right"/>
            </w:pPr>
            <w:r/>
            <w:r>
              <w:rPr>
                <w:b w:val="0"/>
                <w:i w:val="0"/>
                <w:sz w:val="16"/>
              </w:rPr>
              <w:t>143.6</w:t>
            </w:r>
          </w:p>
        </w:tc>
        <w:tc>
          <w:tcPr>
            <w:tcW w:type="dxa" w:w="1134"/>
          </w:tcPr>
          <w:p>
            <w:pPr>
              <w:spacing w:after="20"/>
              <w:jc w:val="right"/>
            </w:pPr>
            <w:r/>
            <w:r>
              <w:rPr>
                <w:b w:val="0"/>
                <w:i w:val="0"/>
                <w:sz w:val="16"/>
              </w:rPr>
              <w:t>42.0</w:t>
            </w:r>
          </w:p>
        </w:tc>
        <w:tc>
          <w:tcPr>
            <w:tcW w:type="dxa" w:w="1134"/>
          </w:tcPr>
          <w:p>
            <w:pPr>
              <w:spacing w:after="20"/>
              <w:jc w:val="right"/>
            </w:pPr>
            <w:r/>
            <w:r>
              <w:rPr>
                <w:b w:val="0"/>
                <w:i w:val="0"/>
                <w:sz w:val="16"/>
              </w:rPr>
              <w:t>56.6</w:t>
            </w:r>
          </w:p>
        </w:tc>
        <w:tc>
          <w:tcPr>
            <w:tcW w:type="dxa" w:w="1247"/>
          </w:tcPr>
          <w:p>
            <w:pPr>
              <w:spacing w:after="20"/>
              <w:jc w:val="right"/>
            </w:pPr>
            <w:r/>
            <w:r>
              <w:rPr>
                <w:b w:val="0"/>
                <w:i w:val="0"/>
                <w:sz w:val="16"/>
              </w:rPr>
              <w:t>32.3</w:t>
            </w:r>
          </w:p>
        </w:tc>
        <w:tc>
          <w:tcPr>
            <w:tcW w:type="dxa" w:w="1247"/>
          </w:tcPr>
          <w:p>
            <w:pPr>
              <w:spacing w:after="20"/>
              <w:jc w:val="right"/>
            </w:pPr>
            <w:r/>
            <w:r>
              <w:rPr>
                <w:b w:val="0"/>
                <w:i w:val="0"/>
                <w:sz w:val="16"/>
              </w:rPr>
              <w:t>4.1</w:t>
            </w:r>
          </w:p>
        </w:tc>
        <w:tc>
          <w:tcPr>
            <w:tcW w:type="dxa" w:w="1247"/>
          </w:tcPr>
          <w:p>
            <w:pPr>
              <w:spacing w:after="20"/>
              <w:jc w:val="right"/>
            </w:pPr>
            <w:r/>
            <w:r>
              <w:rPr>
                <w:b w:val="0"/>
                <w:i w:val="0"/>
                <w:sz w:val="16"/>
              </w:rPr>
              <w:t>484.3</w:t>
            </w:r>
          </w:p>
        </w:tc>
      </w:tr>
      <w:tr>
        <w:trPr>
          <w:cantSplit/>
        </w:trPr>
        <w:tc>
          <w:tcPr>
            <w:tcW w:type="dxa" w:w="1134"/>
            <w:shd w:val="clear" w:color="auto" w:fill="EEF3F8"/>
          </w:tcPr>
          <w:p>
            <w:pPr>
              <w:spacing w:after="20"/>
            </w:pPr>
            <w:r/>
            <w:r>
              <w:rPr>
                <w:b w:val="0"/>
                <w:i w:val="0"/>
                <w:sz w:val="16"/>
              </w:rPr>
              <w:t>Oct-25</w:t>
            </w:r>
          </w:p>
        </w:tc>
        <w:tc>
          <w:tcPr>
            <w:tcW w:type="dxa" w:w="1247"/>
            <w:shd w:val="clear" w:color="auto" w:fill="EEF3F8"/>
          </w:tcPr>
          <w:p>
            <w:pPr>
              <w:spacing w:after="20"/>
              <w:jc w:val="right"/>
            </w:pPr>
            <w:r/>
            <w:r>
              <w:rPr>
                <w:b w:val="0"/>
                <w:i w:val="0"/>
                <w:sz w:val="16"/>
              </w:rPr>
              <w:t>219.7</w:t>
            </w:r>
          </w:p>
        </w:tc>
        <w:tc>
          <w:tcPr>
            <w:tcW w:type="dxa" w:w="1247"/>
            <w:shd w:val="clear" w:color="auto" w:fill="EEF3F8"/>
          </w:tcPr>
          <w:p>
            <w:pPr>
              <w:spacing w:after="20"/>
              <w:jc w:val="right"/>
            </w:pPr>
            <w:r/>
            <w:r>
              <w:rPr>
                <w:b w:val="0"/>
                <w:i w:val="0"/>
                <w:sz w:val="16"/>
              </w:rPr>
              <w:t>146.9</w:t>
            </w:r>
          </w:p>
        </w:tc>
        <w:tc>
          <w:tcPr>
            <w:tcW w:type="dxa" w:w="1134"/>
            <w:shd w:val="clear" w:color="auto" w:fill="EEF3F8"/>
          </w:tcPr>
          <w:p>
            <w:pPr>
              <w:spacing w:after="20"/>
              <w:jc w:val="right"/>
            </w:pPr>
            <w:r/>
            <w:r>
              <w:rPr>
                <w:b w:val="0"/>
                <w:i w:val="0"/>
                <w:sz w:val="16"/>
              </w:rPr>
              <w:t>41.2</w:t>
            </w:r>
          </w:p>
        </w:tc>
        <w:tc>
          <w:tcPr>
            <w:tcW w:type="dxa" w:w="1134"/>
            <w:shd w:val="clear" w:color="auto" w:fill="EEF3F8"/>
          </w:tcPr>
          <w:p>
            <w:pPr>
              <w:spacing w:after="20"/>
              <w:jc w:val="right"/>
            </w:pPr>
            <w:r/>
            <w:r>
              <w:rPr>
                <w:b w:val="0"/>
                <w:i w:val="0"/>
                <w:sz w:val="16"/>
              </w:rPr>
              <w:t>56.4</w:t>
            </w:r>
          </w:p>
        </w:tc>
        <w:tc>
          <w:tcPr>
            <w:tcW w:type="dxa" w:w="1247"/>
            <w:shd w:val="clear" w:color="auto" w:fill="EEF3F8"/>
          </w:tcPr>
          <w:p>
            <w:pPr>
              <w:spacing w:after="20"/>
              <w:jc w:val="right"/>
            </w:pPr>
            <w:r/>
            <w:r>
              <w:rPr>
                <w:b w:val="0"/>
                <w:i w:val="0"/>
                <w:sz w:val="16"/>
              </w:rPr>
              <w:t>37.3</w:t>
            </w:r>
          </w:p>
        </w:tc>
        <w:tc>
          <w:tcPr>
            <w:tcW w:type="dxa" w:w="1247"/>
            <w:shd w:val="clear" w:color="auto" w:fill="EEF3F8"/>
          </w:tcPr>
          <w:p>
            <w:pPr>
              <w:spacing w:after="20"/>
              <w:jc w:val="right"/>
            </w:pPr>
            <w:r/>
            <w:r>
              <w:rPr>
                <w:b w:val="0"/>
                <w:i w:val="0"/>
                <w:sz w:val="16"/>
              </w:rPr>
              <w:t>3.7</w:t>
            </w:r>
          </w:p>
        </w:tc>
        <w:tc>
          <w:tcPr>
            <w:tcW w:type="dxa" w:w="1247"/>
            <w:shd w:val="clear" w:color="auto" w:fill="EEF3F8"/>
          </w:tcPr>
          <w:p>
            <w:pPr>
              <w:spacing w:after="20"/>
              <w:jc w:val="right"/>
            </w:pPr>
            <w:r/>
            <w:r>
              <w:rPr>
                <w:b w:val="0"/>
                <w:i w:val="0"/>
                <w:sz w:val="16"/>
              </w:rPr>
              <w:t>505.4</w:t>
            </w:r>
          </w:p>
        </w:tc>
      </w:tr>
      <w:tr>
        <w:trPr>
          <w:cantSplit/>
        </w:trPr>
        <w:tc>
          <w:tcPr>
            <w:tcW w:type="dxa" w:w="1134"/>
          </w:tcPr>
          <w:p>
            <w:pPr>
              <w:spacing w:after="20"/>
            </w:pPr>
            <w:r/>
            <w:r>
              <w:rPr>
                <w:b w:val="0"/>
                <w:i w:val="0"/>
                <w:sz w:val="16"/>
              </w:rPr>
              <w:t>Nov-25</w:t>
            </w:r>
          </w:p>
        </w:tc>
        <w:tc>
          <w:tcPr>
            <w:tcW w:type="dxa" w:w="1247"/>
          </w:tcPr>
          <w:p>
            <w:pPr>
              <w:spacing w:after="20"/>
              <w:jc w:val="right"/>
            </w:pPr>
            <w:r/>
            <w:r>
              <w:rPr>
                <w:b w:val="0"/>
                <w:i w:val="0"/>
                <w:sz w:val="16"/>
              </w:rPr>
              <w:t>196.6</w:t>
            </w:r>
          </w:p>
        </w:tc>
        <w:tc>
          <w:tcPr>
            <w:tcW w:type="dxa" w:w="1247"/>
          </w:tcPr>
          <w:p>
            <w:pPr>
              <w:spacing w:after="20"/>
              <w:jc w:val="right"/>
            </w:pPr>
            <w:r/>
            <w:r>
              <w:rPr>
                <w:b w:val="0"/>
                <w:i w:val="0"/>
                <w:sz w:val="16"/>
              </w:rPr>
              <w:t>128.4</w:t>
            </w:r>
          </w:p>
        </w:tc>
        <w:tc>
          <w:tcPr>
            <w:tcW w:type="dxa" w:w="1134"/>
          </w:tcPr>
          <w:p>
            <w:pPr>
              <w:spacing w:after="20"/>
              <w:jc w:val="right"/>
            </w:pPr>
            <w:r/>
            <w:r>
              <w:rPr>
                <w:b w:val="0"/>
                <w:i w:val="0"/>
                <w:sz w:val="16"/>
              </w:rPr>
              <w:t>41.4</w:t>
            </w:r>
          </w:p>
        </w:tc>
        <w:tc>
          <w:tcPr>
            <w:tcW w:type="dxa" w:w="1134"/>
          </w:tcPr>
          <w:p>
            <w:pPr>
              <w:spacing w:after="20"/>
              <w:jc w:val="right"/>
            </w:pPr>
            <w:r/>
            <w:r>
              <w:rPr>
                <w:b w:val="0"/>
                <w:i w:val="0"/>
                <w:sz w:val="16"/>
              </w:rPr>
              <w:t>55.7</w:t>
            </w:r>
          </w:p>
        </w:tc>
        <w:tc>
          <w:tcPr>
            <w:tcW w:type="dxa" w:w="1247"/>
          </w:tcPr>
          <w:p>
            <w:pPr>
              <w:spacing w:after="20"/>
              <w:jc w:val="right"/>
            </w:pPr>
            <w:r/>
            <w:r>
              <w:rPr>
                <w:b w:val="0"/>
                <w:i w:val="0"/>
                <w:sz w:val="16"/>
              </w:rPr>
              <w:t>41.8</w:t>
            </w:r>
          </w:p>
        </w:tc>
        <w:tc>
          <w:tcPr>
            <w:tcW w:type="dxa" w:w="1247"/>
          </w:tcPr>
          <w:p>
            <w:pPr>
              <w:spacing w:after="20"/>
              <w:jc w:val="right"/>
            </w:pPr>
            <w:r/>
            <w:r>
              <w:rPr>
                <w:b w:val="0"/>
                <w:i w:val="0"/>
                <w:sz w:val="16"/>
              </w:rPr>
              <w:t>3.7</w:t>
            </w:r>
          </w:p>
        </w:tc>
        <w:tc>
          <w:tcPr>
            <w:tcW w:type="dxa" w:w="1247"/>
          </w:tcPr>
          <w:p>
            <w:pPr>
              <w:spacing w:after="20"/>
              <w:jc w:val="right"/>
            </w:pPr>
            <w:r/>
            <w:r>
              <w:rPr>
                <w:b w:val="0"/>
                <w:i w:val="0"/>
                <w:sz w:val="16"/>
              </w:rPr>
              <w:t>467.6</w:t>
            </w:r>
          </w:p>
        </w:tc>
      </w:tr>
      <w:tr>
        <w:trPr>
          <w:cantSplit/>
        </w:trPr>
        <w:tc>
          <w:tcPr>
            <w:tcW w:type="dxa" w:w="1134"/>
            <w:shd w:val="clear" w:color="auto" w:fill="EEF3F8"/>
          </w:tcPr>
          <w:p>
            <w:pPr>
              <w:spacing w:after="20"/>
            </w:pPr>
            <w:r/>
            <w:r>
              <w:rPr>
                <w:b w:val="0"/>
                <w:i w:val="0"/>
                <w:sz w:val="16"/>
              </w:rPr>
              <w:t>Dec-25</w:t>
            </w:r>
          </w:p>
        </w:tc>
        <w:tc>
          <w:tcPr>
            <w:tcW w:type="dxa" w:w="1247"/>
            <w:shd w:val="clear" w:color="auto" w:fill="EEF3F8"/>
          </w:tcPr>
          <w:p>
            <w:pPr>
              <w:spacing w:after="20"/>
              <w:jc w:val="right"/>
            </w:pPr>
            <w:r/>
            <w:r>
              <w:rPr>
                <w:b w:val="0"/>
                <w:i w:val="0"/>
                <w:sz w:val="16"/>
              </w:rPr>
              <w:t>212.9</w:t>
            </w:r>
          </w:p>
        </w:tc>
        <w:tc>
          <w:tcPr>
            <w:tcW w:type="dxa" w:w="1247"/>
            <w:shd w:val="clear" w:color="auto" w:fill="EEF3F8"/>
          </w:tcPr>
          <w:p>
            <w:pPr>
              <w:spacing w:after="20"/>
              <w:jc w:val="right"/>
            </w:pPr>
            <w:r/>
            <w:r>
              <w:rPr>
                <w:b w:val="0"/>
                <w:i w:val="0"/>
                <w:sz w:val="16"/>
              </w:rPr>
              <w:t>155.3</w:t>
            </w:r>
          </w:p>
        </w:tc>
        <w:tc>
          <w:tcPr>
            <w:tcW w:type="dxa" w:w="1134"/>
            <w:shd w:val="clear" w:color="auto" w:fill="EEF3F8"/>
          </w:tcPr>
          <w:p>
            <w:pPr>
              <w:spacing w:after="20"/>
              <w:jc w:val="right"/>
            </w:pPr>
            <w:r/>
            <w:r>
              <w:rPr>
                <w:b w:val="0"/>
                <w:i w:val="0"/>
                <w:sz w:val="16"/>
              </w:rPr>
              <w:t>42.5</w:t>
            </w:r>
          </w:p>
        </w:tc>
        <w:tc>
          <w:tcPr>
            <w:tcW w:type="dxa" w:w="1134"/>
            <w:shd w:val="clear" w:color="auto" w:fill="EEF3F8"/>
          </w:tcPr>
          <w:p>
            <w:pPr>
              <w:spacing w:after="20"/>
              <w:jc w:val="right"/>
            </w:pPr>
            <w:r/>
            <w:r>
              <w:rPr>
                <w:b w:val="0"/>
                <w:i w:val="0"/>
                <w:sz w:val="16"/>
              </w:rPr>
              <w:t>59.4</w:t>
            </w:r>
          </w:p>
        </w:tc>
        <w:tc>
          <w:tcPr>
            <w:tcW w:type="dxa" w:w="1247"/>
            <w:shd w:val="clear" w:color="auto" w:fill="EEF3F8"/>
          </w:tcPr>
          <w:p>
            <w:pPr>
              <w:spacing w:after="20"/>
              <w:jc w:val="right"/>
            </w:pPr>
            <w:r/>
            <w:r>
              <w:rPr>
                <w:b w:val="0"/>
                <w:i w:val="0"/>
                <w:sz w:val="16"/>
              </w:rPr>
              <w:t>34.0</w:t>
            </w:r>
          </w:p>
        </w:tc>
        <w:tc>
          <w:tcPr>
            <w:tcW w:type="dxa" w:w="1247"/>
            <w:shd w:val="clear" w:color="auto" w:fill="EEF3F8"/>
          </w:tcPr>
          <w:p>
            <w:pPr>
              <w:spacing w:after="20"/>
              <w:jc w:val="right"/>
            </w:pPr>
            <w:r/>
            <w:r>
              <w:rPr>
                <w:b w:val="0"/>
                <w:i w:val="0"/>
                <w:sz w:val="16"/>
              </w:rPr>
              <w:t>4.1</w:t>
            </w:r>
          </w:p>
        </w:tc>
        <w:tc>
          <w:tcPr>
            <w:tcW w:type="dxa" w:w="1247"/>
            <w:shd w:val="clear" w:color="auto" w:fill="EEF3F8"/>
          </w:tcPr>
          <w:p>
            <w:pPr>
              <w:spacing w:after="20"/>
              <w:jc w:val="right"/>
            </w:pPr>
            <w:r/>
            <w:r>
              <w:rPr>
                <w:b w:val="0"/>
                <w:i w:val="0"/>
                <w:sz w:val="16"/>
              </w:rPr>
              <w:t>508.3</w:t>
            </w:r>
          </w:p>
        </w:tc>
      </w:tr>
      <w:tr>
        <w:trPr>
          <w:cantSplit/>
        </w:trPr>
        <w:tc>
          <w:tcPr>
            <w:tcW w:type="dxa" w:w="1134"/>
          </w:tcPr>
          <w:p>
            <w:pPr>
              <w:spacing w:after="20"/>
            </w:pPr>
            <w:r/>
            <w:r>
              <w:rPr>
                <w:b w:val="0"/>
                <w:i w:val="0"/>
                <w:sz w:val="16"/>
              </w:rPr>
              <w:t>Jan-26</w:t>
            </w:r>
          </w:p>
        </w:tc>
        <w:tc>
          <w:tcPr>
            <w:tcW w:type="dxa" w:w="1247"/>
          </w:tcPr>
          <w:p>
            <w:pPr>
              <w:spacing w:after="20"/>
              <w:jc w:val="right"/>
            </w:pPr>
            <w:r/>
            <w:r>
              <w:rPr>
                <w:b w:val="0"/>
                <w:i w:val="0"/>
                <w:sz w:val="16"/>
              </w:rPr>
              <w:t>209.9</w:t>
            </w:r>
          </w:p>
        </w:tc>
        <w:tc>
          <w:tcPr>
            <w:tcW w:type="dxa" w:w="1247"/>
          </w:tcPr>
          <w:p>
            <w:pPr>
              <w:spacing w:after="20"/>
              <w:jc w:val="right"/>
            </w:pPr>
            <w:r/>
            <w:r>
              <w:rPr>
                <w:b w:val="0"/>
                <w:i w:val="0"/>
                <w:sz w:val="16"/>
              </w:rPr>
              <w:t>154.2</w:t>
            </w:r>
          </w:p>
        </w:tc>
        <w:tc>
          <w:tcPr>
            <w:tcW w:type="dxa" w:w="1134"/>
          </w:tcPr>
          <w:p>
            <w:pPr>
              <w:spacing w:after="20"/>
              <w:jc w:val="right"/>
            </w:pPr>
            <w:r/>
            <w:r>
              <w:rPr>
                <w:b w:val="0"/>
                <w:i w:val="0"/>
                <w:sz w:val="16"/>
              </w:rPr>
              <w:t>43.7</w:t>
            </w:r>
          </w:p>
        </w:tc>
        <w:tc>
          <w:tcPr>
            <w:tcW w:type="dxa" w:w="1134"/>
          </w:tcPr>
          <w:p>
            <w:pPr>
              <w:spacing w:after="20"/>
              <w:jc w:val="right"/>
            </w:pPr>
            <w:r/>
            <w:r>
              <w:rPr>
                <w:b w:val="0"/>
                <w:i w:val="0"/>
                <w:sz w:val="16"/>
              </w:rPr>
              <w:t>59.5</w:t>
            </w:r>
          </w:p>
        </w:tc>
        <w:tc>
          <w:tcPr>
            <w:tcW w:type="dxa" w:w="1247"/>
          </w:tcPr>
          <w:p>
            <w:pPr>
              <w:spacing w:after="20"/>
              <w:jc w:val="right"/>
            </w:pPr>
            <w:r/>
            <w:r>
              <w:rPr>
                <w:b w:val="0"/>
                <w:i w:val="0"/>
                <w:sz w:val="16"/>
              </w:rPr>
              <w:t>29.4</w:t>
            </w:r>
          </w:p>
        </w:tc>
        <w:tc>
          <w:tcPr>
            <w:tcW w:type="dxa" w:w="1247"/>
          </w:tcPr>
          <w:p>
            <w:pPr>
              <w:spacing w:after="20"/>
              <w:jc w:val="right"/>
            </w:pPr>
            <w:r/>
            <w:r>
              <w:rPr>
                <w:b w:val="0"/>
                <w:i w:val="0"/>
                <w:sz w:val="16"/>
              </w:rPr>
              <w:t>4.6</w:t>
            </w:r>
          </w:p>
        </w:tc>
        <w:tc>
          <w:tcPr>
            <w:tcW w:type="dxa" w:w="1247"/>
          </w:tcPr>
          <w:p>
            <w:pPr>
              <w:spacing w:after="20"/>
              <w:jc w:val="right"/>
            </w:pPr>
            <w:r/>
            <w:r>
              <w:rPr>
                <w:b w:val="0"/>
                <w:i w:val="0"/>
                <w:sz w:val="16"/>
              </w:rPr>
              <w:t>501.3</w:t>
            </w:r>
          </w:p>
        </w:tc>
      </w:tr>
      <w:tr>
        <w:trPr>
          <w:cantSplit/>
        </w:trPr>
        <w:tc>
          <w:tcPr>
            <w:tcW w:type="dxa" w:w="1134"/>
            <w:shd w:val="clear" w:color="auto" w:fill="EEF3F8"/>
          </w:tcPr>
          <w:p>
            <w:pPr>
              <w:spacing w:after="20"/>
            </w:pPr>
            <w:r/>
            <w:r>
              <w:rPr>
                <w:b w:val="0"/>
                <w:i w:val="0"/>
                <w:sz w:val="16"/>
              </w:rPr>
              <w:t>Feb-26</w:t>
            </w:r>
          </w:p>
        </w:tc>
        <w:tc>
          <w:tcPr>
            <w:tcW w:type="dxa" w:w="1247"/>
            <w:shd w:val="clear" w:color="auto" w:fill="EEF3F8"/>
          </w:tcPr>
          <w:p>
            <w:pPr>
              <w:spacing w:after="20"/>
              <w:jc w:val="right"/>
            </w:pPr>
            <w:r/>
            <w:r>
              <w:rPr>
                <w:b w:val="0"/>
                <w:i w:val="0"/>
                <w:sz w:val="16"/>
              </w:rPr>
              <w:t>202.5</w:t>
            </w:r>
          </w:p>
        </w:tc>
        <w:tc>
          <w:tcPr>
            <w:tcW w:type="dxa" w:w="1247"/>
            <w:shd w:val="clear" w:color="auto" w:fill="EEF3F8"/>
          </w:tcPr>
          <w:p>
            <w:pPr>
              <w:spacing w:after="20"/>
              <w:jc w:val="right"/>
            </w:pPr>
            <w:r/>
            <w:r>
              <w:rPr>
                <w:b w:val="0"/>
                <w:i w:val="0"/>
                <w:sz w:val="16"/>
              </w:rPr>
              <w:t>137.6</w:t>
            </w:r>
          </w:p>
        </w:tc>
        <w:tc>
          <w:tcPr>
            <w:tcW w:type="dxa" w:w="1134"/>
            <w:shd w:val="clear" w:color="auto" w:fill="EEF3F8"/>
          </w:tcPr>
          <w:p>
            <w:pPr>
              <w:spacing w:after="20"/>
              <w:jc w:val="right"/>
            </w:pPr>
            <w:r/>
            <w:r>
              <w:rPr>
                <w:b w:val="0"/>
                <w:i w:val="0"/>
                <w:sz w:val="16"/>
              </w:rPr>
              <w:t>36.5</w:t>
            </w:r>
          </w:p>
        </w:tc>
        <w:tc>
          <w:tcPr>
            <w:tcW w:type="dxa" w:w="1134"/>
            <w:shd w:val="clear" w:color="auto" w:fill="EEF3F8"/>
          </w:tcPr>
          <w:p>
            <w:pPr>
              <w:spacing w:after="20"/>
              <w:jc w:val="right"/>
            </w:pPr>
            <w:r/>
            <w:r>
              <w:rPr>
                <w:b w:val="0"/>
                <w:i w:val="0"/>
                <w:sz w:val="16"/>
              </w:rPr>
              <w:t>54.6</w:t>
            </w:r>
          </w:p>
        </w:tc>
        <w:tc>
          <w:tcPr>
            <w:tcW w:type="dxa" w:w="1247"/>
            <w:shd w:val="clear" w:color="auto" w:fill="EEF3F8"/>
          </w:tcPr>
          <w:p>
            <w:pPr>
              <w:spacing w:after="20"/>
              <w:jc w:val="right"/>
            </w:pPr>
            <w:r/>
            <w:r>
              <w:rPr>
                <w:b w:val="0"/>
                <w:i w:val="0"/>
                <w:sz w:val="16"/>
              </w:rPr>
              <w:t>22.5</w:t>
            </w:r>
          </w:p>
        </w:tc>
        <w:tc>
          <w:tcPr>
            <w:tcW w:type="dxa" w:w="1247"/>
            <w:shd w:val="clear" w:color="auto" w:fill="EEF3F8"/>
          </w:tcPr>
          <w:p>
            <w:pPr>
              <w:spacing w:after="20"/>
              <w:jc w:val="right"/>
            </w:pPr>
            <w:r/>
            <w:r>
              <w:rPr>
                <w:b w:val="0"/>
                <w:i w:val="0"/>
                <w:sz w:val="16"/>
              </w:rPr>
              <w:t>4.2</w:t>
            </w:r>
          </w:p>
        </w:tc>
        <w:tc>
          <w:tcPr>
            <w:tcW w:type="dxa" w:w="1247"/>
            <w:shd w:val="clear" w:color="auto" w:fill="EEF3F8"/>
          </w:tcPr>
          <w:p>
            <w:pPr>
              <w:spacing w:after="20"/>
              <w:jc w:val="right"/>
            </w:pPr>
            <w:r/>
            <w:r>
              <w:rPr>
                <w:b w:val="0"/>
                <w:i w:val="0"/>
                <w:sz w:val="16"/>
              </w:rPr>
              <w:t>457.9</w:t>
            </w:r>
          </w:p>
        </w:tc>
      </w:tr>
    </w:tbl>
    <w:p>
      <w:r>
        <w:rPr>
          <w:i/>
          <w:sz w:val="16"/>
        </w:rPr>
        <w:t>Avgas (≈0.1 kt a month) is included in the total. March 2026 is blank in the source.</w:t>
      </w:r>
    </w:p>
    <w:p>
      <w:pPr>
        <w:pStyle w:val="Heading1"/>
      </w:pPr>
      <w:r>
        <w:t>Annex B. Year-on-year growth by month (%)</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cantSplit/>
        </w:trPr>
        <w:tc>
          <w:tcPr>
            <w:tcW w:type="dxa" w:w="1134"/>
            <w:shd w:val="clear" w:color="auto" w:fill="1F4E79"/>
          </w:tcPr>
          <w:p>
            <w:pPr>
              <w:spacing w:after="20"/>
            </w:pPr>
            <w:r/>
            <w:r>
              <w:rPr>
                <w:b/>
                <w:color w:val="FFFFFF"/>
                <w:sz w:val="16"/>
              </w:rPr>
              <w:t>Month</w:t>
            </w:r>
          </w:p>
        </w:tc>
        <w:tc>
          <w:tcPr>
            <w:tcW w:type="dxa" w:w="1247"/>
            <w:shd w:val="clear" w:color="auto" w:fill="1F4E79"/>
          </w:tcPr>
          <w:p>
            <w:pPr>
              <w:spacing w:after="20"/>
            </w:pPr>
            <w:r/>
            <w:r>
              <w:rPr>
                <w:b/>
                <w:color w:val="FFFFFF"/>
                <w:sz w:val="16"/>
              </w:rPr>
              <w:t>Diesel</w:t>
            </w:r>
          </w:p>
        </w:tc>
        <w:tc>
          <w:tcPr>
            <w:tcW w:type="dxa" w:w="1247"/>
            <w:shd w:val="clear" w:color="auto" w:fill="1F4E79"/>
          </w:tcPr>
          <w:p>
            <w:pPr>
              <w:spacing w:after="20"/>
            </w:pPr>
            <w:r/>
            <w:r>
              <w:rPr>
                <w:b/>
                <w:color w:val="FFFFFF"/>
                <w:sz w:val="16"/>
              </w:rPr>
              <w:t>Petrol</w:t>
            </w:r>
          </w:p>
        </w:tc>
        <w:tc>
          <w:tcPr>
            <w:tcW w:type="dxa" w:w="1134"/>
            <w:shd w:val="clear" w:color="auto" w:fill="1F4E79"/>
          </w:tcPr>
          <w:p>
            <w:pPr>
              <w:spacing w:after="20"/>
            </w:pPr>
            <w:r/>
            <w:r>
              <w:rPr>
                <w:b/>
                <w:color w:val="FFFFFF"/>
                <w:sz w:val="16"/>
              </w:rPr>
              <w:t>LPG</w:t>
            </w:r>
          </w:p>
        </w:tc>
        <w:tc>
          <w:tcPr>
            <w:tcW w:type="dxa" w:w="1134"/>
            <w:shd w:val="clear" w:color="auto" w:fill="1F4E79"/>
          </w:tcPr>
          <w:p>
            <w:pPr>
              <w:spacing w:after="20"/>
            </w:pPr>
            <w:r/>
            <w:r>
              <w:rPr>
                <w:b/>
                <w:color w:val="FFFFFF"/>
                <w:sz w:val="16"/>
              </w:rPr>
              <w:t>Jet*</w:t>
            </w:r>
          </w:p>
        </w:tc>
        <w:tc>
          <w:tcPr>
            <w:tcW w:type="dxa" w:w="1247"/>
            <w:shd w:val="clear" w:color="auto" w:fill="1F4E79"/>
          </w:tcPr>
          <w:p>
            <w:pPr>
              <w:spacing w:after="20"/>
            </w:pPr>
            <w:r/>
            <w:r>
              <w:rPr>
                <w:b/>
                <w:color w:val="FFFFFF"/>
                <w:sz w:val="16"/>
              </w:rPr>
              <w:t>Fuel oil*</w:t>
            </w:r>
          </w:p>
        </w:tc>
        <w:tc>
          <w:tcPr>
            <w:tcW w:type="dxa" w:w="1247"/>
            <w:shd w:val="clear" w:color="auto" w:fill="1F4E79"/>
          </w:tcPr>
          <w:p>
            <w:pPr>
              <w:spacing w:after="20"/>
            </w:pPr>
            <w:r/>
            <w:r>
              <w:rPr>
                <w:b/>
                <w:color w:val="FFFFFF"/>
                <w:sz w:val="16"/>
              </w:rPr>
              <w:t>Kerosene</w:t>
            </w:r>
          </w:p>
        </w:tc>
        <w:tc>
          <w:tcPr>
            <w:tcW w:type="dxa" w:w="1247"/>
            <w:shd w:val="clear" w:color="auto" w:fill="1F4E79"/>
          </w:tcPr>
          <w:p>
            <w:pPr>
              <w:spacing w:after="20"/>
            </w:pPr>
            <w:r/>
            <w:r>
              <w:rPr>
                <w:b/>
                <w:color w:val="FFFFFF"/>
                <w:sz w:val="16"/>
              </w:rPr>
              <w:t>Total</w:t>
            </w:r>
          </w:p>
        </w:tc>
      </w:tr>
      <w:tr>
        <w:trPr>
          <w:cantSplit/>
        </w:trPr>
        <w:tc>
          <w:tcPr>
            <w:tcW w:type="dxa" w:w="1134"/>
          </w:tcPr>
          <w:p>
            <w:pPr>
              <w:spacing w:after="20"/>
            </w:pPr>
            <w:r/>
            <w:r>
              <w:rPr>
                <w:b w:val="0"/>
                <w:i w:val="0"/>
                <w:sz w:val="16"/>
              </w:rPr>
              <w:t>Jan-26</w:t>
            </w:r>
          </w:p>
        </w:tc>
        <w:tc>
          <w:tcPr>
            <w:tcW w:type="dxa" w:w="1247"/>
          </w:tcPr>
          <w:p>
            <w:pPr>
              <w:spacing w:after="20"/>
              <w:jc w:val="right"/>
            </w:pPr>
            <w:r/>
            <w:r>
              <w:rPr>
                <w:b w:val="0"/>
                <w:i w:val="0"/>
                <w:sz w:val="16"/>
              </w:rPr>
              <w:t>+7.7</w:t>
            </w:r>
          </w:p>
        </w:tc>
        <w:tc>
          <w:tcPr>
            <w:tcW w:type="dxa" w:w="1247"/>
          </w:tcPr>
          <w:p>
            <w:pPr>
              <w:spacing w:after="20"/>
              <w:jc w:val="right"/>
            </w:pPr>
            <w:r/>
            <w:r>
              <w:rPr>
                <w:b w:val="0"/>
                <w:i w:val="0"/>
                <w:sz w:val="16"/>
              </w:rPr>
              <w:t>+14.3</w:t>
            </w:r>
          </w:p>
        </w:tc>
        <w:tc>
          <w:tcPr>
            <w:tcW w:type="dxa" w:w="1134"/>
          </w:tcPr>
          <w:p>
            <w:pPr>
              <w:spacing w:after="20"/>
              <w:jc w:val="right"/>
            </w:pPr>
            <w:r/>
            <w:r>
              <w:rPr>
                <w:b w:val="0"/>
                <w:i w:val="0"/>
                <w:sz w:val="16"/>
              </w:rPr>
              <w:t>+14.8</w:t>
            </w:r>
          </w:p>
        </w:tc>
        <w:tc>
          <w:tcPr>
            <w:tcW w:type="dxa" w:w="1134"/>
          </w:tcPr>
          <w:p>
            <w:pPr>
              <w:spacing w:after="20"/>
              <w:jc w:val="right"/>
            </w:pPr>
            <w:r/>
            <w:r>
              <w:rPr>
                <w:b w:val="0"/>
                <w:i w:val="0"/>
                <w:sz w:val="16"/>
              </w:rPr>
              <w:t>-11.6</w:t>
            </w:r>
          </w:p>
        </w:tc>
        <w:tc>
          <w:tcPr>
            <w:tcW w:type="dxa" w:w="1247"/>
          </w:tcPr>
          <w:p>
            <w:pPr>
              <w:spacing w:after="20"/>
              <w:jc w:val="right"/>
            </w:pPr>
            <w:r/>
            <w:r>
              <w:rPr>
                <w:b w:val="0"/>
                <w:i w:val="0"/>
                <w:sz w:val="16"/>
              </w:rPr>
              <w:t>+16.8</w:t>
            </w:r>
          </w:p>
        </w:tc>
        <w:tc>
          <w:tcPr>
            <w:tcW w:type="dxa" w:w="1247"/>
          </w:tcPr>
          <w:p>
            <w:pPr>
              <w:spacing w:after="20"/>
              <w:jc w:val="right"/>
            </w:pPr>
            <w:r/>
            <w:r>
              <w:rPr>
                <w:b w:val="0"/>
                <w:i w:val="0"/>
                <w:sz w:val="16"/>
              </w:rPr>
              <w:t>+19.7</w:t>
            </w:r>
          </w:p>
        </w:tc>
        <w:tc>
          <w:tcPr>
            <w:tcW w:type="dxa" w:w="1247"/>
          </w:tcPr>
          <w:p>
            <w:pPr>
              <w:spacing w:after="20"/>
              <w:jc w:val="right"/>
            </w:pPr>
            <w:r/>
            <w:r>
              <w:rPr>
                <w:b w:val="0"/>
                <w:i w:val="0"/>
                <w:sz w:val="16"/>
              </w:rPr>
              <w:t>+8.0</w:t>
            </w:r>
          </w:p>
        </w:tc>
      </w:tr>
      <w:tr>
        <w:trPr>
          <w:cantSplit/>
        </w:trPr>
        <w:tc>
          <w:tcPr>
            <w:tcW w:type="dxa" w:w="1134"/>
            <w:shd w:val="clear" w:color="auto" w:fill="EEF3F8"/>
          </w:tcPr>
          <w:p>
            <w:pPr>
              <w:spacing w:after="20"/>
            </w:pPr>
            <w:r/>
            <w:r>
              <w:rPr>
                <w:b w:val="0"/>
                <w:i w:val="0"/>
                <w:sz w:val="16"/>
              </w:rPr>
              <w:t>Feb-26</w:t>
            </w:r>
          </w:p>
        </w:tc>
        <w:tc>
          <w:tcPr>
            <w:tcW w:type="dxa" w:w="1247"/>
            <w:shd w:val="clear" w:color="auto" w:fill="EEF3F8"/>
          </w:tcPr>
          <w:p>
            <w:pPr>
              <w:spacing w:after="20"/>
              <w:jc w:val="right"/>
            </w:pPr>
            <w:r/>
            <w:r>
              <w:rPr>
                <w:b w:val="0"/>
                <w:i w:val="0"/>
                <w:sz w:val="16"/>
              </w:rPr>
              <w:t>+10.4</w:t>
            </w:r>
          </w:p>
        </w:tc>
        <w:tc>
          <w:tcPr>
            <w:tcW w:type="dxa" w:w="1247"/>
            <w:shd w:val="clear" w:color="auto" w:fill="EEF3F8"/>
          </w:tcPr>
          <w:p>
            <w:pPr>
              <w:spacing w:after="20"/>
              <w:jc w:val="right"/>
            </w:pPr>
            <w:r/>
            <w:r>
              <w:rPr>
                <w:b w:val="0"/>
                <w:i w:val="0"/>
                <w:sz w:val="16"/>
              </w:rPr>
              <w:t>+10.5</w:t>
            </w:r>
          </w:p>
        </w:tc>
        <w:tc>
          <w:tcPr>
            <w:tcW w:type="dxa" w:w="1134"/>
            <w:shd w:val="clear" w:color="auto" w:fill="EEF3F8"/>
          </w:tcPr>
          <w:p>
            <w:pPr>
              <w:spacing w:after="20"/>
              <w:jc w:val="right"/>
            </w:pPr>
            <w:r/>
            <w:r>
              <w:rPr>
                <w:b w:val="0"/>
                <w:i w:val="0"/>
                <w:sz w:val="16"/>
              </w:rPr>
              <w:t>+6.8</w:t>
            </w:r>
          </w:p>
        </w:tc>
        <w:tc>
          <w:tcPr>
            <w:tcW w:type="dxa" w:w="1134"/>
            <w:shd w:val="clear" w:color="auto" w:fill="EEF3F8"/>
          </w:tcPr>
          <w:p>
            <w:pPr>
              <w:spacing w:after="20"/>
              <w:jc w:val="right"/>
            </w:pPr>
            <w:r/>
            <w:r>
              <w:rPr>
                <w:b w:val="0"/>
                <w:i w:val="0"/>
                <w:sz w:val="16"/>
              </w:rPr>
              <w:t>-8.2</w:t>
            </w:r>
          </w:p>
        </w:tc>
        <w:tc>
          <w:tcPr>
            <w:tcW w:type="dxa" w:w="1247"/>
            <w:shd w:val="clear" w:color="auto" w:fill="EEF3F8"/>
          </w:tcPr>
          <w:p>
            <w:pPr>
              <w:spacing w:after="20"/>
              <w:jc w:val="right"/>
            </w:pPr>
            <w:r/>
            <w:r>
              <w:rPr>
                <w:b w:val="0"/>
                <w:i w:val="0"/>
                <w:sz w:val="16"/>
              </w:rPr>
              <w:t>-15.5</w:t>
            </w:r>
          </w:p>
        </w:tc>
        <w:tc>
          <w:tcPr>
            <w:tcW w:type="dxa" w:w="1247"/>
            <w:shd w:val="clear" w:color="auto" w:fill="EEF3F8"/>
          </w:tcPr>
          <w:p>
            <w:pPr>
              <w:spacing w:after="20"/>
              <w:jc w:val="right"/>
            </w:pPr>
            <w:r/>
            <w:r>
              <w:rPr>
                <w:b w:val="0"/>
                <w:i w:val="0"/>
                <w:sz w:val="16"/>
              </w:rPr>
              <w:t>+23.8</w:t>
            </w:r>
          </w:p>
        </w:tc>
        <w:tc>
          <w:tcPr>
            <w:tcW w:type="dxa" w:w="1247"/>
            <w:shd w:val="clear" w:color="auto" w:fill="EEF3F8"/>
          </w:tcPr>
          <w:p>
            <w:pPr>
              <w:spacing w:after="20"/>
              <w:jc w:val="right"/>
            </w:pPr>
            <w:r/>
            <w:r>
              <w:rPr>
                <w:b w:val="0"/>
                <w:i w:val="0"/>
                <w:sz w:val="16"/>
              </w:rPr>
              <w:t>+6.1</w:t>
            </w:r>
          </w:p>
        </w:tc>
      </w:tr>
    </w:tbl>
    <w:p>
      <w:pPr>
        <w:spacing w:after="40"/>
      </w:pPr>
    </w:p>
    <w:p>
      <w:pPr>
        <w:pStyle w:val="Heading1"/>
      </w:pPr>
      <w:r>
        <w:t>Annex C. Forecast tournament: all metrics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701"/>
            <w:shd w:val="clear" w:color="auto" w:fill="1F4E79"/>
          </w:tcPr>
          <w:p>
            <w:pPr>
              <w:spacing w:after="20"/>
            </w:pPr>
            <w:r/>
            <w:r>
              <w:rPr>
                <w:b/>
                <w:color w:val="FFFFFF"/>
                <w:sz w:val="15"/>
              </w:rPr>
              <w:t>Series</w:t>
            </w:r>
          </w:p>
        </w:tc>
        <w:tc>
          <w:tcPr>
            <w:tcW w:type="dxa" w:w="2948"/>
            <w:shd w:val="clear" w:color="auto" w:fill="1F4E79"/>
          </w:tcPr>
          <w:p>
            <w:pPr>
              <w:spacing w:after="20"/>
            </w:pPr>
            <w:r/>
            <w:r>
              <w:rPr>
                <w:b/>
                <w:color w:val="FFFFFF"/>
                <w:sz w:val="15"/>
              </w:rPr>
              <w:t>Model</w:t>
            </w:r>
          </w:p>
        </w:tc>
        <w:tc>
          <w:tcPr>
            <w:tcW w:type="dxa" w:w="964"/>
            <w:shd w:val="clear" w:color="auto" w:fill="1F4E79"/>
          </w:tcPr>
          <w:p>
            <w:pPr>
              <w:spacing w:after="20"/>
            </w:pPr>
            <w:r/>
            <w:r>
              <w:rPr>
                <w:b/>
                <w:color w:val="FFFFFF"/>
                <w:sz w:val="15"/>
              </w:rPr>
              <w:t>MAE</w:t>
            </w:r>
          </w:p>
        </w:tc>
        <w:tc>
          <w:tcPr>
            <w:tcW w:type="dxa" w:w="964"/>
            <w:shd w:val="clear" w:color="auto" w:fill="1F4E79"/>
          </w:tcPr>
          <w:p>
            <w:pPr>
              <w:spacing w:after="20"/>
            </w:pPr>
            <w:r/>
            <w:r>
              <w:rPr>
                <w:b/>
                <w:color w:val="FFFFFF"/>
                <w:sz w:val="15"/>
              </w:rPr>
              <w:t>RMSE</w:t>
            </w:r>
          </w:p>
        </w:tc>
        <w:tc>
          <w:tcPr>
            <w:tcW w:type="dxa" w:w="964"/>
            <w:shd w:val="clear" w:color="auto" w:fill="1F4E79"/>
          </w:tcPr>
          <w:p>
            <w:pPr>
              <w:spacing w:after="20"/>
            </w:pPr>
            <w:r/>
            <w:r>
              <w:rPr>
                <w:b/>
                <w:color w:val="FFFFFF"/>
                <w:sz w:val="15"/>
              </w:rPr>
              <w:t>MAPE</w:t>
            </w:r>
          </w:p>
        </w:tc>
        <w:tc>
          <w:tcPr>
            <w:tcW w:type="dxa" w:w="964"/>
            <w:shd w:val="clear" w:color="auto" w:fill="1F4E79"/>
          </w:tcPr>
          <w:p>
            <w:pPr>
              <w:spacing w:after="20"/>
            </w:pPr>
            <w:r/>
            <w:r>
              <w:rPr>
                <w:b/>
                <w:color w:val="FFFFFF"/>
                <w:sz w:val="15"/>
              </w:rPr>
              <w:t>sMAPE</w:t>
            </w:r>
          </w:p>
        </w:tc>
        <w:tc>
          <w:tcPr>
            <w:tcW w:type="dxa" w:w="964"/>
            <w:shd w:val="clear" w:color="auto" w:fill="1F4E79"/>
          </w:tcPr>
          <w:p>
            <w:pPr>
              <w:spacing w:after="20"/>
            </w:pPr>
            <w:r/>
            <w:r>
              <w:rPr>
                <w:b/>
                <w:color w:val="FFFFFF"/>
                <w:sz w:val="15"/>
              </w:rPr>
              <w:t>MASE</w:t>
            </w:r>
          </w:p>
        </w:tc>
      </w:tr>
      <w:tr>
        <w:trPr>
          <w:cantSplit/>
        </w:trPr>
        <w:tc>
          <w:tcPr>
            <w:tcW w:type="dxa" w:w="1701"/>
          </w:tcPr>
          <w:p>
            <w:pPr>
              <w:spacing w:after="20"/>
            </w:pPr>
            <w:r/>
            <w:r>
              <w:rPr>
                <w:b w:val="0"/>
                <w:i w:val="0"/>
                <w:sz w:val="15"/>
              </w:rPr>
              <w:t>Diesel (AGO)</w:t>
            </w:r>
          </w:p>
        </w:tc>
        <w:tc>
          <w:tcPr>
            <w:tcW w:type="dxa" w:w="2948"/>
          </w:tcPr>
          <w:p>
            <w:pPr>
              <w:spacing w:after="20"/>
            </w:pPr>
            <w:r/>
            <w:r>
              <w:rPr>
                <w:b w:val="0"/>
                <w:i w:val="0"/>
                <w:sz w:val="15"/>
              </w:rPr>
              <w:t>ARIMA(0,1,1)</w:t>
            </w:r>
          </w:p>
        </w:tc>
        <w:tc>
          <w:tcPr>
            <w:tcW w:type="dxa" w:w="964"/>
          </w:tcPr>
          <w:p>
            <w:pPr>
              <w:spacing w:after="20"/>
              <w:jc w:val="right"/>
            </w:pPr>
            <w:r/>
            <w:r>
              <w:rPr>
                <w:b w:val="0"/>
                <w:i w:val="0"/>
                <w:sz w:val="15"/>
              </w:rPr>
              <w:t>9.8</w:t>
            </w:r>
          </w:p>
        </w:tc>
        <w:tc>
          <w:tcPr>
            <w:tcW w:type="dxa" w:w="964"/>
          </w:tcPr>
          <w:p>
            <w:pPr>
              <w:spacing w:after="20"/>
              <w:jc w:val="right"/>
            </w:pPr>
            <w:r/>
            <w:r>
              <w:rPr>
                <w:b w:val="0"/>
                <w:i w:val="0"/>
                <w:sz w:val="15"/>
              </w:rPr>
              <w:t>12.3</w:t>
            </w:r>
          </w:p>
        </w:tc>
        <w:tc>
          <w:tcPr>
            <w:tcW w:type="dxa" w:w="964"/>
          </w:tcPr>
          <w:p>
            <w:pPr>
              <w:spacing w:after="20"/>
              <w:jc w:val="right"/>
            </w:pPr>
            <w:r/>
            <w:r>
              <w:rPr>
                <w:b w:val="0"/>
                <w:i w:val="0"/>
                <w:sz w:val="15"/>
              </w:rPr>
              <w:t>4.65</w:t>
            </w:r>
          </w:p>
        </w:tc>
        <w:tc>
          <w:tcPr>
            <w:tcW w:type="dxa" w:w="964"/>
          </w:tcPr>
          <w:p>
            <w:pPr>
              <w:spacing w:after="20"/>
              <w:jc w:val="right"/>
            </w:pPr>
            <w:r/>
            <w:r>
              <w:rPr>
                <w:b w:val="0"/>
                <w:i w:val="0"/>
                <w:sz w:val="15"/>
              </w:rPr>
              <w:t>4.78</w:t>
            </w:r>
          </w:p>
        </w:tc>
        <w:tc>
          <w:tcPr>
            <w:tcW w:type="dxa" w:w="964"/>
          </w:tcPr>
          <w:p>
            <w:pPr>
              <w:spacing w:after="20"/>
              <w:jc w:val="right"/>
            </w:pPr>
            <w:r/>
            <w:r>
              <w:rPr>
                <w:b w:val="0"/>
                <w:i w:val="0"/>
                <w:sz w:val="15"/>
              </w:rPr>
              <w:t>0.53</w:t>
            </w:r>
          </w:p>
        </w:tc>
      </w:tr>
      <w:tr>
        <w:trPr>
          <w:cantSplit/>
        </w:trPr>
        <w:tc>
          <w:tcPr>
            <w:tcW w:type="dxa" w:w="1701"/>
            <w:shd w:val="clear" w:color="auto" w:fill="EEF3F8"/>
          </w:tcPr>
          <w:p>
            <w:pPr>
              <w:spacing w:after="20"/>
            </w:pPr>
            <w:r/>
            <w:r>
              <w:rPr>
                <w:b w:val="0"/>
                <w:i w:val="0"/>
                <w:sz w:val="15"/>
              </w:rPr>
              <w:t>Diesel (AGO)</w:t>
            </w:r>
          </w:p>
        </w:tc>
        <w:tc>
          <w:tcPr>
            <w:tcW w:type="dxa" w:w="2948"/>
            <w:shd w:val="clear" w:color="auto" w:fill="EEF3F8"/>
          </w:tcPr>
          <w:p>
            <w:pPr>
              <w:spacing w:after="20"/>
            </w:pPr>
            <w:r/>
            <w:r>
              <w:rPr>
                <w:b w:val="0"/>
                <w:i w:val="0"/>
                <w:sz w:val="15"/>
              </w:rPr>
              <w:t>Damped-trend ETS</w:t>
            </w:r>
          </w:p>
        </w:tc>
        <w:tc>
          <w:tcPr>
            <w:tcW w:type="dxa" w:w="964"/>
            <w:shd w:val="clear" w:color="auto" w:fill="EEF3F8"/>
          </w:tcPr>
          <w:p>
            <w:pPr>
              <w:spacing w:after="20"/>
              <w:jc w:val="right"/>
            </w:pPr>
            <w:r/>
            <w:r>
              <w:rPr>
                <w:b w:val="0"/>
                <w:i w:val="0"/>
                <w:sz w:val="15"/>
              </w:rPr>
              <w:t>8.9</w:t>
            </w:r>
          </w:p>
        </w:tc>
        <w:tc>
          <w:tcPr>
            <w:tcW w:type="dxa" w:w="964"/>
            <w:shd w:val="clear" w:color="auto" w:fill="EEF3F8"/>
          </w:tcPr>
          <w:p>
            <w:pPr>
              <w:spacing w:after="20"/>
              <w:jc w:val="right"/>
            </w:pPr>
            <w:r/>
            <w:r>
              <w:rPr>
                <w:b w:val="0"/>
                <w:i w:val="0"/>
                <w:sz w:val="15"/>
              </w:rPr>
              <w:t>10.7</w:t>
            </w:r>
          </w:p>
        </w:tc>
        <w:tc>
          <w:tcPr>
            <w:tcW w:type="dxa" w:w="964"/>
            <w:shd w:val="clear" w:color="auto" w:fill="EEF3F8"/>
          </w:tcPr>
          <w:p>
            <w:pPr>
              <w:spacing w:after="20"/>
              <w:jc w:val="right"/>
            </w:pPr>
            <w:r/>
            <w:r>
              <w:rPr>
                <w:b w:val="0"/>
                <w:i w:val="0"/>
                <w:sz w:val="15"/>
              </w:rPr>
              <w:t>4.21</w:t>
            </w:r>
          </w:p>
        </w:tc>
        <w:tc>
          <w:tcPr>
            <w:tcW w:type="dxa" w:w="964"/>
            <w:shd w:val="clear" w:color="auto" w:fill="EEF3F8"/>
          </w:tcPr>
          <w:p>
            <w:pPr>
              <w:spacing w:after="20"/>
              <w:jc w:val="right"/>
            </w:pPr>
            <w:r/>
            <w:r>
              <w:rPr>
                <w:b w:val="0"/>
                <w:i w:val="0"/>
                <w:sz w:val="15"/>
              </w:rPr>
              <w:t>4.31</w:t>
            </w:r>
          </w:p>
        </w:tc>
        <w:tc>
          <w:tcPr>
            <w:tcW w:type="dxa" w:w="964"/>
            <w:shd w:val="clear" w:color="auto" w:fill="EEF3F8"/>
          </w:tcPr>
          <w:p>
            <w:pPr>
              <w:spacing w:after="20"/>
              <w:jc w:val="right"/>
            </w:pPr>
            <w:r/>
            <w:r>
              <w:rPr>
                <w:b w:val="0"/>
                <w:i w:val="0"/>
                <w:sz w:val="15"/>
              </w:rPr>
              <w:t>0.48</w:t>
            </w:r>
          </w:p>
        </w:tc>
      </w:tr>
      <w:tr>
        <w:trPr>
          <w:cantSplit/>
        </w:trPr>
        <w:tc>
          <w:tcPr>
            <w:tcW w:type="dxa" w:w="1701"/>
          </w:tcPr>
          <w:p>
            <w:pPr>
              <w:spacing w:after="20"/>
            </w:pPr>
            <w:r/>
            <w:r>
              <w:rPr>
                <w:b w:val="0"/>
                <w:i w:val="0"/>
                <w:sz w:val="15"/>
              </w:rPr>
              <w:t>Diesel (AGO)</w:t>
            </w:r>
          </w:p>
        </w:tc>
        <w:tc>
          <w:tcPr>
            <w:tcW w:type="dxa" w:w="2948"/>
          </w:tcPr>
          <w:p>
            <w:pPr>
              <w:spacing w:after="20"/>
            </w:pPr>
            <w:r/>
            <w:r>
              <w:rPr>
                <w:b w:val="0"/>
                <w:i w:val="0"/>
                <w:sz w:val="15"/>
              </w:rPr>
              <w:t>Drift</w:t>
            </w:r>
          </w:p>
        </w:tc>
        <w:tc>
          <w:tcPr>
            <w:tcW w:type="dxa" w:w="964"/>
          </w:tcPr>
          <w:p>
            <w:pPr>
              <w:spacing w:after="20"/>
              <w:jc w:val="right"/>
            </w:pPr>
            <w:r/>
            <w:r>
              <w:rPr>
                <w:b w:val="0"/>
                <w:i w:val="0"/>
                <w:sz w:val="15"/>
              </w:rPr>
              <w:t>13.7</w:t>
            </w:r>
          </w:p>
        </w:tc>
        <w:tc>
          <w:tcPr>
            <w:tcW w:type="dxa" w:w="964"/>
          </w:tcPr>
          <w:p>
            <w:pPr>
              <w:spacing w:after="20"/>
              <w:jc w:val="right"/>
            </w:pPr>
            <w:r/>
            <w:r>
              <w:rPr>
                <w:b w:val="0"/>
                <w:i w:val="0"/>
                <w:sz w:val="15"/>
              </w:rPr>
              <w:t>16.0</w:t>
            </w:r>
          </w:p>
        </w:tc>
        <w:tc>
          <w:tcPr>
            <w:tcW w:type="dxa" w:w="964"/>
          </w:tcPr>
          <w:p>
            <w:pPr>
              <w:spacing w:after="20"/>
              <w:jc w:val="right"/>
            </w:pPr>
            <w:r/>
            <w:r>
              <w:rPr>
                <w:b w:val="0"/>
                <w:i w:val="0"/>
                <w:sz w:val="15"/>
              </w:rPr>
              <w:t>6.59</w:t>
            </w:r>
          </w:p>
        </w:tc>
        <w:tc>
          <w:tcPr>
            <w:tcW w:type="dxa" w:w="964"/>
          </w:tcPr>
          <w:p>
            <w:pPr>
              <w:spacing w:after="20"/>
              <w:jc w:val="right"/>
            </w:pPr>
            <w:r/>
            <w:r>
              <w:rPr>
                <w:b w:val="0"/>
                <w:i w:val="0"/>
                <w:sz w:val="15"/>
              </w:rPr>
              <w:t>6.56</w:t>
            </w:r>
          </w:p>
        </w:tc>
        <w:tc>
          <w:tcPr>
            <w:tcW w:type="dxa" w:w="964"/>
          </w:tcPr>
          <w:p>
            <w:pPr>
              <w:spacing w:after="20"/>
              <w:jc w:val="right"/>
            </w:pPr>
            <w:r/>
            <w:r>
              <w:rPr>
                <w:b w:val="0"/>
                <w:i w:val="0"/>
                <w:sz w:val="15"/>
              </w:rPr>
              <w:t>0.74</w:t>
            </w:r>
          </w:p>
        </w:tc>
      </w:tr>
      <w:tr>
        <w:trPr>
          <w:cantSplit/>
        </w:trPr>
        <w:tc>
          <w:tcPr>
            <w:tcW w:type="dxa" w:w="1701"/>
            <w:shd w:val="clear" w:color="auto" w:fill="EEF3F8"/>
          </w:tcPr>
          <w:p>
            <w:pPr>
              <w:spacing w:after="20"/>
            </w:pPr>
            <w:r/>
            <w:r>
              <w:rPr>
                <w:b w:val="0"/>
                <w:i w:val="0"/>
                <w:sz w:val="15"/>
              </w:rPr>
              <w:t>Diesel (AGO)</w:t>
            </w:r>
          </w:p>
        </w:tc>
        <w:tc>
          <w:tcPr>
            <w:tcW w:type="dxa" w:w="2948"/>
            <w:shd w:val="clear" w:color="auto" w:fill="EEF3F8"/>
          </w:tcPr>
          <w:p>
            <w:pPr>
              <w:spacing w:after="20"/>
            </w:pPr>
            <w:r/>
            <w:r>
              <w:rPr>
                <w:b w:val="0"/>
                <w:i w:val="0"/>
                <w:sz w:val="15"/>
              </w:rPr>
              <w:t>Log-trend + seasonal (shrunk)</w:t>
            </w:r>
          </w:p>
        </w:tc>
        <w:tc>
          <w:tcPr>
            <w:tcW w:type="dxa" w:w="964"/>
            <w:shd w:val="clear" w:color="auto" w:fill="EEF3F8"/>
          </w:tcPr>
          <w:p>
            <w:pPr>
              <w:spacing w:after="20"/>
              <w:jc w:val="right"/>
            </w:pPr>
            <w:r/>
            <w:r>
              <w:rPr>
                <w:b w:val="0"/>
                <w:i w:val="0"/>
                <w:sz w:val="15"/>
              </w:rPr>
              <w:t>7.8</w:t>
            </w:r>
          </w:p>
        </w:tc>
        <w:tc>
          <w:tcPr>
            <w:tcW w:type="dxa" w:w="964"/>
            <w:shd w:val="clear" w:color="auto" w:fill="EEF3F8"/>
          </w:tcPr>
          <w:p>
            <w:pPr>
              <w:spacing w:after="20"/>
              <w:jc w:val="right"/>
            </w:pPr>
            <w:r/>
            <w:r>
              <w:rPr>
                <w:b w:val="0"/>
                <w:i w:val="0"/>
                <w:sz w:val="15"/>
              </w:rPr>
              <w:t>8.9</w:t>
            </w:r>
          </w:p>
        </w:tc>
        <w:tc>
          <w:tcPr>
            <w:tcW w:type="dxa" w:w="964"/>
            <w:shd w:val="clear" w:color="auto" w:fill="EEF3F8"/>
          </w:tcPr>
          <w:p>
            <w:pPr>
              <w:spacing w:after="20"/>
              <w:jc w:val="right"/>
            </w:pPr>
            <w:r/>
            <w:r>
              <w:rPr>
                <w:b w:val="0"/>
                <w:i w:val="0"/>
                <w:sz w:val="15"/>
              </w:rPr>
              <w:t>3.73</w:t>
            </w:r>
          </w:p>
        </w:tc>
        <w:tc>
          <w:tcPr>
            <w:tcW w:type="dxa" w:w="964"/>
            <w:shd w:val="clear" w:color="auto" w:fill="EEF3F8"/>
          </w:tcPr>
          <w:p>
            <w:pPr>
              <w:spacing w:after="20"/>
              <w:jc w:val="right"/>
            </w:pPr>
            <w:r/>
            <w:r>
              <w:rPr>
                <w:b w:val="0"/>
                <w:i w:val="0"/>
                <w:sz w:val="15"/>
              </w:rPr>
              <w:t>3.77</w:t>
            </w:r>
          </w:p>
        </w:tc>
        <w:tc>
          <w:tcPr>
            <w:tcW w:type="dxa" w:w="964"/>
            <w:shd w:val="clear" w:color="auto" w:fill="EEF3F8"/>
          </w:tcPr>
          <w:p>
            <w:pPr>
              <w:spacing w:after="20"/>
              <w:jc w:val="right"/>
            </w:pPr>
            <w:r/>
            <w:r>
              <w:rPr>
                <w:b w:val="0"/>
                <w:i w:val="0"/>
                <w:sz w:val="15"/>
              </w:rPr>
              <w:t>0.42</w:t>
            </w:r>
          </w:p>
        </w:tc>
      </w:tr>
      <w:tr>
        <w:trPr>
          <w:cantSplit/>
        </w:trPr>
        <w:tc>
          <w:tcPr>
            <w:tcW w:type="dxa" w:w="1701"/>
          </w:tcPr>
          <w:p>
            <w:pPr>
              <w:spacing w:after="20"/>
            </w:pPr>
            <w:r/>
            <w:r>
              <w:rPr>
                <w:b w:val="0"/>
                <w:i w:val="0"/>
                <w:sz w:val="15"/>
              </w:rPr>
              <w:t>Diesel (AGO)</w:t>
            </w:r>
          </w:p>
        </w:tc>
        <w:tc>
          <w:tcPr>
            <w:tcW w:type="dxa" w:w="2948"/>
          </w:tcPr>
          <w:p>
            <w:pPr>
              <w:spacing w:after="20"/>
            </w:pPr>
            <w:r/>
            <w:r>
              <w:rPr>
                <w:b w:val="0"/>
                <w:i w:val="0"/>
                <w:sz w:val="15"/>
              </w:rPr>
              <w:t>Mean (last 6m)</w:t>
            </w:r>
          </w:p>
        </w:tc>
        <w:tc>
          <w:tcPr>
            <w:tcW w:type="dxa" w:w="964"/>
          </w:tcPr>
          <w:p>
            <w:pPr>
              <w:spacing w:after="20"/>
              <w:jc w:val="right"/>
            </w:pPr>
            <w:r/>
            <w:r>
              <w:rPr>
                <w:b w:val="0"/>
                <w:i w:val="0"/>
                <w:sz w:val="15"/>
              </w:rPr>
              <w:t>10.0</w:t>
            </w:r>
          </w:p>
        </w:tc>
        <w:tc>
          <w:tcPr>
            <w:tcW w:type="dxa" w:w="964"/>
          </w:tcPr>
          <w:p>
            <w:pPr>
              <w:spacing w:after="20"/>
              <w:jc w:val="right"/>
            </w:pPr>
            <w:r/>
            <w:r>
              <w:rPr>
                <w:b w:val="0"/>
                <w:i w:val="0"/>
                <w:sz w:val="15"/>
              </w:rPr>
              <w:t>12.4</w:t>
            </w:r>
          </w:p>
        </w:tc>
        <w:tc>
          <w:tcPr>
            <w:tcW w:type="dxa" w:w="964"/>
          </w:tcPr>
          <w:p>
            <w:pPr>
              <w:spacing w:after="20"/>
              <w:jc w:val="right"/>
            </w:pPr>
            <w:r/>
            <w:r>
              <w:rPr>
                <w:b w:val="0"/>
                <w:i w:val="0"/>
                <w:sz w:val="15"/>
              </w:rPr>
              <w:t>4.74</w:t>
            </w:r>
          </w:p>
        </w:tc>
        <w:tc>
          <w:tcPr>
            <w:tcW w:type="dxa" w:w="964"/>
          </w:tcPr>
          <w:p>
            <w:pPr>
              <w:spacing w:after="20"/>
              <w:jc w:val="right"/>
            </w:pPr>
            <w:r/>
            <w:r>
              <w:rPr>
                <w:b w:val="0"/>
                <w:i w:val="0"/>
                <w:sz w:val="15"/>
              </w:rPr>
              <w:t>4.89</w:t>
            </w:r>
          </w:p>
        </w:tc>
        <w:tc>
          <w:tcPr>
            <w:tcW w:type="dxa" w:w="964"/>
          </w:tcPr>
          <w:p>
            <w:pPr>
              <w:spacing w:after="20"/>
              <w:jc w:val="right"/>
            </w:pPr>
            <w:r/>
            <w:r>
              <w:rPr>
                <w:b w:val="0"/>
                <w:i w:val="0"/>
                <w:sz w:val="15"/>
              </w:rPr>
              <w:t>0.54</w:t>
            </w:r>
          </w:p>
        </w:tc>
      </w:tr>
      <w:tr>
        <w:trPr>
          <w:cantSplit/>
        </w:trPr>
        <w:tc>
          <w:tcPr>
            <w:tcW w:type="dxa" w:w="1701"/>
            <w:shd w:val="clear" w:color="auto" w:fill="EEF3F8"/>
          </w:tcPr>
          <w:p>
            <w:pPr>
              <w:spacing w:after="20"/>
            </w:pPr>
            <w:r/>
            <w:r>
              <w:rPr>
                <w:b w:val="0"/>
                <w:i w:val="0"/>
                <w:sz w:val="15"/>
              </w:rPr>
              <w:t>Diesel (AGO)</w:t>
            </w:r>
          </w:p>
        </w:tc>
        <w:tc>
          <w:tcPr>
            <w:tcW w:type="dxa" w:w="2948"/>
            <w:shd w:val="clear" w:color="auto" w:fill="EEF3F8"/>
          </w:tcPr>
          <w:p>
            <w:pPr>
              <w:spacing w:after="20"/>
            </w:pPr>
            <w:r/>
            <w:r>
              <w:rPr>
                <w:b w:val="0"/>
                <w:i w:val="0"/>
                <w:sz w:val="15"/>
              </w:rPr>
              <w:t>Naive</w:t>
            </w:r>
          </w:p>
        </w:tc>
        <w:tc>
          <w:tcPr>
            <w:tcW w:type="dxa" w:w="964"/>
            <w:shd w:val="clear" w:color="auto" w:fill="EEF3F8"/>
          </w:tcPr>
          <w:p>
            <w:pPr>
              <w:spacing w:after="20"/>
              <w:jc w:val="right"/>
            </w:pPr>
            <w:r/>
            <w:r>
              <w:rPr>
                <w:b w:val="0"/>
                <w:i w:val="0"/>
                <w:sz w:val="15"/>
              </w:rPr>
              <w:t>11.4</w:t>
            </w:r>
          </w:p>
        </w:tc>
        <w:tc>
          <w:tcPr>
            <w:tcW w:type="dxa" w:w="964"/>
            <w:shd w:val="clear" w:color="auto" w:fill="EEF3F8"/>
          </w:tcPr>
          <w:p>
            <w:pPr>
              <w:spacing w:after="20"/>
              <w:jc w:val="right"/>
            </w:pPr>
            <w:r/>
            <w:r>
              <w:rPr>
                <w:b w:val="0"/>
                <w:i w:val="0"/>
                <w:sz w:val="15"/>
              </w:rPr>
              <w:t>14.2</w:t>
            </w:r>
          </w:p>
        </w:tc>
        <w:tc>
          <w:tcPr>
            <w:tcW w:type="dxa" w:w="964"/>
            <w:shd w:val="clear" w:color="auto" w:fill="EEF3F8"/>
          </w:tcPr>
          <w:p>
            <w:pPr>
              <w:spacing w:after="20"/>
              <w:jc w:val="right"/>
            </w:pPr>
            <w:r/>
            <w:r>
              <w:rPr>
                <w:b w:val="0"/>
                <w:i w:val="0"/>
                <w:sz w:val="15"/>
              </w:rPr>
              <w:t>5.49</w:t>
            </w:r>
          </w:p>
        </w:tc>
        <w:tc>
          <w:tcPr>
            <w:tcW w:type="dxa" w:w="964"/>
            <w:shd w:val="clear" w:color="auto" w:fill="EEF3F8"/>
          </w:tcPr>
          <w:p>
            <w:pPr>
              <w:spacing w:after="20"/>
              <w:jc w:val="right"/>
            </w:pPr>
            <w:r/>
            <w:r>
              <w:rPr>
                <w:b w:val="0"/>
                <w:i w:val="0"/>
                <w:sz w:val="15"/>
              </w:rPr>
              <w:t>5.57</w:t>
            </w:r>
          </w:p>
        </w:tc>
        <w:tc>
          <w:tcPr>
            <w:tcW w:type="dxa" w:w="964"/>
            <w:shd w:val="clear" w:color="auto" w:fill="EEF3F8"/>
          </w:tcPr>
          <w:p>
            <w:pPr>
              <w:spacing w:after="20"/>
              <w:jc w:val="right"/>
            </w:pPr>
            <w:r/>
            <w:r>
              <w:rPr>
                <w:b w:val="0"/>
                <w:i w:val="0"/>
                <w:sz w:val="15"/>
              </w:rPr>
              <w:t>0.61</w:t>
            </w:r>
          </w:p>
        </w:tc>
      </w:tr>
      <w:tr>
        <w:trPr>
          <w:cantSplit/>
        </w:trPr>
        <w:tc>
          <w:tcPr>
            <w:tcW w:type="dxa" w:w="1701"/>
          </w:tcPr>
          <w:p>
            <w:pPr>
              <w:spacing w:after="20"/>
            </w:pPr>
            <w:r/>
            <w:r>
              <w:rPr>
                <w:b w:val="0"/>
                <w:i w:val="0"/>
                <w:sz w:val="15"/>
              </w:rPr>
              <w:t>Diesel (AGO)</w:t>
            </w:r>
          </w:p>
        </w:tc>
        <w:tc>
          <w:tcPr>
            <w:tcW w:type="dxa" w:w="2948"/>
          </w:tcPr>
          <w:p>
            <w:pPr>
              <w:spacing w:after="20"/>
            </w:pPr>
            <w:r/>
            <w:r>
              <w:rPr>
                <w:b w:val="0"/>
                <w:i w:val="0"/>
                <w:sz w:val="15"/>
              </w:rPr>
              <w:t>Seasonal naive</w:t>
            </w:r>
          </w:p>
        </w:tc>
        <w:tc>
          <w:tcPr>
            <w:tcW w:type="dxa" w:w="964"/>
          </w:tcPr>
          <w:p>
            <w:pPr>
              <w:spacing w:after="20"/>
              <w:jc w:val="right"/>
            </w:pPr>
            <w:r/>
            <w:r>
              <w:rPr>
                <w:b w:val="0"/>
                <w:i w:val="0"/>
                <w:sz w:val="15"/>
              </w:rPr>
              <w:t>21.4</w:t>
            </w:r>
          </w:p>
        </w:tc>
        <w:tc>
          <w:tcPr>
            <w:tcW w:type="dxa" w:w="964"/>
          </w:tcPr>
          <w:p>
            <w:pPr>
              <w:spacing w:after="20"/>
              <w:jc w:val="right"/>
            </w:pPr>
            <w:r/>
            <w:r>
              <w:rPr>
                <w:b w:val="0"/>
                <w:i w:val="0"/>
                <w:sz w:val="15"/>
              </w:rPr>
              <w:t>22.4</w:t>
            </w:r>
          </w:p>
        </w:tc>
        <w:tc>
          <w:tcPr>
            <w:tcW w:type="dxa" w:w="964"/>
          </w:tcPr>
          <w:p>
            <w:pPr>
              <w:spacing w:after="20"/>
              <w:jc w:val="right"/>
            </w:pPr>
            <w:r/>
            <w:r>
              <w:rPr>
                <w:b w:val="0"/>
                <w:i w:val="0"/>
                <w:sz w:val="15"/>
              </w:rPr>
              <w:t>10.25</w:t>
            </w:r>
          </w:p>
        </w:tc>
        <w:tc>
          <w:tcPr>
            <w:tcW w:type="dxa" w:w="964"/>
          </w:tcPr>
          <w:p>
            <w:pPr>
              <w:spacing w:after="20"/>
              <w:jc w:val="right"/>
            </w:pPr>
            <w:r/>
            <w:r>
              <w:rPr>
                <w:b w:val="0"/>
                <w:i w:val="0"/>
                <w:sz w:val="15"/>
              </w:rPr>
              <w:t>10.85</w:t>
            </w:r>
          </w:p>
        </w:tc>
        <w:tc>
          <w:tcPr>
            <w:tcW w:type="dxa" w:w="964"/>
          </w:tcPr>
          <w:p>
            <w:pPr>
              <w:spacing w:after="20"/>
              <w:jc w:val="right"/>
            </w:pPr>
            <w:r/>
            <w:r>
              <w:rPr>
                <w:b w:val="0"/>
                <w:i w:val="0"/>
                <w:sz w:val="15"/>
              </w:rPr>
              <w:t>1.16</w:t>
            </w:r>
          </w:p>
        </w:tc>
      </w:tr>
      <w:tr>
        <w:trPr>
          <w:cantSplit/>
        </w:trPr>
        <w:tc>
          <w:tcPr>
            <w:tcW w:type="dxa" w:w="1701"/>
            <w:shd w:val="clear" w:color="auto" w:fill="EEF3F8"/>
          </w:tcPr>
          <w:p>
            <w:pPr>
              <w:spacing w:after="20"/>
            </w:pPr>
            <w:r/>
            <w:r>
              <w:rPr>
                <w:b w:val="0"/>
                <w:i w:val="0"/>
                <w:sz w:val="15"/>
              </w:rPr>
              <w:t>Diesel (AGO)</w:t>
            </w:r>
          </w:p>
        </w:tc>
        <w:tc>
          <w:tcPr>
            <w:tcW w:type="dxa" w:w="2948"/>
            <w:shd w:val="clear" w:color="auto" w:fill="EEF3F8"/>
          </w:tcPr>
          <w:p>
            <w:pPr>
              <w:spacing w:after="20"/>
            </w:pPr>
            <w:r/>
            <w:r>
              <w:rPr>
                <w:b w:val="0"/>
                <w:i w:val="0"/>
                <w:sz w:val="15"/>
              </w:rPr>
              <w:t>Seasonal naive x growth</w:t>
            </w:r>
          </w:p>
        </w:tc>
        <w:tc>
          <w:tcPr>
            <w:tcW w:type="dxa" w:w="964"/>
            <w:shd w:val="clear" w:color="auto" w:fill="EEF3F8"/>
          </w:tcPr>
          <w:p>
            <w:pPr>
              <w:spacing w:after="20"/>
              <w:jc w:val="right"/>
            </w:pPr>
            <w:r/>
            <w:r>
              <w:rPr>
                <w:b w:val="0"/>
                <w:i w:val="0"/>
                <w:sz w:val="15"/>
              </w:rPr>
              <w:t>5.7</w:t>
            </w:r>
          </w:p>
        </w:tc>
        <w:tc>
          <w:tcPr>
            <w:tcW w:type="dxa" w:w="964"/>
            <w:shd w:val="clear" w:color="auto" w:fill="EEF3F8"/>
          </w:tcPr>
          <w:p>
            <w:pPr>
              <w:spacing w:after="20"/>
              <w:jc w:val="right"/>
            </w:pPr>
            <w:r/>
            <w:r>
              <w:rPr>
                <w:b w:val="0"/>
                <w:i w:val="0"/>
                <w:sz w:val="15"/>
              </w:rPr>
              <w:t>7.8</w:t>
            </w:r>
          </w:p>
        </w:tc>
        <w:tc>
          <w:tcPr>
            <w:tcW w:type="dxa" w:w="964"/>
            <w:shd w:val="clear" w:color="auto" w:fill="EEF3F8"/>
          </w:tcPr>
          <w:p>
            <w:pPr>
              <w:spacing w:after="20"/>
              <w:jc w:val="right"/>
            </w:pPr>
            <w:r/>
            <w:r>
              <w:rPr>
                <w:b w:val="0"/>
                <w:i w:val="0"/>
                <w:sz w:val="15"/>
              </w:rPr>
              <w:t>2.70</w:t>
            </w:r>
          </w:p>
        </w:tc>
        <w:tc>
          <w:tcPr>
            <w:tcW w:type="dxa" w:w="964"/>
            <w:shd w:val="clear" w:color="auto" w:fill="EEF3F8"/>
          </w:tcPr>
          <w:p>
            <w:pPr>
              <w:spacing w:after="20"/>
              <w:jc w:val="right"/>
            </w:pPr>
            <w:r/>
            <w:r>
              <w:rPr>
                <w:b w:val="0"/>
                <w:i w:val="0"/>
                <w:sz w:val="15"/>
              </w:rPr>
              <w:t>2.75</w:t>
            </w:r>
          </w:p>
        </w:tc>
        <w:tc>
          <w:tcPr>
            <w:tcW w:type="dxa" w:w="964"/>
            <w:shd w:val="clear" w:color="auto" w:fill="EEF3F8"/>
          </w:tcPr>
          <w:p>
            <w:pPr>
              <w:spacing w:after="20"/>
              <w:jc w:val="right"/>
            </w:pPr>
            <w:r/>
            <w:r>
              <w:rPr>
                <w:b w:val="0"/>
                <w:i w:val="0"/>
                <w:sz w:val="15"/>
              </w:rPr>
              <w:t>0.31</w:t>
            </w:r>
          </w:p>
        </w:tc>
      </w:tr>
      <w:tr>
        <w:trPr>
          <w:cantSplit/>
        </w:trPr>
        <w:tc>
          <w:tcPr>
            <w:tcW w:type="dxa" w:w="1701"/>
          </w:tcPr>
          <w:p>
            <w:pPr>
              <w:spacing w:after="20"/>
            </w:pPr>
            <w:r/>
            <w:r>
              <w:rPr>
                <w:b w:val="0"/>
                <w:i w:val="0"/>
                <w:sz w:val="15"/>
              </w:rPr>
              <w:t>Jet fuel*</w:t>
            </w:r>
          </w:p>
        </w:tc>
        <w:tc>
          <w:tcPr>
            <w:tcW w:type="dxa" w:w="2948"/>
          </w:tcPr>
          <w:p>
            <w:pPr>
              <w:spacing w:after="20"/>
            </w:pPr>
            <w:r/>
            <w:r>
              <w:rPr>
                <w:b w:val="0"/>
                <w:i w:val="0"/>
                <w:sz w:val="15"/>
              </w:rPr>
              <w:t>ARIMA(0,1,1)</w:t>
            </w:r>
          </w:p>
        </w:tc>
        <w:tc>
          <w:tcPr>
            <w:tcW w:type="dxa" w:w="964"/>
          </w:tcPr>
          <w:p>
            <w:pPr>
              <w:spacing w:after="20"/>
              <w:jc w:val="right"/>
            </w:pPr>
            <w:r/>
            <w:r>
              <w:rPr>
                <w:b w:val="0"/>
                <w:i w:val="0"/>
                <w:sz w:val="15"/>
              </w:rPr>
              <w:t>2.5</w:t>
            </w:r>
          </w:p>
        </w:tc>
        <w:tc>
          <w:tcPr>
            <w:tcW w:type="dxa" w:w="964"/>
          </w:tcPr>
          <w:p>
            <w:pPr>
              <w:spacing w:after="20"/>
              <w:jc w:val="right"/>
            </w:pPr>
            <w:r/>
            <w:r>
              <w:rPr>
                <w:b w:val="0"/>
                <w:i w:val="0"/>
                <w:sz w:val="15"/>
              </w:rPr>
              <w:t>2.9</w:t>
            </w:r>
          </w:p>
        </w:tc>
        <w:tc>
          <w:tcPr>
            <w:tcW w:type="dxa" w:w="964"/>
          </w:tcPr>
          <w:p>
            <w:pPr>
              <w:spacing w:after="20"/>
              <w:jc w:val="right"/>
            </w:pPr>
            <w:r/>
            <w:r>
              <w:rPr>
                <w:b w:val="0"/>
                <w:i w:val="0"/>
                <w:sz w:val="15"/>
              </w:rPr>
              <w:t>4.34</w:t>
            </w:r>
          </w:p>
        </w:tc>
        <w:tc>
          <w:tcPr>
            <w:tcW w:type="dxa" w:w="964"/>
          </w:tcPr>
          <w:p>
            <w:pPr>
              <w:spacing w:after="20"/>
              <w:jc w:val="right"/>
            </w:pPr>
            <w:r/>
            <w:r>
              <w:rPr>
                <w:b w:val="0"/>
                <w:i w:val="0"/>
                <w:sz w:val="15"/>
              </w:rPr>
              <w:t>4.34</w:t>
            </w:r>
          </w:p>
        </w:tc>
        <w:tc>
          <w:tcPr>
            <w:tcW w:type="dxa" w:w="964"/>
          </w:tcPr>
          <w:p>
            <w:pPr>
              <w:spacing w:after="20"/>
              <w:jc w:val="right"/>
            </w:pPr>
            <w:r/>
            <w:r>
              <w:rPr>
                <w:b w:val="0"/>
                <w:i w:val="0"/>
                <w:sz w:val="15"/>
              </w:rPr>
              <w:t>0.48</w:t>
            </w:r>
          </w:p>
        </w:tc>
      </w:tr>
      <w:tr>
        <w:trPr>
          <w:cantSplit/>
        </w:trPr>
        <w:tc>
          <w:tcPr>
            <w:tcW w:type="dxa" w:w="1701"/>
            <w:shd w:val="clear" w:color="auto" w:fill="EEF3F8"/>
          </w:tcPr>
          <w:p>
            <w:pPr>
              <w:spacing w:after="20"/>
            </w:pPr>
            <w:r/>
            <w:r>
              <w:rPr>
                <w:b w:val="0"/>
                <w:i w:val="0"/>
                <w:sz w:val="15"/>
              </w:rPr>
              <w:t>Jet fuel*</w:t>
            </w:r>
          </w:p>
        </w:tc>
        <w:tc>
          <w:tcPr>
            <w:tcW w:type="dxa" w:w="2948"/>
            <w:shd w:val="clear" w:color="auto" w:fill="EEF3F8"/>
          </w:tcPr>
          <w:p>
            <w:pPr>
              <w:spacing w:after="20"/>
            </w:pPr>
            <w:r/>
            <w:r>
              <w:rPr>
                <w:b w:val="0"/>
                <w:i w:val="0"/>
                <w:sz w:val="15"/>
              </w:rPr>
              <w:t>Damped-trend ETS</w:t>
            </w:r>
          </w:p>
        </w:tc>
        <w:tc>
          <w:tcPr>
            <w:tcW w:type="dxa" w:w="964"/>
            <w:shd w:val="clear" w:color="auto" w:fill="EEF3F8"/>
          </w:tcPr>
          <w:p>
            <w:pPr>
              <w:spacing w:after="20"/>
              <w:jc w:val="right"/>
            </w:pPr>
            <w:r/>
            <w:r>
              <w:rPr>
                <w:b w:val="0"/>
                <w:i w:val="0"/>
                <w:sz w:val="15"/>
              </w:rPr>
              <w:t>2.6</w:t>
            </w:r>
          </w:p>
        </w:tc>
        <w:tc>
          <w:tcPr>
            <w:tcW w:type="dxa" w:w="964"/>
            <w:shd w:val="clear" w:color="auto" w:fill="EEF3F8"/>
          </w:tcPr>
          <w:p>
            <w:pPr>
              <w:spacing w:after="20"/>
              <w:jc w:val="right"/>
            </w:pPr>
            <w:r/>
            <w:r>
              <w:rPr>
                <w:b w:val="0"/>
                <w:i w:val="0"/>
                <w:sz w:val="15"/>
              </w:rPr>
              <w:t>3.0</w:t>
            </w:r>
          </w:p>
        </w:tc>
        <w:tc>
          <w:tcPr>
            <w:tcW w:type="dxa" w:w="964"/>
            <w:shd w:val="clear" w:color="auto" w:fill="EEF3F8"/>
          </w:tcPr>
          <w:p>
            <w:pPr>
              <w:spacing w:after="20"/>
              <w:jc w:val="right"/>
            </w:pPr>
            <w:r/>
            <w:r>
              <w:rPr>
                <w:b w:val="0"/>
                <w:i w:val="0"/>
                <w:sz w:val="15"/>
              </w:rPr>
              <w:t>4.51</w:t>
            </w:r>
          </w:p>
        </w:tc>
        <w:tc>
          <w:tcPr>
            <w:tcW w:type="dxa" w:w="964"/>
            <w:shd w:val="clear" w:color="auto" w:fill="EEF3F8"/>
          </w:tcPr>
          <w:p>
            <w:pPr>
              <w:spacing w:after="20"/>
              <w:jc w:val="right"/>
            </w:pPr>
            <w:r/>
            <w:r>
              <w:rPr>
                <w:b w:val="0"/>
                <w:i w:val="0"/>
                <w:sz w:val="15"/>
              </w:rPr>
              <w:t>4.51</w:t>
            </w:r>
          </w:p>
        </w:tc>
        <w:tc>
          <w:tcPr>
            <w:tcW w:type="dxa" w:w="964"/>
            <w:shd w:val="clear" w:color="auto" w:fill="EEF3F8"/>
          </w:tcPr>
          <w:p>
            <w:pPr>
              <w:spacing w:after="20"/>
              <w:jc w:val="right"/>
            </w:pPr>
            <w:r/>
            <w:r>
              <w:rPr>
                <w:b w:val="0"/>
                <w:i w:val="0"/>
                <w:sz w:val="15"/>
              </w:rPr>
              <w:t>0.50</w:t>
            </w:r>
          </w:p>
        </w:tc>
      </w:tr>
      <w:tr>
        <w:trPr>
          <w:cantSplit/>
        </w:trPr>
        <w:tc>
          <w:tcPr>
            <w:tcW w:type="dxa" w:w="1701"/>
          </w:tcPr>
          <w:p>
            <w:pPr>
              <w:spacing w:after="20"/>
            </w:pPr>
            <w:r/>
            <w:r>
              <w:rPr>
                <w:b w:val="0"/>
                <w:i w:val="0"/>
                <w:sz w:val="15"/>
              </w:rPr>
              <w:t>Jet fuel*</w:t>
            </w:r>
          </w:p>
        </w:tc>
        <w:tc>
          <w:tcPr>
            <w:tcW w:type="dxa" w:w="2948"/>
          </w:tcPr>
          <w:p>
            <w:pPr>
              <w:spacing w:after="20"/>
            </w:pPr>
            <w:r/>
            <w:r>
              <w:rPr>
                <w:b w:val="0"/>
                <w:i w:val="0"/>
                <w:sz w:val="15"/>
              </w:rPr>
              <w:t>Drift</w:t>
            </w:r>
          </w:p>
        </w:tc>
        <w:tc>
          <w:tcPr>
            <w:tcW w:type="dxa" w:w="964"/>
          </w:tcPr>
          <w:p>
            <w:pPr>
              <w:spacing w:after="20"/>
              <w:jc w:val="right"/>
            </w:pPr>
            <w:r/>
            <w:r>
              <w:rPr>
                <w:b w:val="0"/>
                <w:i w:val="0"/>
                <w:sz w:val="15"/>
              </w:rPr>
              <w:t>3.3</w:t>
            </w:r>
          </w:p>
        </w:tc>
        <w:tc>
          <w:tcPr>
            <w:tcW w:type="dxa" w:w="964"/>
          </w:tcPr>
          <w:p>
            <w:pPr>
              <w:spacing w:after="20"/>
              <w:jc w:val="right"/>
            </w:pPr>
            <w:r/>
            <w:r>
              <w:rPr>
                <w:b w:val="0"/>
                <w:i w:val="0"/>
                <w:sz w:val="15"/>
              </w:rPr>
              <w:t>3.9</w:t>
            </w:r>
          </w:p>
        </w:tc>
        <w:tc>
          <w:tcPr>
            <w:tcW w:type="dxa" w:w="964"/>
          </w:tcPr>
          <w:p>
            <w:pPr>
              <w:spacing w:after="20"/>
              <w:jc w:val="right"/>
            </w:pPr>
            <w:r/>
            <w:r>
              <w:rPr>
                <w:b w:val="0"/>
                <w:i w:val="0"/>
                <w:sz w:val="15"/>
              </w:rPr>
              <w:t>5.68</w:t>
            </w:r>
          </w:p>
        </w:tc>
        <w:tc>
          <w:tcPr>
            <w:tcW w:type="dxa" w:w="964"/>
          </w:tcPr>
          <w:p>
            <w:pPr>
              <w:spacing w:after="20"/>
              <w:jc w:val="right"/>
            </w:pPr>
            <w:r/>
            <w:r>
              <w:rPr>
                <w:b w:val="0"/>
                <w:i w:val="0"/>
                <w:sz w:val="15"/>
              </w:rPr>
              <w:t>5.69</w:t>
            </w:r>
          </w:p>
        </w:tc>
        <w:tc>
          <w:tcPr>
            <w:tcW w:type="dxa" w:w="964"/>
          </w:tcPr>
          <w:p>
            <w:pPr>
              <w:spacing w:after="20"/>
              <w:jc w:val="right"/>
            </w:pPr>
            <w:r/>
            <w:r>
              <w:rPr>
                <w:b w:val="0"/>
                <w:i w:val="0"/>
                <w:sz w:val="15"/>
              </w:rPr>
              <w:t>0.63</w:t>
            </w:r>
          </w:p>
        </w:tc>
      </w:tr>
      <w:tr>
        <w:trPr>
          <w:cantSplit/>
        </w:trPr>
        <w:tc>
          <w:tcPr>
            <w:tcW w:type="dxa" w:w="1701"/>
            <w:shd w:val="clear" w:color="auto" w:fill="EEF3F8"/>
          </w:tcPr>
          <w:p>
            <w:pPr>
              <w:spacing w:after="20"/>
            </w:pPr>
            <w:r/>
            <w:r>
              <w:rPr>
                <w:b w:val="0"/>
                <w:i w:val="0"/>
                <w:sz w:val="15"/>
              </w:rPr>
              <w:t>Jet fuel*</w:t>
            </w:r>
          </w:p>
        </w:tc>
        <w:tc>
          <w:tcPr>
            <w:tcW w:type="dxa" w:w="2948"/>
            <w:shd w:val="clear" w:color="auto" w:fill="EEF3F8"/>
          </w:tcPr>
          <w:p>
            <w:pPr>
              <w:spacing w:after="20"/>
            </w:pPr>
            <w:r/>
            <w:r>
              <w:rPr>
                <w:b w:val="0"/>
                <w:i w:val="0"/>
                <w:sz w:val="15"/>
              </w:rPr>
              <w:t>Log-trend + seasonal (shrunk)</w:t>
            </w:r>
          </w:p>
        </w:tc>
        <w:tc>
          <w:tcPr>
            <w:tcW w:type="dxa" w:w="964"/>
            <w:shd w:val="clear" w:color="auto" w:fill="EEF3F8"/>
          </w:tcPr>
          <w:p>
            <w:pPr>
              <w:spacing w:after="20"/>
              <w:jc w:val="right"/>
            </w:pPr>
            <w:r/>
            <w:r>
              <w:rPr>
                <w:b w:val="0"/>
                <w:i w:val="0"/>
                <w:sz w:val="15"/>
              </w:rPr>
              <w:t>2.1</w:t>
            </w:r>
          </w:p>
        </w:tc>
        <w:tc>
          <w:tcPr>
            <w:tcW w:type="dxa" w:w="964"/>
            <w:shd w:val="clear" w:color="auto" w:fill="EEF3F8"/>
          </w:tcPr>
          <w:p>
            <w:pPr>
              <w:spacing w:after="20"/>
              <w:jc w:val="right"/>
            </w:pPr>
            <w:r/>
            <w:r>
              <w:rPr>
                <w:b w:val="0"/>
                <w:i w:val="0"/>
                <w:sz w:val="15"/>
              </w:rPr>
              <w:t>2.6</w:t>
            </w:r>
          </w:p>
        </w:tc>
        <w:tc>
          <w:tcPr>
            <w:tcW w:type="dxa" w:w="964"/>
            <w:shd w:val="clear" w:color="auto" w:fill="EEF3F8"/>
          </w:tcPr>
          <w:p>
            <w:pPr>
              <w:spacing w:after="20"/>
              <w:jc w:val="right"/>
            </w:pPr>
            <w:r/>
            <w:r>
              <w:rPr>
                <w:b w:val="0"/>
                <w:i w:val="0"/>
                <w:sz w:val="15"/>
              </w:rPr>
              <w:t>3.72</w:t>
            </w:r>
          </w:p>
        </w:tc>
        <w:tc>
          <w:tcPr>
            <w:tcW w:type="dxa" w:w="964"/>
            <w:shd w:val="clear" w:color="auto" w:fill="EEF3F8"/>
          </w:tcPr>
          <w:p>
            <w:pPr>
              <w:spacing w:after="20"/>
              <w:jc w:val="right"/>
            </w:pPr>
            <w:r/>
            <w:r>
              <w:rPr>
                <w:b w:val="0"/>
                <w:i w:val="0"/>
                <w:sz w:val="15"/>
              </w:rPr>
              <w:t>3.65</w:t>
            </w:r>
          </w:p>
        </w:tc>
        <w:tc>
          <w:tcPr>
            <w:tcW w:type="dxa" w:w="964"/>
            <w:shd w:val="clear" w:color="auto" w:fill="EEF3F8"/>
          </w:tcPr>
          <w:p>
            <w:pPr>
              <w:spacing w:after="20"/>
              <w:jc w:val="right"/>
            </w:pPr>
            <w:r/>
            <w:r>
              <w:rPr>
                <w:b w:val="0"/>
                <w:i w:val="0"/>
                <w:sz w:val="15"/>
              </w:rPr>
              <w:t>0.40</w:t>
            </w:r>
          </w:p>
        </w:tc>
      </w:tr>
      <w:tr>
        <w:trPr>
          <w:cantSplit/>
        </w:trPr>
        <w:tc>
          <w:tcPr>
            <w:tcW w:type="dxa" w:w="1701"/>
          </w:tcPr>
          <w:p>
            <w:pPr>
              <w:spacing w:after="20"/>
            </w:pPr>
            <w:r/>
            <w:r>
              <w:rPr>
                <w:b w:val="0"/>
                <w:i w:val="0"/>
                <w:sz w:val="15"/>
              </w:rPr>
              <w:t>Jet fuel*</w:t>
            </w:r>
          </w:p>
        </w:tc>
        <w:tc>
          <w:tcPr>
            <w:tcW w:type="dxa" w:w="2948"/>
          </w:tcPr>
          <w:p>
            <w:pPr>
              <w:spacing w:after="20"/>
            </w:pPr>
            <w:r/>
            <w:r>
              <w:rPr>
                <w:b w:val="0"/>
                <w:i w:val="0"/>
                <w:sz w:val="15"/>
              </w:rPr>
              <w:t>Mean (last 6m)</w:t>
            </w:r>
          </w:p>
        </w:tc>
        <w:tc>
          <w:tcPr>
            <w:tcW w:type="dxa" w:w="964"/>
          </w:tcPr>
          <w:p>
            <w:pPr>
              <w:spacing w:after="20"/>
              <w:jc w:val="right"/>
            </w:pPr>
            <w:r/>
            <w:r>
              <w:rPr>
                <w:b w:val="0"/>
                <w:i w:val="0"/>
                <w:sz w:val="15"/>
              </w:rPr>
              <w:t>2.0</w:t>
            </w:r>
          </w:p>
        </w:tc>
        <w:tc>
          <w:tcPr>
            <w:tcW w:type="dxa" w:w="964"/>
          </w:tcPr>
          <w:p>
            <w:pPr>
              <w:spacing w:after="20"/>
              <w:jc w:val="right"/>
            </w:pPr>
            <w:r/>
            <w:r>
              <w:rPr>
                <w:b w:val="0"/>
                <w:i w:val="0"/>
                <w:sz w:val="15"/>
              </w:rPr>
              <w:t>2.3</w:t>
            </w:r>
          </w:p>
        </w:tc>
        <w:tc>
          <w:tcPr>
            <w:tcW w:type="dxa" w:w="964"/>
          </w:tcPr>
          <w:p>
            <w:pPr>
              <w:spacing w:after="20"/>
              <w:jc w:val="right"/>
            </w:pPr>
            <w:r/>
            <w:r>
              <w:rPr>
                <w:b w:val="0"/>
                <w:i w:val="0"/>
                <w:sz w:val="15"/>
              </w:rPr>
              <w:t>3.56</w:t>
            </w:r>
          </w:p>
        </w:tc>
        <w:tc>
          <w:tcPr>
            <w:tcW w:type="dxa" w:w="964"/>
          </w:tcPr>
          <w:p>
            <w:pPr>
              <w:spacing w:after="20"/>
              <w:jc w:val="right"/>
            </w:pPr>
            <w:r/>
            <w:r>
              <w:rPr>
                <w:b w:val="0"/>
                <w:i w:val="0"/>
                <w:sz w:val="15"/>
              </w:rPr>
              <w:t>3.55</w:t>
            </w:r>
          </w:p>
        </w:tc>
        <w:tc>
          <w:tcPr>
            <w:tcW w:type="dxa" w:w="964"/>
          </w:tcPr>
          <w:p>
            <w:pPr>
              <w:spacing w:after="20"/>
              <w:jc w:val="right"/>
            </w:pPr>
            <w:r/>
            <w:r>
              <w:rPr>
                <w:b w:val="0"/>
                <w:i w:val="0"/>
                <w:sz w:val="15"/>
              </w:rPr>
              <w:t>0.39</w:t>
            </w:r>
          </w:p>
        </w:tc>
      </w:tr>
      <w:tr>
        <w:trPr>
          <w:cantSplit/>
        </w:trPr>
        <w:tc>
          <w:tcPr>
            <w:tcW w:type="dxa" w:w="1701"/>
            <w:shd w:val="clear" w:color="auto" w:fill="EEF3F8"/>
          </w:tcPr>
          <w:p>
            <w:pPr>
              <w:spacing w:after="20"/>
            </w:pPr>
            <w:r/>
            <w:r>
              <w:rPr>
                <w:b w:val="0"/>
                <w:i w:val="0"/>
                <w:sz w:val="15"/>
              </w:rPr>
              <w:t>Jet fuel*</w:t>
            </w:r>
          </w:p>
        </w:tc>
        <w:tc>
          <w:tcPr>
            <w:tcW w:type="dxa" w:w="2948"/>
            <w:shd w:val="clear" w:color="auto" w:fill="EEF3F8"/>
          </w:tcPr>
          <w:p>
            <w:pPr>
              <w:spacing w:after="20"/>
            </w:pPr>
            <w:r/>
            <w:r>
              <w:rPr>
                <w:b w:val="0"/>
                <w:i w:val="0"/>
                <w:sz w:val="15"/>
              </w:rPr>
              <w:t>Naive</w:t>
            </w:r>
          </w:p>
        </w:tc>
        <w:tc>
          <w:tcPr>
            <w:tcW w:type="dxa" w:w="964"/>
            <w:shd w:val="clear" w:color="auto" w:fill="EEF3F8"/>
          </w:tcPr>
          <w:p>
            <w:pPr>
              <w:spacing w:after="20"/>
              <w:jc w:val="right"/>
            </w:pPr>
            <w:r/>
            <w:r>
              <w:rPr>
                <w:b w:val="0"/>
                <w:i w:val="0"/>
                <w:sz w:val="15"/>
              </w:rPr>
              <w:t>3.0</w:t>
            </w:r>
          </w:p>
        </w:tc>
        <w:tc>
          <w:tcPr>
            <w:tcW w:type="dxa" w:w="964"/>
            <w:shd w:val="clear" w:color="auto" w:fill="EEF3F8"/>
          </w:tcPr>
          <w:p>
            <w:pPr>
              <w:spacing w:after="20"/>
              <w:jc w:val="right"/>
            </w:pPr>
            <w:r/>
            <w:r>
              <w:rPr>
                <w:b w:val="0"/>
                <w:i w:val="0"/>
                <w:sz w:val="15"/>
              </w:rPr>
              <w:t>3.6</w:t>
            </w:r>
          </w:p>
        </w:tc>
        <w:tc>
          <w:tcPr>
            <w:tcW w:type="dxa" w:w="964"/>
            <w:shd w:val="clear" w:color="auto" w:fill="EEF3F8"/>
          </w:tcPr>
          <w:p>
            <w:pPr>
              <w:spacing w:after="20"/>
              <w:jc w:val="right"/>
            </w:pPr>
            <w:r/>
            <w:r>
              <w:rPr>
                <w:b w:val="0"/>
                <w:i w:val="0"/>
                <w:sz w:val="15"/>
              </w:rPr>
              <w:t>5.21</w:t>
            </w:r>
          </w:p>
        </w:tc>
        <w:tc>
          <w:tcPr>
            <w:tcW w:type="dxa" w:w="964"/>
            <w:shd w:val="clear" w:color="auto" w:fill="EEF3F8"/>
          </w:tcPr>
          <w:p>
            <w:pPr>
              <w:spacing w:after="20"/>
              <w:jc w:val="right"/>
            </w:pPr>
            <w:r/>
            <w:r>
              <w:rPr>
                <w:b w:val="0"/>
                <w:i w:val="0"/>
                <w:sz w:val="15"/>
              </w:rPr>
              <w:t>5.18</w:t>
            </w:r>
          </w:p>
        </w:tc>
        <w:tc>
          <w:tcPr>
            <w:tcW w:type="dxa" w:w="964"/>
            <w:shd w:val="clear" w:color="auto" w:fill="EEF3F8"/>
          </w:tcPr>
          <w:p>
            <w:pPr>
              <w:spacing w:after="20"/>
              <w:jc w:val="right"/>
            </w:pPr>
            <w:r/>
            <w:r>
              <w:rPr>
                <w:b w:val="0"/>
                <w:i w:val="0"/>
                <w:sz w:val="15"/>
              </w:rPr>
              <w:t>0.57</w:t>
            </w:r>
          </w:p>
        </w:tc>
      </w:tr>
      <w:tr>
        <w:trPr>
          <w:cantSplit/>
        </w:trPr>
        <w:tc>
          <w:tcPr>
            <w:tcW w:type="dxa" w:w="1701"/>
          </w:tcPr>
          <w:p>
            <w:pPr>
              <w:spacing w:after="20"/>
            </w:pPr>
            <w:r/>
            <w:r>
              <w:rPr>
                <w:b w:val="0"/>
                <w:i w:val="0"/>
                <w:sz w:val="15"/>
              </w:rPr>
              <w:t>Jet fuel*</w:t>
            </w:r>
          </w:p>
        </w:tc>
        <w:tc>
          <w:tcPr>
            <w:tcW w:type="dxa" w:w="2948"/>
          </w:tcPr>
          <w:p>
            <w:pPr>
              <w:spacing w:after="20"/>
            </w:pPr>
            <w:r/>
            <w:r>
              <w:rPr>
                <w:b w:val="0"/>
                <w:i w:val="0"/>
                <w:sz w:val="15"/>
              </w:rPr>
              <w:t>Seasonal naive</w:t>
            </w:r>
          </w:p>
        </w:tc>
        <w:tc>
          <w:tcPr>
            <w:tcW w:type="dxa" w:w="964"/>
          </w:tcPr>
          <w:p>
            <w:pPr>
              <w:spacing w:after="20"/>
              <w:jc w:val="right"/>
            </w:pPr>
            <w:r/>
            <w:r>
              <w:rPr>
                <w:b w:val="0"/>
                <w:i w:val="0"/>
                <w:sz w:val="15"/>
              </w:rPr>
              <w:t>5.9</w:t>
            </w:r>
          </w:p>
        </w:tc>
        <w:tc>
          <w:tcPr>
            <w:tcW w:type="dxa" w:w="964"/>
          </w:tcPr>
          <w:p>
            <w:pPr>
              <w:spacing w:after="20"/>
              <w:jc w:val="right"/>
            </w:pPr>
            <w:r/>
            <w:r>
              <w:rPr>
                <w:b w:val="0"/>
                <w:i w:val="0"/>
                <w:sz w:val="15"/>
              </w:rPr>
              <w:t>6.1</w:t>
            </w:r>
          </w:p>
        </w:tc>
        <w:tc>
          <w:tcPr>
            <w:tcW w:type="dxa" w:w="964"/>
          </w:tcPr>
          <w:p>
            <w:pPr>
              <w:spacing w:after="20"/>
              <w:jc w:val="right"/>
            </w:pPr>
            <w:r/>
            <w:r>
              <w:rPr>
                <w:b w:val="0"/>
                <w:i w:val="0"/>
                <w:sz w:val="15"/>
              </w:rPr>
              <w:t>10.22</w:t>
            </w:r>
          </w:p>
        </w:tc>
        <w:tc>
          <w:tcPr>
            <w:tcW w:type="dxa" w:w="964"/>
          </w:tcPr>
          <w:p>
            <w:pPr>
              <w:spacing w:after="20"/>
              <w:jc w:val="right"/>
            </w:pPr>
            <w:r/>
            <w:r>
              <w:rPr>
                <w:b w:val="0"/>
                <w:i w:val="0"/>
                <w:sz w:val="15"/>
              </w:rPr>
              <w:t>9.71</w:t>
            </w:r>
          </w:p>
        </w:tc>
        <w:tc>
          <w:tcPr>
            <w:tcW w:type="dxa" w:w="964"/>
          </w:tcPr>
          <w:p>
            <w:pPr>
              <w:spacing w:after="20"/>
              <w:jc w:val="right"/>
            </w:pPr>
            <w:r/>
            <w:r>
              <w:rPr>
                <w:b w:val="0"/>
                <w:i w:val="0"/>
                <w:sz w:val="15"/>
              </w:rPr>
              <w:t>1.12</w:t>
            </w:r>
          </w:p>
        </w:tc>
      </w:tr>
      <w:tr>
        <w:trPr>
          <w:cantSplit/>
        </w:trPr>
        <w:tc>
          <w:tcPr>
            <w:tcW w:type="dxa" w:w="1701"/>
            <w:shd w:val="clear" w:color="auto" w:fill="EEF3F8"/>
          </w:tcPr>
          <w:p>
            <w:pPr>
              <w:spacing w:after="20"/>
            </w:pPr>
            <w:r/>
            <w:r>
              <w:rPr>
                <w:b w:val="0"/>
                <w:i w:val="0"/>
                <w:sz w:val="15"/>
              </w:rPr>
              <w:t>Jet fuel*</w:t>
            </w:r>
          </w:p>
        </w:tc>
        <w:tc>
          <w:tcPr>
            <w:tcW w:type="dxa" w:w="2948"/>
            <w:shd w:val="clear" w:color="auto" w:fill="EEF3F8"/>
          </w:tcPr>
          <w:p>
            <w:pPr>
              <w:spacing w:after="20"/>
            </w:pPr>
            <w:r/>
            <w:r>
              <w:rPr>
                <w:b w:val="0"/>
                <w:i w:val="0"/>
                <w:sz w:val="15"/>
              </w:rPr>
              <w:t>Seasonal naive x growth</w:t>
            </w:r>
          </w:p>
        </w:tc>
        <w:tc>
          <w:tcPr>
            <w:tcW w:type="dxa" w:w="964"/>
            <w:shd w:val="clear" w:color="auto" w:fill="EEF3F8"/>
          </w:tcPr>
          <w:p>
            <w:pPr>
              <w:spacing w:after="20"/>
              <w:jc w:val="right"/>
            </w:pPr>
            <w:r/>
            <w:r>
              <w:rPr>
                <w:b w:val="0"/>
                <w:i w:val="0"/>
                <w:sz w:val="15"/>
              </w:rPr>
              <w:t>3.0</w:t>
            </w:r>
          </w:p>
        </w:tc>
        <w:tc>
          <w:tcPr>
            <w:tcW w:type="dxa" w:w="964"/>
            <w:shd w:val="clear" w:color="auto" w:fill="EEF3F8"/>
          </w:tcPr>
          <w:p>
            <w:pPr>
              <w:spacing w:after="20"/>
              <w:jc w:val="right"/>
            </w:pPr>
            <w:r/>
            <w:r>
              <w:rPr>
                <w:b w:val="0"/>
                <w:i w:val="0"/>
                <w:sz w:val="15"/>
              </w:rPr>
              <w:t>3.5</w:t>
            </w:r>
          </w:p>
        </w:tc>
        <w:tc>
          <w:tcPr>
            <w:tcW w:type="dxa" w:w="964"/>
            <w:shd w:val="clear" w:color="auto" w:fill="EEF3F8"/>
          </w:tcPr>
          <w:p>
            <w:pPr>
              <w:spacing w:after="20"/>
              <w:jc w:val="right"/>
            </w:pPr>
            <w:r/>
            <w:r>
              <w:rPr>
                <w:b w:val="0"/>
                <w:i w:val="0"/>
                <w:sz w:val="15"/>
              </w:rPr>
              <w:t>5.22</w:t>
            </w:r>
          </w:p>
        </w:tc>
        <w:tc>
          <w:tcPr>
            <w:tcW w:type="dxa" w:w="964"/>
            <w:shd w:val="clear" w:color="auto" w:fill="EEF3F8"/>
          </w:tcPr>
          <w:p>
            <w:pPr>
              <w:spacing w:after="20"/>
              <w:jc w:val="right"/>
            </w:pPr>
            <w:r/>
            <w:r>
              <w:rPr>
                <w:b w:val="0"/>
                <w:i w:val="0"/>
                <w:sz w:val="15"/>
              </w:rPr>
              <w:t>5.10</w:t>
            </w:r>
          </w:p>
        </w:tc>
        <w:tc>
          <w:tcPr>
            <w:tcW w:type="dxa" w:w="964"/>
            <w:shd w:val="clear" w:color="auto" w:fill="EEF3F8"/>
          </w:tcPr>
          <w:p>
            <w:pPr>
              <w:spacing w:after="20"/>
              <w:jc w:val="right"/>
            </w:pPr>
            <w:r/>
            <w:r>
              <w:rPr>
                <w:b w:val="0"/>
                <w:i w:val="0"/>
                <w:sz w:val="15"/>
              </w:rPr>
              <w:t>0.58</w:t>
            </w:r>
          </w:p>
        </w:tc>
      </w:tr>
      <w:tr>
        <w:trPr>
          <w:cantSplit/>
        </w:trPr>
        <w:tc>
          <w:tcPr>
            <w:tcW w:type="dxa" w:w="1701"/>
          </w:tcPr>
          <w:p>
            <w:pPr>
              <w:spacing w:after="20"/>
            </w:pPr>
            <w:r/>
            <w:r>
              <w:rPr>
                <w:b w:val="0"/>
                <w:i w:val="0"/>
                <w:sz w:val="15"/>
              </w:rPr>
              <w:t>LPG</w:t>
            </w:r>
          </w:p>
        </w:tc>
        <w:tc>
          <w:tcPr>
            <w:tcW w:type="dxa" w:w="2948"/>
          </w:tcPr>
          <w:p>
            <w:pPr>
              <w:spacing w:after="20"/>
            </w:pPr>
            <w:r/>
            <w:r>
              <w:rPr>
                <w:b w:val="0"/>
                <w:i w:val="0"/>
                <w:sz w:val="15"/>
              </w:rPr>
              <w:t>ARIMA(0,1,1)</w:t>
            </w:r>
          </w:p>
        </w:tc>
        <w:tc>
          <w:tcPr>
            <w:tcW w:type="dxa" w:w="964"/>
          </w:tcPr>
          <w:p>
            <w:pPr>
              <w:spacing w:after="20"/>
              <w:jc w:val="right"/>
            </w:pPr>
            <w:r/>
            <w:r>
              <w:rPr>
                <w:b w:val="0"/>
                <w:i w:val="0"/>
                <w:sz w:val="15"/>
              </w:rPr>
              <w:t>2.5</w:t>
            </w:r>
          </w:p>
        </w:tc>
        <w:tc>
          <w:tcPr>
            <w:tcW w:type="dxa" w:w="964"/>
          </w:tcPr>
          <w:p>
            <w:pPr>
              <w:spacing w:after="20"/>
              <w:jc w:val="right"/>
            </w:pPr>
            <w:r/>
            <w:r>
              <w:rPr>
                <w:b w:val="0"/>
                <w:i w:val="0"/>
                <w:sz w:val="15"/>
              </w:rPr>
              <w:t>3.0</w:t>
            </w:r>
          </w:p>
        </w:tc>
        <w:tc>
          <w:tcPr>
            <w:tcW w:type="dxa" w:w="964"/>
          </w:tcPr>
          <w:p>
            <w:pPr>
              <w:spacing w:after="20"/>
              <w:jc w:val="right"/>
            </w:pPr>
            <w:r/>
            <w:r>
              <w:rPr>
                <w:b w:val="0"/>
                <w:i w:val="0"/>
                <w:sz w:val="15"/>
              </w:rPr>
              <w:t>6.15</w:t>
            </w:r>
          </w:p>
        </w:tc>
        <w:tc>
          <w:tcPr>
            <w:tcW w:type="dxa" w:w="964"/>
          </w:tcPr>
          <w:p>
            <w:pPr>
              <w:spacing w:after="20"/>
              <w:jc w:val="right"/>
            </w:pPr>
            <w:r/>
            <w:r>
              <w:rPr>
                <w:b w:val="0"/>
                <w:i w:val="0"/>
                <w:sz w:val="15"/>
              </w:rPr>
              <w:t>6.06</w:t>
            </w:r>
          </w:p>
        </w:tc>
        <w:tc>
          <w:tcPr>
            <w:tcW w:type="dxa" w:w="964"/>
          </w:tcPr>
          <w:p>
            <w:pPr>
              <w:spacing w:after="20"/>
              <w:jc w:val="right"/>
            </w:pPr>
            <w:r/>
            <w:r>
              <w:rPr>
                <w:b w:val="0"/>
                <w:i w:val="0"/>
                <w:sz w:val="15"/>
              </w:rPr>
              <w:t>0.49</w:t>
            </w:r>
          </w:p>
        </w:tc>
      </w:tr>
      <w:tr>
        <w:trPr>
          <w:cantSplit/>
        </w:trPr>
        <w:tc>
          <w:tcPr>
            <w:tcW w:type="dxa" w:w="1701"/>
            <w:shd w:val="clear" w:color="auto" w:fill="EEF3F8"/>
          </w:tcPr>
          <w:p>
            <w:pPr>
              <w:spacing w:after="20"/>
            </w:pPr>
            <w:r/>
            <w:r>
              <w:rPr>
                <w:b w:val="0"/>
                <w:i w:val="0"/>
                <w:sz w:val="15"/>
              </w:rPr>
              <w:t>LPG</w:t>
            </w:r>
          </w:p>
        </w:tc>
        <w:tc>
          <w:tcPr>
            <w:tcW w:type="dxa" w:w="2948"/>
            <w:shd w:val="clear" w:color="auto" w:fill="EEF3F8"/>
          </w:tcPr>
          <w:p>
            <w:pPr>
              <w:spacing w:after="20"/>
            </w:pPr>
            <w:r/>
            <w:r>
              <w:rPr>
                <w:b w:val="0"/>
                <w:i w:val="0"/>
                <w:sz w:val="15"/>
              </w:rPr>
              <w:t>Damped-trend ETS</w:t>
            </w:r>
          </w:p>
        </w:tc>
        <w:tc>
          <w:tcPr>
            <w:tcW w:type="dxa" w:w="964"/>
            <w:shd w:val="clear" w:color="auto" w:fill="EEF3F8"/>
          </w:tcPr>
          <w:p>
            <w:pPr>
              <w:spacing w:after="20"/>
              <w:jc w:val="right"/>
            </w:pPr>
            <w:r/>
            <w:r>
              <w:rPr>
                <w:b w:val="0"/>
                <w:i w:val="0"/>
                <w:sz w:val="15"/>
              </w:rPr>
              <w:t>2.2</w:t>
            </w:r>
          </w:p>
        </w:tc>
        <w:tc>
          <w:tcPr>
            <w:tcW w:type="dxa" w:w="964"/>
            <w:shd w:val="clear" w:color="auto" w:fill="EEF3F8"/>
          </w:tcPr>
          <w:p>
            <w:pPr>
              <w:spacing w:after="20"/>
              <w:jc w:val="right"/>
            </w:pPr>
            <w:r/>
            <w:r>
              <w:rPr>
                <w:b w:val="0"/>
                <w:i w:val="0"/>
                <w:sz w:val="15"/>
              </w:rPr>
              <w:t>3.1</w:t>
            </w:r>
          </w:p>
        </w:tc>
        <w:tc>
          <w:tcPr>
            <w:tcW w:type="dxa" w:w="964"/>
            <w:shd w:val="clear" w:color="auto" w:fill="EEF3F8"/>
          </w:tcPr>
          <w:p>
            <w:pPr>
              <w:spacing w:after="20"/>
              <w:jc w:val="right"/>
            </w:pPr>
            <w:r/>
            <w:r>
              <w:rPr>
                <w:b w:val="0"/>
                <w:i w:val="0"/>
                <w:sz w:val="15"/>
              </w:rPr>
              <w:t>5.71</w:t>
            </w:r>
          </w:p>
        </w:tc>
        <w:tc>
          <w:tcPr>
            <w:tcW w:type="dxa" w:w="964"/>
            <w:shd w:val="clear" w:color="auto" w:fill="EEF3F8"/>
          </w:tcPr>
          <w:p>
            <w:pPr>
              <w:spacing w:after="20"/>
              <w:jc w:val="right"/>
            </w:pPr>
            <w:r/>
            <w:r>
              <w:rPr>
                <w:b w:val="0"/>
                <w:i w:val="0"/>
                <w:sz w:val="15"/>
              </w:rPr>
              <w:t>5.42</w:t>
            </w:r>
          </w:p>
        </w:tc>
        <w:tc>
          <w:tcPr>
            <w:tcW w:type="dxa" w:w="964"/>
            <w:shd w:val="clear" w:color="auto" w:fill="EEF3F8"/>
          </w:tcPr>
          <w:p>
            <w:pPr>
              <w:spacing w:after="20"/>
              <w:jc w:val="right"/>
            </w:pPr>
            <w:r/>
            <w:r>
              <w:rPr>
                <w:b w:val="0"/>
                <w:i w:val="0"/>
                <w:sz w:val="15"/>
              </w:rPr>
              <w:t>0.44</w:t>
            </w:r>
          </w:p>
        </w:tc>
      </w:tr>
      <w:tr>
        <w:trPr>
          <w:cantSplit/>
        </w:trPr>
        <w:tc>
          <w:tcPr>
            <w:tcW w:type="dxa" w:w="1701"/>
          </w:tcPr>
          <w:p>
            <w:pPr>
              <w:spacing w:after="20"/>
            </w:pPr>
            <w:r/>
            <w:r>
              <w:rPr>
                <w:b w:val="0"/>
                <w:i w:val="0"/>
                <w:sz w:val="15"/>
              </w:rPr>
              <w:t>LPG</w:t>
            </w:r>
          </w:p>
        </w:tc>
        <w:tc>
          <w:tcPr>
            <w:tcW w:type="dxa" w:w="2948"/>
          </w:tcPr>
          <w:p>
            <w:pPr>
              <w:spacing w:after="20"/>
            </w:pPr>
            <w:r/>
            <w:r>
              <w:rPr>
                <w:b w:val="0"/>
                <w:i w:val="0"/>
                <w:sz w:val="15"/>
              </w:rPr>
              <w:t>Drift</w:t>
            </w:r>
          </w:p>
        </w:tc>
        <w:tc>
          <w:tcPr>
            <w:tcW w:type="dxa" w:w="964"/>
          </w:tcPr>
          <w:p>
            <w:pPr>
              <w:spacing w:after="20"/>
              <w:jc w:val="right"/>
            </w:pPr>
            <w:r/>
            <w:r>
              <w:rPr>
                <w:b w:val="0"/>
                <w:i w:val="0"/>
                <w:sz w:val="15"/>
              </w:rPr>
              <w:t>2.4</w:t>
            </w:r>
          </w:p>
        </w:tc>
        <w:tc>
          <w:tcPr>
            <w:tcW w:type="dxa" w:w="964"/>
          </w:tcPr>
          <w:p>
            <w:pPr>
              <w:spacing w:after="20"/>
              <w:jc w:val="right"/>
            </w:pPr>
            <w:r/>
            <w:r>
              <w:rPr>
                <w:b w:val="0"/>
                <w:i w:val="0"/>
                <w:sz w:val="15"/>
              </w:rPr>
              <w:t>3.5</w:t>
            </w:r>
          </w:p>
        </w:tc>
        <w:tc>
          <w:tcPr>
            <w:tcW w:type="dxa" w:w="964"/>
          </w:tcPr>
          <w:p>
            <w:pPr>
              <w:spacing w:after="20"/>
              <w:jc w:val="right"/>
            </w:pPr>
            <w:r/>
            <w:r>
              <w:rPr>
                <w:b w:val="0"/>
                <w:i w:val="0"/>
                <w:sz w:val="15"/>
              </w:rPr>
              <w:t>6.10</w:t>
            </w:r>
          </w:p>
        </w:tc>
        <w:tc>
          <w:tcPr>
            <w:tcW w:type="dxa" w:w="964"/>
          </w:tcPr>
          <w:p>
            <w:pPr>
              <w:spacing w:after="20"/>
              <w:jc w:val="right"/>
            </w:pPr>
            <w:r/>
            <w:r>
              <w:rPr>
                <w:b w:val="0"/>
                <w:i w:val="0"/>
                <w:sz w:val="15"/>
              </w:rPr>
              <w:t>5.73</w:t>
            </w:r>
          </w:p>
        </w:tc>
        <w:tc>
          <w:tcPr>
            <w:tcW w:type="dxa" w:w="964"/>
          </w:tcPr>
          <w:p>
            <w:pPr>
              <w:spacing w:after="20"/>
              <w:jc w:val="right"/>
            </w:pPr>
            <w:r/>
            <w:r>
              <w:rPr>
                <w:b w:val="0"/>
                <w:i w:val="0"/>
                <w:sz w:val="15"/>
              </w:rPr>
              <w:t>0.47</w:t>
            </w:r>
          </w:p>
        </w:tc>
      </w:tr>
      <w:tr>
        <w:trPr>
          <w:cantSplit/>
        </w:trPr>
        <w:tc>
          <w:tcPr>
            <w:tcW w:type="dxa" w:w="1701"/>
            <w:shd w:val="clear" w:color="auto" w:fill="EEF3F8"/>
          </w:tcPr>
          <w:p>
            <w:pPr>
              <w:spacing w:after="20"/>
            </w:pPr>
            <w:r/>
            <w:r>
              <w:rPr>
                <w:b w:val="0"/>
                <w:i w:val="0"/>
                <w:sz w:val="15"/>
              </w:rPr>
              <w:t>LPG</w:t>
            </w:r>
          </w:p>
        </w:tc>
        <w:tc>
          <w:tcPr>
            <w:tcW w:type="dxa" w:w="2948"/>
            <w:shd w:val="clear" w:color="auto" w:fill="EEF3F8"/>
          </w:tcPr>
          <w:p>
            <w:pPr>
              <w:spacing w:after="20"/>
            </w:pPr>
            <w:r/>
            <w:r>
              <w:rPr>
                <w:b w:val="0"/>
                <w:i w:val="0"/>
                <w:sz w:val="15"/>
              </w:rPr>
              <w:t>Log-trend + seasonal (shrunk)</w:t>
            </w:r>
          </w:p>
        </w:tc>
        <w:tc>
          <w:tcPr>
            <w:tcW w:type="dxa" w:w="964"/>
            <w:shd w:val="clear" w:color="auto" w:fill="EEF3F8"/>
          </w:tcPr>
          <w:p>
            <w:pPr>
              <w:spacing w:after="20"/>
              <w:jc w:val="right"/>
            </w:pPr>
            <w:r/>
            <w:r>
              <w:rPr>
                <w:b w:val="0"/>
                <w:i w:val="0"/>
                <w:sz w:val="15"/>
              </w:rPr>
              <w:t>1.6</w:t>
            </w:r>
          </w:p>
        </w:tc>
        <w:tc>
          <w:tcPr>
            <w:tcW w:type="dxa" w:w="964"/>
            <w:shd w:val="clear" w:color="auto" w:fill="EEF3F8"/>
          </w:tcPr>
          <w:p>
            <w:pPr>
              <w:spacing w:after="20"/>
              <w:jc w:val="right"/>
            </w:pPr>
            <w:r/>
            <w:r>
              <w:rPr>
                <w:b w:val="0"/>
                <w:i w:val="0"/>
                <w:sz w:val="15"/>
              </w:rPr>
              <w:t>2.4</w:t>
            </w:r>
          </w:p>
        </w:tc>
        <w:tc>
          <w:tcPr>
            <w:tcW w:type="dxa" w:w="964"/>
            <w:shd w:val="clear" w:color="auto" w:fill="EEF3F8"/>
          </w:tcPr>
          <w:p>
            <w:pPr>
              <w:spacing w:after="20"/>
              <w:jc w:val="right"/>
            </w:pPr>
            <w:r/>
            <w:r>
              <w:rPr>
                <w:b w:val="0"/>
                <w:i w:val="0"/>
                <w:sz w:val="15"/>
              </w:rPr>
              <w:t>4.12</w:t>
            </w:r>
          </w:p>
        </w:tc>
        <w:tc>
          <w:tcPr>
            <w:tcW w:type="dxa" w:w="964"/>
            <w:shd w:val="clear" w:color="auto" w:fill="EEF3F8"/>
          </w:tcPr>
          <w:p>
            <w:pPr>
              <w:spacing w:after="20"/>
              <w:jc w:val="right"/>
            </w:pPr>
            <w:r/>
            <w:r>
              <w:rPr>
                <w:b w:val="0"/>
                <w:i w:val="0"/>
                <w:sz w:val="15"/>
              </w:rPr>
              <w:t>3.95</w:t>
            </w:r>
          </w:p>
        </w:tc>
        <w:tc>
          <w:tcPr>
            <w:tcW w:type="dxa" w:w="964"/>
            <w:shd w:val="clear" w:color="auto" w:fill="EEF3F8"/>
          </w:tcPr>
          <w:p>
            <w:pPr>
              <w:spacing w:after="20"/>
              <w:jc w:val="right"/>
            </w:pPr>
            <w:r/>
            <w:r>
              <w:rPr>
                <w:b w:val="0"/>
                <w:i w:val="0"/>
                <w:sz w:val="15"/>
              </w:rPr>
              <w:t>0.32</w:t>
            </w:r>
          </w:p>
        </w:tc>
      </w:tr>
      <w:tr>
        <w:trPr>
          <w:cantSplit/>
        </w:trPr>
        <w:tc>
          <w:tcPr>
            <w:tcW w:type="dxa" w:w="1701"/>
          </w:tcPr>
          <w:p>
            <w:pPr>
              <w:spacing w:after="20"/>
            </w:pPr>
            <w:r/>
            <w:r>
              <w:rPr>
                <w:b w:val="0"/>
                <w:i w:val="0"/>
                <w:sz w:val="15"/>
              </w:rPr>
              <w:t>LPG</w:t>
            </w:r>
          </w:p>
        </w:tc>
        <w:tc>
          <w:tcPr>
            <w:tcW w:type="dxa" w:w="2948"/>
          </w:tcPr>
          <w:p>
            <w:pPr>
              <w:spacing w:after="20"/>
            </w:pPr>
            <w:r/>
            <w:r>
              <w:rPr>
                <w:b w:val="0"/>
                <w:i w:val="0"/>
                <w:sz w:val="15"/>
              </w:rPr>
              <w:t>Mean (last 6m)</w:t>
            </w:r>
          </w:p>
        </w:tc>
        <w:tc>
          <w:tcPr>
            <w:tcW w:type="dxa" w:w="964"/>
          </w:tcPr>
          <w:p>
            <w:pPr>
              <w:spacing w:after="20"/>
              <w:jc w:val="right"/>
            </w:pPr>
            <w:r/>
            <w:r>
              <w:rPr>
                <w:b w:val="0"/>
                <w:i w:val="0"/>
                <w:sz w:val="15"/>
              </w:rPr>
              <w:t>3.3</w:t>
            </w:r>
          </w:p>
        </w:tc>
        <w:tc>
          <w:tcPr>
            <w:tcW w:type="dxa" w:w="964"/>
          </w:tcPr>
          <w:p>
            <w:pPr>
              <w:spacing w:after="20"/>
              <w:jc w:val="right"/>
            </w:pPr>
            <w:r/>
            <w:r>
              <w:rPr>
                <w:b w:val="0"/>
                <w:i w:val="0"/>
                <w:sz w:val="15"/>
              </w:rPr>
              <w:t>3.7</w:t>
            </w:r>
          </w:p>
        </w:tc>
        <w:tc>
          <w:tcPr>
            <w:tcW w:type="dxa" w:w="964"/>
          </w:tcPr>
          <w:p>
            <w:pPr>
              <w:spacing w:after="20"/>
              <w:jc w:val="right"/>
            </w:pPr>
            <w:r/>
            <w:r>
              <w:rPr>
                <w:b w:val="0"/>
                <w:i w:val="0"/>
                <w:sz w:val="15"/>
              </w:rPr>
              <w:t>8.12</w:t>
            </w:r>
          </w:p>
        </w:tc>
        <w:tc>
          <w:tcPr>
            <w:tcW w:type="dxa" w:w="964"/>
          </w:tcPr>
          <w:p>
            <w:pPr>
              <w:spacing w:after="20"/>
              <w:jc w:val="right"/>
            </w:pPr>
            <w:r/>
            <w:r>
              <w:rPr>
                <w:b w:val="0"/>
                <w:i w:val="0"/>
                <w:sz w:val="15"/>
              </w:rPr>
              <w:t>8.25</w:t>
            </w:r>
          </w:p>
        </w:tc>
        <w:tc>
          <w:tcPr>
            <w:tcW w:type="dxa" w:w="964"/>
          </w:tcPr>
          <w:p>
            <w:pPr>
              <w:spacing w:after="20"/>
              <w:jc w:val="right"/>
            </w:pPr>
            <w:r/>
            <w:r>
              <w:rPr>
                <w:b w:val="0"/>
                <w:i w:val="0"/>
                <w:sz w:val="15"/>
              </w:rPr>
              <w:t>0.66</w:t>
            </w:r>
          </w:p>
        </w:tc>
      </w:tr>
      <w:tr>
        <w:trPr>
          <w:cantSplit/>
        </w:trPr>
        <w:tc>
          <w:tcPr>
            <w:tcW w:type="dxa" w:w="1701"/>
            <w:shd w:val="clear" w:color="auto" w:fill="EEF3F8"/>
          </w:tcPr>
          <w:p>
            <w:pPr>
              <w:spacing w:after="20"/>
            </w:pPr>
            <w:r/>
            <w:r>
              <w:rPr>
                <w:b w:val="0"/>
                <w:i w:val="0"/>
                <w:sz w:val="15"/>
              </w:rPr>
              <w:t>LPG</w:t>
            </w:r>
          </w:p>
        </w:tc>
        <w:tc>
          <w:tcPr>
            <w:tcW w:type="dxa" w:w="2948"/>
            <w:shd w:val="clear" w:color="auto" w:fill="EEF3F8"/>
          </w:tcPr>
          <w:p>
            <w:pPr>
              <w:spacing w:after="20"/>
            </w:pPr>
            <w:r/>
            <w:r>
              <w:rPr>
                <w:b w:val="0"/>
                <w:i w:val="0"/>
                <w:sz w:val="15"/>
              </w:rPr>
              <w:t>Naive</w:t>
            </w:r>
          </w:p>
        </w:tc>
        <w:tc>
          <w:tcPr>
            <w:tcW w:type="dxa" w:w="964"/>
            <w:shd w:val="clear" w:color="auto" w:fill="EEF3F8"/>
          </w:tcPr>
          <w:p>
            <w:pPr>
              <w:spacing w:after="20"/>
              <w:jc w:val="right"/>
            </w:pPr>
            <w:r/>
            <w:r>
              <w:rPr>
                <w:b w:val="0"/>
                <w:i w:val="0"/>
                <w:sz w:val="15"/>
              </w:rPr>
              <w:t>2.2</w:t>
            </w:r>
          </w:p>
        </w:tc>
        <w:tc>
          <w:tcPr>
            <w:tcW w:type="dxa" w:w="964"/>
            <w:shd w:val="clear" w:color="auto" w:fill="EEF3F8"/>
          </w:tcPr>
          <w:p>
            <w:pPr>
              <w:spacing w:after="20"/>
              <w:jc w:val="right"/>
            </w:pPr>
            <w:r/>
            <w:r>
              <w:rPr>
                <w:b w:val="0"/>
                <w:i w:val="0"/>
                <w:sz w:val="15"/>
              </w:rPr>
              <w:t>2.9</w:t>
            </w:r>
          </w:p>
        </w:tc>
        <w:tc>
          <w:tcPr>
            <w:tcW w:type="dxa" w:w="964"/>
            <w:shd w:val="clear" w:color="auto" w:fill="EEF3F8"/>
          </w:tcPr>
          <w:p>
            <w:pPr>
              <w:spacing w:after="20"/>
              <w:jc w:val="right"/>
            </w:pPr>
            <w:r/>
            <w:r>
              <w:rPr>
                <w:b w:val="0"/>
                <w:i w:val="0"/>
                <w:sz w:val="15"/>
              </w:rPr>
              <w:t>5.50</w:t>
            </w:r>
          </w:p>
        </w:tc>
        <w:tc>
          <w:tcPr>
            <w:tcW w:type="dxa" w:w="964"/>
            <w:shd w:val="clear" w:color="auto" w:fill="EEF3F8"/>
          </w:tcPr>
          <w:p>
            <w:pPr>
              <w:spacing w:after="20"/>
              <w:jc w:val="right"/>
            </w:pPr>
            <w:r/>
            <w:r>
              <w:rPr>
                <w:b w:val="0"/>
                <w:i w:val="0"/>
                <w:sz w:val="15"/>
              </w:rPr>
              <w:t>5.33</w:t>
            </w:r>
          </w:p>
        </w:tc>
        <w:tc>
          <w:tcPr>
            <w:tcW w:type="dxa" w:w="964"/>
            <w:shd w:val="clear" w:color="auto" w:fill="EEF3F8"/>
          </w:tcPr>
          <w:p>
            <w:pPr>
              <w:spacing w:after="20"/>
              <w:jc w:val="right"/>
            </w:pPr>
            <w:r/>
            <w:r>
              <w:rPr>
                <w:b w:val="0"/>
                <w:i w:val="0"/>
                <w:sz w:val="15"/>
              </w:rPr>
              <w:t>0.43</w:t>
            </w:r>
          </w:p>
        </w:tc>
      </w:tr>
      <w:tr>
        <w:trPr>
          <w:cantSplit/>
        </w:trPr>
        <w:tc>
          <w:tcPr>
            <w:tcW w:type="dxa" w:w="1701"/>
          </w:tcPr>
          <w:p>
            <w:pPr>
              <w:spacing w:after="20"/>
            </w:pPr>
            <w:r/>
            <w:r>
              <w:rPr>
                <w:b w:val="0"/>
                <w:i w:val="0"/>
                <w:sz w:val="15"/>
              </w:rPr>
              <w:t>LPG</w:t>
            </w:r>
          </w:p>
        </w:tc>
        <w:tc>
          <w:tcPr>
            <w:tcW w:type="dxa" w:w="2948"/>
          </w:tcPr>
          <w:p>
            <w:pPr>
              <w:spacing w:after="20"/>
            </w:pPr>
            <w:r/>
            <w:r>
              <w:rPr>
                <w:b w:val="0"/>
                <w:i w:val="0"/>
                <w:sz w:val="15"/>
              </w:rPr>
              <w:t>Seasonal naive</w:t>
            </w:r>
          </w:p>
        </w:tc>
        <w:tc>
          <w:tcPr>
            <w:tcW w:type="dxa" w:w="964"/>
          </w:tcPr>
          <w:p>
            <w:pPr>
              <w:spacing w:after="20"/>
              <w:jc w:val="right"/>
            </w:pPr>
            <w:r/>
            <w:r>
              <w:rPr>
                <w:b w:val="0"/>
                <w:i w:val="0"/>
                <w:sz w:val="15"/>
              </w:rPr>
              <w:t>4.9</w:t>
            </w:r>
          </w:p>
        </w:tc>
        <w:tc>
          <w:tcPr>
            <w:tcW w:type="dxa" w:w="964"/>
          </w:tcPr>
          <w:p>
            <w:pPr>
              <w:spacing w:after="20"/>
              <w:jc w:val="right"/>
            </w:pPr>
            <w:r/>
            <w:r>
              <w:rPr>
                <w:b w:val="0"/>
                <w:i w:val="0"/>
                <w:sz w:val="15"/>
              </w:rPr>
              <w:t>5.1</w:t>
            </w:r>
          </w:p>
        </w:tc>
        <w:tc>
          <w:tcPr>
            <w:tcW w:type="dxa" w:w="964"/>
          </w:tcPr>
          <w:p>
            <w:pPr>
              <w:spacing w:after="20"/>
              <w:jc w:val="right"/>
            </w:pPr>
            <w:r/>
            <w:r>
              <w:rPr>
                <w:b w:val="0"/>
                <w:i w:val="0"/>
                <w:sz w:val="15"/>
              </w:rPr>
              <w:t>11.73</w:t>
            </w:r>
          </w:p>
        </w:tc>
        <w:tc>
          <w:tcPr>
            <w:tcW w:type="dxa" w:w="964"/>
          </w:tcPr>
          <w:p>
            <w:pPr>
              <w:spacing w:after="20"/>
              <w:jc w:val="right"/>
            </w:pPr>
            <w:r/>
            <w:r>
              <w:rPr>
                <w:b w:val="0"/>
                <w:i w:val="0"/>
                <w:sz w:val="15"/>
              </w:rPr>
              <w:t>12.53</w:t>
            </w:r>
          </w:p>
        </w:tc>
        <w:tc>
          <w:tcPr>
            <w:tcW w:type="dxa" w:w="964"/>
          </w:tcPr>
          <w:p>
            <w:pPr>
              <w:spacing w:after="20"/>
              <w:jc w:val="right"/>
            </w:pPr>
            <w:r/>
            <w:r>
              <w:rPr>
                <w:b w:val="0"/>
                <w:i w:val="0"/>
                <w:sz w:val="15"/>
              </w:rPr>
              <w:t>0.98</w:t>
            </w:r>
          </w:p>
        </w:tc>
      </w:tr>
      <w:tr>
        <w:trPr>
          <w:cantSplit/>
        </w:trPr>
        <w:tc>
          <w:tcPr>
            <w:tcW w:type="dxa" w:w="1701"/>
            <w:shd w:val="clear" w:color="auto" w:fill="EEF3F8"/>
          </w:tcPr>
          <w:p>
            <w:pPr>
              <w:spacing w:after="20"/>
            </w:pPr>
            <w:r/>
            <w:r>
              <w:rPr>
                <w:b w:val="0"/>
                <w:i w:val="0"/>
                <w:sz w:val="15"/>
              </w:rPr>
              <w:t>LPG</w:t>
            </w:r>
          </w:p>
        </w:tc>
        <w:tc>
          <w:tcPr>
            <w:tcW w:type="dxa" w:w="2948"/>
            <w:shd w:val="clear" w:color="auto" w:fill="EEF3F8"/>
          </w:tcPr>
          <w:p>
            <w:pPr>
              <w:spacing w:after="20"/>
            </w:pPr>
            <w:r/>
            <w:r>
              <w:rPr>
                <w:b w:val="0"/>
                <w:i w:val="0"/>
                <w:sz w:val="15"/>
              </w:rPr>
              <w:t>Seasonal naive x growth</w:t>
            </w:r>
          </w:p>
        </w:tc>
        <w:tc>
          <w:tcPr>
            <w:tcW w:type="dxa" w:w="964"/>
            <w:shd w:val="clear" w:color="auto" w:fill="EEF3F8"/>
          </w:tcPr>
          <w:p>
            <w:pPr>
              <w:spacing w:after="20"/>
              <w:jc w:val="right"/>
            </w:pPr>
            <w:r/>
            <w:r>
              <w:rPr>
                <w:b w:val="0"/>
                <w:i w:val="0"/>
                <w:sz w:val="15"/>
              </w:rPr>
              <w:t>1.2</w:t>
            </w:r>
          </w:p>
        </w:tc>
        <w:tc>
          <w:tcPr>
            <w:tcW w:type="dxa" w:w="964"/>
            <w:shd w:val="clear" w:color="auto" w:fill="EEF3F8"/>
          </w:tcPr>
          <w:p>
            <w:pPr>
              <w:spacing w:after="20"/>
              <w:jc w:val="right"/>
            </w:pPr>
            <w:r/>
            <w:r>
              <w:rPr>
                <w:b w:val="0"/>
                <w:i w:val="0"/>
                <w:sz w:val="15"/>
              </w:rPr>
              <w:t>1.7</w:t>
            </w:r>
          </w:p>
        </w:tc>
        <w:tc>
          <w:tcPr>
            <w:tcW w:type="dxa" w:w="964"/>
            <w:shd w:val="clear" w:color="auto" w:fill="EEF3F8"/>
          </w:tcPr>
          <w:p>
            <w:pPr>
              <w:spacing w:after="20"/>
              <w:jc w:val="right"/>
            </w:pPr>
            <w:r/>
            <w:r>
              <w:rPr>
                <w:b w:val="0"/>
                <w:i w:val="0"/>
                <w:sz w:val="15"/>
              </w:rPr>
              <w:t>3.11</w:t>
            </w:r>
          </w:p>
        </w:tc>
        <w:tc>
          <w:tcPr>
            <w:tcW w:type="dxa" w:w="964"/>
            <w:shd w:val="clear" w:color="auto" w:fill="EEF3F8"/>
          </w:tcPr>
          <w:p>
            <w:pPr>
              <w:spacing w:after="20"/>
              <w:jc w:val="right"/>
            </w:pPr>
            <w:r/>
            <w:r>
              <w:rPr>
                <w:b w:val="0"/>
                <w:i w:val="0"/>
                <w:sz w:val="15"/>
              </w:rPr>
              <w:t>3.09</w:t>
            </w:r>
          </w:p>
        </w:tc>
        <w:tc>
          <w:tcPr>
            <w:tcW w:type="dxa" w:w="964"/>
            <w:shd w:val="clear" w:color="auto" w:fill="EEF3F8"/>
          </w:tcPr>
          <w:p>
            <w:pPr>
              <w:spacing w:after="20"/>
              <w:jc w:val="right"/>
            </w:pPr>
            <w:r/>
            <w:r>
              <w:rPr>
                <w:b w:val="0"/>
                <w:i w:val="0"/>
                <w:sz w:val="15"/>
              </w:rPr>
              <w:t>0.25</w:t>
            </w:r>
          </w:p>
        </w:tc>
      </w:tr>
      <w:tr>
        <w:trPr>
          <w:cantSplit/>
        </w:trPr>
        <w:tc>
          <w:tcPr>
            <w:tcW w:type="dxa" w:w="1701"/>
          </w:tcPr>
          <w:p>
            <w:pPr>
              <w:spacing w:after="20"/>
            </w:pPr>
            <w:r/>
            <w:r>
              <w:rPr>
                <w:b w:val="0"/>
                <w:i w:val="0"/>
                <w:sz w:val="15"/>
              </w:rPr>
              <w:t>Petrol (PMS)</w:t>
            </w:r>
          </w:p>
        </w:tc>
        <w:tc>
          <w:tcPr>
            <w:tcW w:type="dxa" w:w="2948"/>
          </w:tcPr>
          <w:p>
            <w:pPr>
              <w:spacing w:after="20"/>
            </w:pPr>
            <w:r/>
            <w:r>
              <w:rPr>
                <w:b w:val="0"/>
                <w:i w:val="0"/>
                <w:sz w:val="15"/>
              </w:rPr>
              <w:t>ARIMA(0,1,1)</w:t>
            </w:r>
          </w:p>
        </w:tc>
        <w:tc>
          <w:tcPr>
            <w:tcW w:type="dxa" w:w="964"/>
          </w:tcPr>
          <w:p>
            <w:pPr>
              <w:spacing w:after="20"/>
              <w:jc w:val="right"/>
            </w:pPr>
            <w:r/>
            <w:r>
              <w:rPr>
                <w:b w:val="0"/>
                <w:i w:val="0"/>
                <w:sz w:val="15"/>
              </w:rPr>
              <w:t>10.3</w:t>
            </w:r>
          </w:p>
        </w:tc>
        <w:tc>
          <w:tcPr>
            <w:tcW w:type="dxa" w:w="964"/>
          </w:tcPr>
          <w:p>
            <w:pPr>
              <w:spacing w:after="20"/>
              <w:jc w:val="right"/>
            </w:pPr>
            <w:r/>
            <w:r>
              <w:rPr>
                <w:b w:val="0"/>
                <w:i w:val="0"/>
                <w:sz w:val="15"/>
              </w:rPr>
              <w:t>11.6</w:t>
            </w:r>
          </w:p>
        </w:tc>
        <w:tc>
          <w:tcPr>
            <w:tcW w:type="dxa" w:w="964"/>
          </w:tcPr>
          <w:p>
            <w:pPr>
              <w:spacing w:after="20"/>
              <w:jc w:val="right"/>
            </w:pPr>
            <w:r/>
            <w:r>
              <w:rPr>
                <w:b w:val="0"/>
                <w:i w:val="0"/>
                <w:sz w:val="15"/>
              </w:rPr>
              <w:t>7.06</w:t>
            </w:r>
          </w:p>
        </w:tc>
        <w:tc>
          <w:tcPr>
            <w:tcW w:type="dxa" w:w="964"/>
          </w:tcPr>
          <w:p>
            <w:pPr>
              <w:spacing w:after="20"/>
              <w:jc w:val="right"/>
            </w:pPr>
            <w:r/>
            <w:r>
              <w:rPr>
                <w:b w:val="0"/>
                <w:i w:val="0"/>
                <w:sz w:val="15"/>
              </w:rPr>
              <w:t>7.24</w:t>
            </w:r>
          </w:p>
        </w:tc>
        <w:tc>
          <w:tcPr>
            <w:tcW w:type="dxa" w:w="964"/>
          </w:tcPr>
          <w:p>
            <w:pPr>
              <w:spacing w:after="20"/>
              <w:jc w:val="right"/>
            </w:pPr>
            <w:r/>
            <w:r>
              <w:rPr>
                <w:b w:val="0"/>
                <w:i w:val="0"/>
                <w:sz w:val="15"/>
              </w:rPr>
              <w:t>0.67</w:t>
            </w:r>
          </w:p>
        </w:tc>
      </w:tr>
      <w:tr>
        <w:trPr>
          <w:cantSplit/>
        </w:trPr>
        <w:tc>
          <w:tcPr>
            <w:tcW w:type="dxa" w:w="1701"/>
            <w:shd w:val="clear" w:color="auto" w:fill="EEF3F8"/>
          </w:tcPr>
          <w:p>
            <w:pPr>
              <w:spacing w:after="20"/>
            </w:pPr>
            <w:r/>
            <w:r>
              <w:rPr>
                <w:b w:val="0"/>
                <w:i w:val="0"/>
                <w:sz w:val="15"/>
              </w:rPr>
              <w:t>Petrol (PMS)</w:t>
            </w:r>
          </w:p>
        </w:tc>
        <w:tc>
          <w:tcPr>
            <w:tcW w:type="dxa" w:w="2948"/>
            <w:shd w:val="clear" w:color="auto" w:fill="EEF3F8"/>
          </w:tcPr>
          <w:p>
            <w:pPr>
              <w:spacing w:after="20"/>
            </w:pPr>
            <w:r/>
            <w:r>
              <w:rPr>
                <w:b w:val="0"/>
                <w:i w:val="0"/>
                <w:sz w:val="15"/>
              </w:rPr>
              <w:t>Damped-trend ETS</w:t>
            </w:r>
          </w:p>
        </w:tc>
        <w:tc>
          <w:tcPr>
            <w:tcW w:type="dxa" w:w="964"/>
            <w:shd w:val="clear" w:color="auto" w:fill="EEF3F8"/>
          </w:tcPr>
          <w:p>
            <w:pPr>
              <w:spacing w:after="20"/>
              <w:jc w:val="right"/>
            </w:pPr>
            <w:r/>
            <w:r>
              <w:rPr>
                <w:b w:val="0"/>
                <w:i w:val="0"/>
                <w:sz w:val="15"/>
              </w:rPr>
              <w:t>9.5</w:t>
            </w:r>
          </w:p>
        </w:tc>
        <w:tc>
          <w:tcPr>
            <w:tcW w:type="dxa" w:w="964"/>
            <w:shd w:val="clear" w:color="auto" w:fill="EEF3F8"/>
          </w:tcPr>
          <w:p>
            <w:pPr>
              <w:spacing w:after="20"/>
              <w:jc w:val="right"/>
            </w:pPr>
            <w:r/>
            <w:r>
              <w:rPr>
                <w:b w:val="0"/>
                <w:i w:val="0"/>
                <w:sz w:val="15"/>
              </w:rPr>
              <w:t>10.8</w:t>
            </w:r>
          </w:p>
        </w:tc>
        <w:tc>
          <w:tcPr>
            <w:tcW w:type="dxa" w:w="964"/>
            <w:shd w:val="clear" w:color="auto" w:fill="EEF3F8"/>
          </w:tcPr>
          <w:p>
            <w:pPr>
              <w:spacing w:after="20"/>
              <w:jc w:val="right"/>
            </w:pPr>
            <w:r/>
            <w:r>
              <w:rPr>
                <w:b w:val="0"/>
                <w:i w:val="0"/>
                <w:sz w:val="15"/>
              </w:rPr>
              <w:t>6.65</w:t>
            </w:r>
          </w:p>
        </w:tc>
        <w:tc>
          <w:tcPr>
            <w:tcW w:type="dxa" w:w="964"/>
            <w:shd w:val="clear" w:color="auto" w:fill="EEF3F8"/>
          </w:tcPr>
          <w:p>
            <w:pPr>
              <w:spacing w:after="20"/>
              <w:jc w:val="right"/>
            </w:pPr>
            <w:r/>
            <w:r>
              <w:rPr>
                <w:b w:val="0"/>
                <w:i w:val="0"/>
                <w:sz w:val="15"/>
              </w:rPr>
              <w:t>6.66</w:t>
            </w:r>
          </w:p>
        </w:tc>
        <w:tc>
          <w:tcPr>
            <w:tcW w:type="dxa" w:w="964"/>
            <w:shd w:val="clear" w:color="auto" w:fill="EEF3F8"/>
          </w:tcPr>
          <w:p>
            <w:pPr>
              <w:spacing w:after="20"/>
              <w:jc w:val="right"/>
            </w:pPr>
            <w:r/>
            <w:r>
              <w:rPr>
                <w:b w:val="0"/>
                <w:i w:val="0"/>
                <w:sz w:val="15"/>
              </w:rPr>
              <w:t>0.61</w:t>
            </w:r>
          </w:p>
        </w:tc>
      </w:tr>
      <w:tr>
        <w:trPr>
          <w:cantSplit/>
        </w:trPr>
        <w:tc>
          <w:tcPr>
            <w:tcW w:type="dxa" w:w="1701"/>
          </w:tcPr>
          <w:p>
            <w:pPr>
              <w:spacing w:after="20"/>
            </w:pPr>
            <w:r/>
            <w:r>
              <w:rPr>
                <w:b w:val="0"/>
                <w:i w:val="0"/>
                <w:sz w:val="15"/>
              </w:rPr>
              <w:t>Petrol (PMS)</w:t>
            </w:r>
          </w:p>
        </w:tc>
        <w:tc>
          <w:tcPr>
            <w:tcW w:type="dxa" w:w="2948"/>
          </w:tcPr>
          <w:p>
            <w:pPr>
              <w:spacing w:after="20"/>
            </w:pPr>
            <w:r/>
            <w:r>
              <w:rPr>
                <w:b w:val="0"/>
                <w:i w:val="0"/>
                <w:sz w:val="15"/>
              </w:rPr>
              <w:t>Drift</w:t>
            </w:r>
          </w:p>
        </w:tc>
        <w:tc>
          <w:tcPr>
            <w:tcW w:type="dxa" w:w="964"/>
          </w:tcPr>
          <w:p>
            <w:pPr>
              <w:spacing w:after="20"/>
              <w:jc w:val="right"/>
            </w:pPr>
            <w:r/>
            <w:r>
              <w:rPr>
                <w:b w:val="0"/>
                <w:i w:val="0"/>
                <w:sz w:val="15"/>
              </w:rPr>
              <w:t>10.9</w:t>
            </w:r>
          </w:p>
        </w:tc>
        <w:tc>
          <w:tcPr>
            <w:tcW w:type="dxa" w:w="964"/>
          </w:tcPr>
          <w:p>
            <w:pPr>
              <w:spacing w:after="20"/>
              <w:jc w:val="right"/>
            </w:pPr>
            <w:r/>
            <w:r>
              <w:rPr>
                <w:b w:val="0"/>
                <w:i w:val="0"/>
                <w:sz w:val="15"/>
              </w:rPr>
              <w:t>13.1</w:t>
            </w:r>
          </w:p>
        </w:tc>
        <w:tc>
          <w:tcPr>
            <w:tcW w:type="dxa" w:w="964"/>
          </w:tcPr>
          <w:p>
            <w:pPr>
              <w:spacing w:after="20"/>
              <w:jc w:val="right"/>
            </w:pPr>
            <w:r/>
            <w:r>
              <w:rPr>
                <w:b w:val="0"/>
                <w:i w:val="0"/>
                <w:sz w:val="15"/>
              </w:rPr>
              <w:t>7.66</w:t>
            </w:r>
          </w:p>
        </w:tc>
        <w:tc>
          <w:tcPr>
            <w:tcW w:type="dxa" w:w="964"/>
          </w:tcPr>
          <w:p>
            <w:pPr>
              <w:spacing w:after="20"/>
              <w:jc w:val="right"/>
            </w:pPr>
            <w:r/>
            <w:r>
              <w:rPr>
                <w:b w:val="0"/>
                <w:i w:val="0"/>
                <w:sz w:val="15"/>
              </w:rPr>
              <w:t>7.67</w:t>
            </w:r>
          </w:p>
        </w:tc>
        <w:tc>
          <w:tcPr>
            <w:tcW w:type="dxa" w:w="964"/>
          </w:tcPr>
          <w:p>
            <w:pPr>
              <w:spacing w:after="20"/>
              <w:jc w:val="right"/>
            </w:pPr>
            <w:r/>
            <w:r>
              <w:rPr>
                <w:b w:val="0"/>
                <w:i w:val="0"/>
                <w:sz w:val="15"/>
              </w:rPr>
              <w:t>0.70</w:t>
            </w:r>
          </w:p>
        </w:tc>
      </w:tr>
      <w:tr>
        <w:trPr>
          <w:cantSplit/>
        </w:trPr>
        <w:tc>
          <w:tcPr>
            <w:tcW w:type="dxa" w:w="1701"/>
            <w:shd w:val="clear" w:color="auto" w:fill="EEF3F8"/>
          </w:tcPr>
          <w:p>
            <w:pPr>
              <w:spacing w:after="20"/>
            </w:pPr>
            <w:r/>
            <w:r>
              <w:rPr>
                <w:b w:val="0"/>
                <w:i w:val="0"/>
                <w:sz w:val="15"/>
              </w:rPr>
              <w:t>Petrol (PMS)</w:t>
            </w:r>
          </w:p>
        </w:tc>
        <w:tc>
          <w:tcPr>
            <w:tcW w:type="dxa" w:w="2948"/>
            <w:shd w:val="clear" w:color="auto" w:fill="EEF3F8"/>
          </w:tcPr>
          <w:p>
            <w:pPr>
              <w:spacing w:after="20"/>
            </w:pPr>
            <w:r/>
            <w:r>
              <w:rPr>
                <w:b w:val="0"/>
                <w:i w:val="0"/>
                <w:sz w:val="15"/>
              </w:rPr>
              <w:t>Log-trend + seasonal (shrunk)</w:t>
            </w:r>
          </w:p>
        </w:tc>
        <w:tc>
          <w:tcPr>
            <w:tcW w:type="dxa" w:w="964"/>
            <w:shd w:val="clear" w:color="auto" w:fill="EEF3F8"/>
          </w:tcPr>
          <w:p>
            <w:pPr>
              <w:spacing w:after="20"/>
              <w:jc w:val="right"/>
            </w:pPr>
            <w:r/>
            <w:r>
              <w:rPr>
                <w:b w:val="0"/>
                <w:i w:val="0"/>
                <w:sz w:val="15"/>
              </w:rPr>
              <w:t>4.9</w:t>
            </w:r>
          </w:p>
        </w:tc>
        <w:tc>
          <w:tcPr>
            <w:tcW w:type="dxa" w:w="964"/>
            <w:shd w:val="clear" w:color="auto" w:fill="EEF3F8"/>
          </w:tcPr>
          <w:p>
            <w:pPr>
              <w:spacing w:after="20"/>
              <w:jc w:val="right"/>
            </w:pPr>
            <w:r/>
            <w:r>
              <w:rPr>
                <w:b w:val="0"/>
                <w:i w:val="0"/>
                <w:sz w:val="15"/>
              </w:rPr>
              <w:t>6.9</w:t>
            </w:r>
          </w:p>
        </w:tc>
        <w:tc>
          <w:tcPr>
            <w:tcW w:type="dxa" w:w="964"/>
            <w:shd w:val="clear" w:color="auto" w:fill="EEF3F8"/>
          </w:tcPr>
          <w:p>
            <w:pPr>
              <w:spacing w:after="20"/>
              <w:jc w:val="right"/>
            </w:pPr>
            <w:r/>
            <w:r>
              <w:rPr>
                <w:b w:val="0"/>
                <w:i w:val="0"/>
                <w:sz w:val="15"/>
              </w:rPr>
              <w:t>3.62</w:t>
            </w:r>
          </w:p>
        </w:tc>
        <w:tc>
          <w:tcPr>
            <w:tcW w:type="dxa" w:w="964"/>
            <w:shd w:val="clear" w:color="auto" w:fill="EEF3F8"/>
          </w:tcPr>
          <w:p>
            <w:pPr>
              <w:spacing w:after="20"/>
              <w:jc w:val="right"/>
            </w:pPr>
            <w:r/>
            <w:r>
              <w:rPr>
                <w:b w:val="0"/>
                <w:i w:val="0"/>
                <w:sz w:val="15"/>
              </w:rPr>
              <w:t>3.50</w:t>
            </w:r>
          </w:p>
        </w:tc>
        <w:tc>
          <w:tcPr>
            <w:tcW w:type="dxa" w:w="964"/>
            <w:shd w:val="clear" w:color="auto" w:fill="EEF3F8"/>
          </w:tcPr>
          <w:p>
            <w:pPr>
              <w:spacing w:after="20"/>
              <w:jc w:val="right"/>
            </w:pPr>
            <w:r/>
            <w:r>
              <w:rPr>
                <w:b w:val="0"/>
                <w:i w:val="0"/>
                <w:sz w:val="15"/>
              </w:rPr>
              <w:t>0.32</w:t>
            </w:r>
          </w:p>
        </w:tc>
      </w:tr>
      <w:tr>
        <w:trPr>
          <w:cantSplit/>
        </w:trPr>
        <w:tc>
          <w:tcPr>
            <w:tcW w:type="dxa" w:w="1701"/>
          </w:tcPr>
          <w:p>
            <w:pPr>
              <w:spacing w:after="20"/>
            </w:pPr>
            <w:r/>
            <w:r>
              <w:rPr>
                <w:b w:val="0"/>
                <w:i w:val="0"/>
                <w:sz w:val="15"/>
              </w:rPr>
              <w:t>Petrol (PMS)</w:t>
            </w:r>
          </w:p>
        </w:tc>
        <w:tc>
          <w:tcPr>
            <w:tcW w:type="dxa" w:w="2948"/>
          </w:tcPr>
          <w:p>
            <w:pPr>
              <w:spacing w:after="20"/>
            </w:pPr>
            <w:r/>
            <w:r>
              <w:rPr>
                <w:b w:val="0"/>
                <w:i w:val="0"/>
                <w:sz w:val="15"/>
              </w:rPr>
              <w:t>Mean (last 6m)</w:t>
            </w:r>
          </w:p>
        </w:tc>
        <w:tc>
          <w:tcPr>
            <w:tcW w:type="dxa" w:w="964"/>
          </w:tcPr>
          <w:p>
            <w:pPr>
              <w:spacing w:after="20"/>
              <w:jc w:val="right"/>
            </w:pPr>
            <w:r/>
            <w:r>
              <w:rPr>
                <w:b w:val="0"/>
                <w:i w:val="0"/>
                <w:sz w:val="15"/>
              </w:rPr>
              <w:t>10.7</w:t>
            </w:r>
          </w:p>
        </w:tc>
        <w:tc>
          <w:tcPr>
            <w:tcW w:type="dxa" w:w="964"/>
          </w:tcPr>
          <w:p>
            <w:pPr>
              <w:spacing w:after="20"/>
              <w:jc w:val="right"/>
            </w:pPr>
            <w:r/>
            <w:r>
              <w:rPr>
                <w:b w:val="0"/>
                <w:i w:val="0"/>
                <w:sz w:val="15"/>
              </w:rPr>
              <w:t>12.1</w:t>
            </w:r>
          </w:p>
        </w:tc>
        <w:tc>
          <w:tcPr>
            <w:tcW w:type="dxa" w:w="964"/>
          </w:tcPr>
          <w:p>
            <w:pPr>
              <w:spacing w:after="20"/>
              <w:jc w:val="right"/>
            </w:pPr>
            <w:r/>
            <w:r>
              <w:rPr>
                <w:b w:val="0"/>
                <w:i w:val="0"/>
                <w:sz w:val="15"/>
              </w:rPr>
              <w:t>7.28</w:t>
            </w:r>
          </w:p>
        </w:tc>
        <w:tc>
          <w:tcPr>
            <w:tcW w:type="dxa" w:w="964"/>
          </w:tcPr>
          <w:p>
            <w:pPr>
              <w:spacing w:after="20"/>
              <w:jc w:val="right"/>
            </w:pPr>
            <w:r/>
            <w:r>
              <w:rPr>
                <w:b w:val="0"/>
                <w:i w:val="0"/>
                <w:sz w:val="15"/>
              </w:rPr>
              <w:t>7.54</w:t>
            </w:r>
          </w:p>
        </w:tc>
        <w:tc>
          <w:tcPr>
            <w:tcW w:type="dxa" w:w="964"/>
          </w:tcPr>
          <w:p>
            <w:pPr>
              <w:spacing w:after="20"/>
              <w:jc w:val="right"/>
            </w:pPr>
            <w:r/>
            <w:r>
              <w:rPr>
                <w:b w:val="0"/>
                <w:i w:val="0"/>
                <w:sz w:val="15"/>
              </w:rPr>
              <w:t>0.69</w:t>
            </w:r>
          </w:p>
        </w:tc>
      </w:tr>
      <w:tr>
        <w:trPr>
          <w:cantSplit/>
        </w:trPr>
        <w:tc>
          <w:tcPr>
            <w:tcW w:type="dxa" w:w="1701"/>
            <w:shd w:val="clear" w:color="auto" w:fill="EEF3F8"/>
          </w:tcPr>
          <w:p>
            <w:pPr>
              <w:spacing w:after="20"/>
            </w:pPr>
            <w:r/>
            <w:r>
              <w:rPr>
                <w:b w:val="0"/>
                <w:i w:val="0"/>
                <w:sz w:val="15"/>
              </w:rPr>
              <w:t>Petrol (PMS)</w:t>
            </w:r>
          </w:p>
        </w:tc>
        <w:tc>
          <w:tcPr>
            <w:tcW w:type="dxa" w:w="2948"/>
            <w:shd w:val="clear" w:color="auto" w:fill="EEF3F8"/>
          </w:tcPr>
          <w:p>
            <w:pPr>
              <w:spacing w:after="20"/>
            </w:pPr>
            <w:r/>
            <w:r>
              <w:rPr>
                <w:b w:val="0"/>
                <w:i w:val="0"/>
                <w:sz w:val="15"/>
              </w:rPr>
              <w:t>Naive</w:t>
            </w:r>
          </w:p>
        </w:tc>
        <w:tc>
          <w:tcPr>
            <w:tcW w:type="dxa" w:w="964"/>
            <w:shd w:val="clear" w:color="auto" w:fill="EEF3F8"/>
          </w:tcPr>
          <w:p>
            <w:pPr>
              <w:spacing w:after="20"/>
              <w:jc w:val="right"/>
            </w:pPr>
            <w:r/>
            <w:r>
              <w:rPr>
                <w:b w:val="0"/>
                <w:i w:val="0"/>
                <w:sz w:val="15"/>
              </w:rPr>
              <w:t>11.2</w:t>
            </w:r>
          </w:p>
        </w:tc>
        <w:tc>
          <w:tcPr>
            <w:tcW w:type="dxa" w:w="964"/>
            <w:shd w:val="clear" w:color="auto" w:fill="EEF3F8"/>
          </w:tcPr>
          <w:p>
            <w:pPr>
              <w:spacing w:after="20"/>
              <w:jc w:val="right"/>
            </w:pPr>
            <w:r/>
            <w:r>
              <w:rPr>
                <w:b w:val="0"/>
                <w:i w:val="0"/>
                <w:sz w:val="15"/>
              </w:rPr>
              <w:t>13.2</w:t>
            </w:r>
          </w:p>
        </w:tc>
        <w:tc>
          <w:tcPr>
            <w:tcW w:type="dxa" w:w="964"/>
            <w:shd w:val="clear" w:color="auto" w:fill="EEF3F8"/>
          </w:tcPr>
          <w:p>
            <w:pPr>
              <w:spacing w:after="20"/>
              <w:jc w:val="right"/>
            </w:pPr>
            <w:r/>
            <w:r>
              <w:rPr>
                <w:b w:val="0"/>
                <w:i w:val="0"/>
                <w:sz w:val="15"/>
              </w:rPr>
              <w:t>7.74</w:t>
            </w:r>
          </w:p>
        </w:tc>
        <w:tc>
          <w:tcPr>
            <w:tcW w:type="dxa" w:w="964"/>
            <w:shd w:val="clear" w:color="auto" w:fill="EEF3F8"/>
          </w:tcPr>
          <w:p>
            <w:pPr>
              <w:spacing w:after="20"/>
              <w:jc w:val="right"/>
            </w:pPr>
            <w:r/>
            <w:r>
              <w:rPr>
                <w:b w:val="0"/>
                <w:i w:val="0"/>
                <w:sz w:val="15"/>
              </w:rPr>
              <w:t>7.88</w:t>
            </w:r>
          </w:p>
        </w:tc>
        <w:tc>
          <w:tcPr>
            <w:tcW w:type="dxa" w:w="964"/>
            <w:shd w:val="clear" w:color="auto" w:fill="EEF3F8"/>
          </w:tcPr>
          <w:p>
            <w:pPr>
              <w:spacing w:after="20"/>
              <w:jc w:val="right"/>
            </w:pPr>
            <w:r/>
            <w:r>
              <w:rPr>
                <w:b w:val="0"/>
                <w:i w:val="0"/>
                <w:sz w:val="15"/>
              </w:rPr>
              <w:t>0.72</w:t>
            </w:r>
          </w:p>
        </w:tc>
      </w:tr>
      <w:tr>
        <w:trPr>
          <w:cantSplit/>
        </w:trPr>
        <w:tc>
          <w:tcPr>
            <w:tcW w:type="dxa" w:w="1701"/>
          </w:tcPr>
          <w:p>
            <w:pPr>
              <w:spacing w:after="20"/>
            </w:pPr>
            <w:r/>
            <w:r>
              <w:rPr>
                <w:b w:val="0"/>
                <w:i w:val="0"/>
                <w:sz w:val="15"/>
              </w:rPr>
              <w:t>Petrol (PMS)</w:t>
            </w:r>
          </w:p>
        </w:tc>
        <w:tc>
          <w:tcPr>
            <w:tcW w:type="dxa" w:w="2948"/>
          </w:tcPr>
          <w:p>
            <w:pPr>
              <w:spacing w:after="20"/>
            </w:pPr>
            <w:r/>
            <w:r>
              <w:rPr>
                <w:b w:val="0"/>
                <w:i w:val="0"/>
                <w:sz w:val="15"/>
              </w:rPr>
              <w:t>Seasonal naive</w:t>
            </w:r>
          </w:p>
        </w:tc>
        <w:tc>
          <w:tcPr>
            <w:tcW w:type="dxa" w:w="964"/>
          </w:tcPr>
          <w:p>
            <w:pPr>
              <w:spacing w:after="20"/>
              <w:jc w:val="right"/>
            </w:pPr>
            <w:r/>
            <w:r>
              <w:rPr>
                <w:b w:val="0"/>
                <w:i w:val="0"/>
                <w:sz w:val="15"/>
              </w:rPr>
              <w:t>13.7</w:t>
            </w:r>
          </w:p>
        </w:tc>
        <w:tc>
          <w:tcPr>
            <w:tcW w:type="dxa" w:w="964"/>
          </w:tcPr>
          <w:p>
            <w:pPr>
              <w:spacing w:after="20"/>
              <w:jc w:val="right"/>
            </w:pPr>
            <w:r/>
            <w:r>
              <w:rPr>
                <w:b w:val="0"/>
                <w:i w:val="0"/>
                <w:sz w:val="15"/>
              </w:rPr>
              <w:t>14.4</w:t>
            </w:r>
          </w:p>
        </w:tc>
        <w:tc>
          <w:tcPr>
            <w:tcW w:type="dxa" w:w="964"/>
          </w:tcPr>
          <w:p>
            <w:pPr>
              <w:spacing w:after="20"/>
              <w:jc w:val="right"/>
            </w:pPr>
            <w:r/>
            <w:r>
              <w:rPr>
                <w:b w:val="0"/>
                <w:i w:val="0"/>
                <w:sz w:val="15"/>
              </w:rPr>
              <w:t>9.39</w:t>
            </w:r>
          </w:p>
        </w:tc>
        <w:tc>
          <w:tcPr>
            <w:tcW w:type="dxa" w:w="964"/>
          </w:tcPr>
          <w:p>
            <w:pPr>
              <w:spacing w:after="20"/>
              <w:jc w:val="right"/>
            </w:pPr>
            <w:r/>
            <w:r>
              <w:rPr>
                <w:b w:val="0"/>
                <w:i w:val="0"/>
                <w:sz w:val="15"/>
              </w:rPr>
              <w:t>9.90</w:t>
            </w:r>
          </w:p>
        </w:tc>
        <w:tc>
          <w:tcPr>
            <w:tcW w:type="dxa" w:w="964"/>
          </w:tcPr>
          <w:p>
            <w:pPr>
              <w:spacing w:after="20"/>
              <w:jc w:val="right"/>
            </w:pPr>
            <w:r/>
            <w:r>
              <w:rPr>
                <w:b w:val="0"/>
                <w:i w:val="0"/>
                <w:sz w:val="15"/>
              </w:rPr>
              <w:t>0.88</w:t>
            </w:r>
          </w:p>
        </w:tc>
      </w:tr>
      <w:tr>
        <w:trPr>
          <w:cantSplit/>
        </w:trPr>
        <w:tc>
          <w:tcPr>
            <w:tcW w:type="dxa" w:w="1701"/>
            <w:shd w:val="clear" w:color="auto" w:fill="EEF3F8"/>
          </w:tcPr>
          <w:p>
            <w:pPr>
              <w:spacing w:after="20"/>
            </w:pPr>
            <w:r/>
            <w:r>
              <w:rPr>
                <w:b w:val="0"/>
                <w:i w:val="0"/>
                <w:sz w:val="15"/>
              </w:rPr>
              <w:t>Petrol (PMS)</w:t>
            </w:r>
          </w:p>
        </w:tc>
        <w:tc>
          <w:tcPr>
            <w:tcW w:type="dxa" w:w="2948"/>
            <w:shd w:val="clear" w:color="auto" w:fill="EEF3F8"/>
          </w:tcPr>
          <w:p>
            <w:pPr>
              <w:spacing w:after="20"/>
            </w:pPr>
            <w:r/>
            <w:r>
              <w:rPr>
                <w:b w:val="0"/>
                <w:i w:val="0"/>
                <w:sz w:val="15"/>
              </w:rPr>
              <w:t>Seasonal naive x growth</w:t>
            </w:r>
          </w:p>
        </w:tc>
        <w:tc>
          <w:tcPr>
            <w:tcW w:type="dxa" w:w="964"/>
            <w:shd w:val="clear" w:color="auto" w:fill="EEF3F8"/>
          </w:tcPr>
          <w:p>
            <w:pPr>
              <w:spacing w:after="20"/>
              <w:jc w:val="right"/>
            </w:pPr>
            <w:r/>
            <w:r>
              <w:rPr>
                <w:b w:val="0"/>
                <w:i w:val="0"/>
                <w:sz w:val="15"/>
              </w:rPr>
              <w:t>6.3</w:t>
            </w:r>
          </w:p>
        </w:tc>
        <w:tc>
          <w:tcPr>
            <w:tcW w:type="dxa" w:w="964"/>
            <w:shd w:val="clear" w:color="auto" w:fill="EEF3F8"/>
          </w:tcPr>
          <w:p>
            <w:pPr>
              <w:spacing w:after="20"/>
              <w:jc w:val="right"/>
            </w:pPr>
            <w:r/>
            <w:r>
              <w:rPr>
                <w:b w:val="0"/>
                <w:i w:val="0"/>
                <w:sz w:val="15"/>
              </w:rPr>
              <w:t>7.7</w:t>
            </w:r>
          </w:p>
        </w:tc>
        <w:tc>
          <w:tcPr>
            <w:tcW w:type="dxa" w:w="964"/>
            <w:shd w:val="clear" w:color="auto" w:fill="EEF3F8"/>
          </w:tcPr>
          <w:p>
            <w:pPr>
              <w:spacing w:after="20"/>
              <w:jc w:val="right"/>
            </w:pPr>
            <w:r/>
            <w:r>
              <w:rPr>
                <w:b w:val="0"/>
                <w:i w:val="0"/>
                <w:sz w:val="15"/>
              </w:rPr>
              <w:t>4.42</w:t>
            </w:r>
          </w:p>
        </w:tc>
        <w:tc>
          <w:tcPr>
            <w:tcW w:type="dxa" w:w="964"/>
            <w:shd w:val="clear" w:color="auto" w:fill="EEF3F8"/>
          </w:tcPr>
          <w:p>
            <w:pPr>
              <w:spacing w:after="20"/>
              <w:jc w:val="right"/>
            </w:pPr>
            <w:r/>
            <w:r>
              <w:rPr>
                <w:b w:val="0"/>
                <w:i w:val="0"/>
                <w:sz w:val="15"/>
              </w:rPr>
              <w:t>4.28</w:t>
            </w:r>
          </w:p>
        </w:tc>
        <w:tc>
          <w:tcPr>
            <w:tcW w:type="dxa" w:w="964"/>
            <w:shd w:val="clear" w:color="auto" w:fill="EEF3F8"/>
          </w:tcPr>
          <w:p>
            <w:pPr>
              <w:spacing w:after="20"/>
              <w:jc w:val="right"/>
            </w:pPr>
            <w:r/>
            <w:r>
              <w:rPr>
                <w:b w:val="0"/>
                <w:i w:val="0"/>
                <w:sz w:val="15"/>
              </w:rPr>
              <w:t>0.41</w:t>
            </w:r>
          </w:p>
        </w:tc>
      </w:tr>
      <w:tr>
        <w:trPr>
          <w:cantSplit/>
        </w:trPr>
        <w:tc>
          <w:tcPr>
            <w:tcW w:type="dxa" w:w="1701"/>
          </w:tcPr>
          <w:p>
            <w:pPr>
              <w:spacing w:after="20"/>
            </w:pPr>
            <w:r/>
            <w:r>
              <w:rPr>
                <w:b w:val="0"/>
                <w:i w:val="0"/>
                <w:sz w:val="15"/>
              </w:rPr>
              <w:t>Total</w:t>
            </w:r>
          </w:p>
        </w:tc>
        <w:tc>
          <w:tcPr>
            <w:tcW w:type="dxa" w:w="2948"/>
          </w:tcPr>
          <w:p>
            <w:pPr>
              <w:spacing w:after="20"/>
            </w:pPr>
            <w:r/>
            <w:r>
              <w:rPr>
                <w:b w:val="0"/>
                <w:i w:val="0"/>
                <w:sz w:val="15"/>
              </w:rPr>
              <w:t>ARIMA(0,1,1)</w:t>
            </w:r>
          </w:p>
        </w:tc>
        <w:tc>
          <w:tcPr>
            <w:tcW w:type="dxa" w:w="964"/>
          </w:tcPr>
          <w:p>
            <w:pPr>
              <w:spacing w:after="20"/>
              <w:jc w:val="right"/>
            </w:pPr>
            <w:r/>
            <w:r>
              <w:rPr>
                <w:b w:val="0"/>
                <w:i w:val="0"/>
                <w:sz w:val="15"/>
              </w:rPr>
              <w:t>25.0</w:t>
            </w:r>
          </w:p>
        </w:tc>
        <w:tc>
          <w:tcPr>
            <w:tcW w:type="dxa" w:w="964"/>
          </w:tcPr>
          <w:p>
            <w:pPr>
              <w:spacing w:after="20"/>
              <w:jc w:val="right"/>
            </w:pPr>
            <w:r/>
            <w:r>
              <w:rPr>
                <w:b w:val="0"/>
                <w:i w:val="0"/>
                <w:sz w:val="15"/>
              </w:rPr>
              <w:t>28.1</w:t>
            </w:r>
          </w:p>
        </w:tc>
        <w:tc>
          <w:tcPr>
            <w:tcW w:type="dxa" w:w="964"/>
          </w:tcPr>
          <w:p>
            <w:pPr>
              <w:spacing w:after="20"/>
              <w:jc w:val="right"/>
            </w:pPr>
            <w:r/>
            <w:r>
              <w:rPr>
                <w:b w:val="0"/>
                <w:i w:val="0"/>
                <w:sz w:val="15"/>
              </w:rPr>
              <w:t>5.12</w:t>
            </w:r>
          </w:p>
        </w:tc>
        <w:tc>
          <w:tcPr>
            <w:tcW w:type="dxa" w:w="964"/>
          </w:tcPr>
          <w:p>
            <w:pPr>
              <w:spacing w:after="20"/>
              <w:jc w:val="right"/>
            </w:pPr>
            <w:r/>
            <w:r>
              <w:rPr>
                <w:b w:val="0"/>
                <w:i w:val="0"/>
                <w:sz w:val="15"/>
              </w:rPr>
              <w:t>5.19</w:t>
            </w:r>
          </w:p>
        </w:tc>
        <w:tc>
          <w:tcPr>
            <w:tcW w:type="dxa" w:w="964"/>
          </w:tcPr>
          <w:p>
            <w:pPr>
              <w:spacing w:after="20"/>
              <w:jc w:val="right"/>
            </w:pPr>
            <w:r/>
            <w:r>
              <w:rPr>
                <w:b w:val="0"/>
                <w:i w:val="0"/>
                <w:sz w:val="15"/>
              </w:rPr>
              <w:t>0.52</w:t>
            </w:r>
          </w:p>
        </w:tc>
      </w:tr>
      <w:tr>
        <w:trPr>
          <w:cantSplit/>
        </w:trPr>
        <w:tc>
          <w:tcPr>
            <w:tcW w:type="dxa" w:w="1701"/>
            <w:shd w:val="clear" w:color="auto" w:fill="EEF3F8"/>
          </w:tcPr>
          <w:p>
            <w:pPr>
              <w:spacing w:after="20"/>
            </w:pPr>
            <w:r/>
            <w:r>
              <w:rPr>
                <w:b w:val="0"/>
                <w:i w:val="0"/>
                <w:sz w:val="15"/>
              </w:rPr>
              <w:t>Total</w:t>
            </w:r>
          </w:p>
        </w:tc>
        <w:tc>
          <w:tcPr>
            <w:tcW w:type="dxa" w:w="2948"/>
            <w:shd w:val="clear" w:color="auto" w:fill="EEF3F8"/>
          </w:tcPr>
          <w:p>
            <w:pPr>
              <w:spacing w:after="20"/>
            </w:pPr>
            <w:r/>
            <w:r>
              <w:rPr>
                <w:b w:val="0"/>
                <w:i w:val="0"/>
                <w:sz w:val="15"/>
              </w:rPr>
              <w:t>Damped-trend ETS</w:t>
            </w:r>
          </w:p>
        </w:tc>
        <w:tc>
          <w:tcPr>
            <w:tcW w:type="dxa" w:w="964"/>
            <w:shd w:val="clear" w:color="auto" w:fill="EEF3F8"/>
          </w:tcPr>
          <w:p>
            <w:pPr>
              <w:spacing w:after="20"/>
              <w:jc w:val="right"/>
            </w:pPr>
            <w:r/>
            <w:r>
              <w:rPr>
                <w:b w:val="0"/>
                <w:i w:val="0"/>
                <w:sz w:val="15"/>
              </w:rPr>
              <w:t>24.0</w:t>
            </w:r>
          </w:p>
        </w:tc>
        <w:tc>
          <w:tcPr>
            <w:tcW w:type="dxa" w:w="964"/>
            <w:shd w:val="clear" w:color="auto" w:fill="EEF3F8"/>
          </w:tcPr>
          <w:p>
            <w:pPr>
              <w:spacing w:after="20"/>
              <w:jc w:val="right"/>
            </w:pPr>
            <w:r/>
            <w:r>
              <w:rPr>
                <w:b w:val="0"/>
                <w:i w:val="0"/>
                <w:sz w:val="15"/>
              </w:rPr>
              <w:t>30.4</w:t>
            </w:r>
          </w:p>
        </w:tc>
        <w:tc>
          <w:tcPr>
            <w:tcW w:type="dxa" w:w="964"/>
            <w:shd w:val="clear" w:color="auto" w:fill="EEF3F8"/>
          </w:tcPr>
          <w:p>
            <w:pPr>
              <w:spacing w:after="20"/>
              <w:jc w:val="right"/>
            </w:pPr>
            <w:r/>
            <w:r>
              <w:rPr>
                <w:b w:val="0"/>
                <w:i w:val="0"/>
                <w:sz w:val="15"/>
              </w:rPr>
              <w:t>5.02</w:t>
            </w:r>
          </w:p>
        </w:tc>
        <w:tc>
          <w:tcPr>
            <w:tcW w:type="dxa" w:w="964"/>
            <w:shd w:val="clear" w:color="auto" w:fill="EEF3F8"/>
          </w:tcPr>
          <w:p>
            <w:pPr>
              <w:spacing w:after="20"/>
              <w:jc w:val="right"/>
            </w:pPr>
            <w:r/>
            <w:r>
              <w:rPr>
                <w:b w:val="0"/>
                <w:i w:val="0"/>
                <w:sz w:val="15"/>
              </w:rPr>
              <w:t>4.94</w:t>
            </w:r>
          </w:p>
        </w:tc>
        <w:tc>
          <w:tcPr>
            <w:tcW w:type="dxa" w:w="964"/>
            <w:shd w:val="clear" w:color="auto" w:fill="EEF3F8"/>
          </w:tcPr>
          <w:p>
            <w:pPr>
              <w:spacing w:after="20"/>
              <w:jc w:val="right"/>
            </w:pPr>
            <w:r/>
            <w:r>
              <w:rPr>
                <w:b w:val="0"/>
                <w:i w:val="0"/>
                <w:sz w:val="15"/>
              </w:rPr>
              <w:t>0.50</w:t>
            </w:r>
          </w:p>
        </w:tc>
      </w:tr>
      <w:tr>
        <w:trPr>
          <w:cantSplit/>
        </w:trPr>
        <w:tc>
          <w:tcPr>
            <w:tcW w:type="dxa" w:w="1701"/>
          </w:tcPr>
          <w:p>
            <w:pPr>
              <w:spacing w:after="20"/>
            </w:pPr>
            <w:r/>
            <w:r>
              <w:rPr>
                <w:b w:val="0"/>
                <w:i w:val="0"/>
                <w:sz w:val="15"/>
              </w:rPr>
              <w:t>Total</w:t>
            </w:r>
          </w:p>
        </w:tc>
        <w:tc>
          <w:tcPr>
            <w:tcW w:type="dxa" w:w="2948"/>
          </w:tcPr>
          <w:p>
            <w:pPr>
              <w:spacing w:after="20"/>
            </w:pPr>
            <w:r/>
            <w:r>
              <w:rPr>
                <w:b w:val="0"/>
                <w:i w:val="0"/>
                <w:sz w:val="15"/>
              </w:rPr>
              <w:t>Drift</w:t>
            </w:r>
          </w:p>
        </w:tc>
        <w:tc>
          <w:tcPr>
            <w:tcW w:type="dxa" w:w="964"/>
          </w:tcPr>
          <w:p>
            <w:pPr>
              <w:spacing w:after="20"/>
              <w:jc w:val="right"/>
            </w:pPr>
            <w:r/>
            <w:r>
              <w:rPr>
                <w:b w:val="0"/>
                <w:i w:val="0"/>
                <w:sz w:val="15"/>
              </w:rPr>
              <w:t>31.3</w:t>
            </w:r>
          </w:p>
        </w:tc>
        <w:tc>
          <w:tcPr>
            <w:tcW w:type="dxa" w:w="964"/>
          </w:tcPr>
          <w:p>
            <w:pPr>
              <w:spacing w:after="20"/>
              <w:jc w:val="right"/>
            </w:pPr>
            <w:r/>
            <w:r>
              <w:rPr>
                <w:b w:val="0"/>
                <w:i w:val="0"/>
                <w:sz w:val="15"/>
              </w:rPr>
              <w:t>36.9</w:t>
            </w:r>
          </w:p>
        </w:tc>
        <w:tc>
          <w:tcPr>
            <w:tcW w:type="dxa" w:w="964"/>
          </w:tcPr>
          <w:p>
            <w:pPr>
              <w:spacing w:after="20"/>
              <w:jc w:val="right"/>
            </w:pPr>
            <w:r/>
            <w:r>
              <w:rPr>
                <w:b w:val="0"/>
                <w:i w:val="0"/>
                <w:sz w:val="15"/>
              </w:rPr>
              <w:t>6.50</w:t>
            </w:r>
          </w:p>
        </w:tc>
        <w:tc>
          <w:tcPr>
            <w:tcW w:type="dxa" w:w="964"/>
          </w:tcPr>
          <w:p>
            <w:pPr>
              <w:spacing w:after="20"/>
              <w:jc w:val="right"/>
            </w:pPr>
            <w:r/>
            <w:r>
              <w:rPr>
                <w:b w:val="0"/>
                <w:i w:val="0"/>
                <w:sz w:val="15"/>
              </w:rPr>
              <w:t>6.41</w:t>
            </w:r>
          </w:p>
        </w:tc>
        <w:tc>
          <w:tcPr>
            <w:tcW w:type="dxa" w:w="964"/>
          </w:tcPr>
          <w:p>
            <w:pPr>
              <w:spacing w:after="20"/>
              <w:jc w:val="right"/>
            </w:pPr>
            <w:r/>
            <w:r>
              <w:rPr>
                <w:b w:val="0"/>
                <w:i w:val="0"/>
                <w:sz w:val="15"/>
              </w:rPr>
              <w:t>0.65</w:t>
            </w:r>
          </w:p>
        </w:tc>
      </w:tr>
      <w:tr>
        <w:trPr>
          <w:cantSplit/>
        </w:trPr>
        <w:tc>
          <w:tcPr>
            <w:tcW w:type="dxa" w:w="1701"/>
            <w:shd w:val="clear" w:color="auto" w:fill="EEF3F8"/>
          </w:tcPr>
          <w:p>
            <w:pPr>
              <w:spacing w:after="20"/>
            </w:pPr>
            <w:r/>
            <w:r>
              <w:rPr>
                <w:b w:val="0"/>
                <w:i w:val="0"/>
                <w:sz w:val="15"/>
              </w:rPr>
              <w:t>Total</w:t>
            </w:r>
          </w:p>
        </w:tc>
        <w:tc>
          <w:tcPr>
            <w:tcW w:type="dxa" w:w="2948"/>
            <w:shd w:val="clear" w:color="auto" w:fill="EEF3F8"/>
          </w:tcPr>
          <w:p>
            <w:pPr>
              <w:spacing w:after="20"/>
            </w:pPr>
            <w:r/>
            <w:r>
              <w:rPr>
                <w:b w:val="0"/>
                <w:i w:val="0"/>
                <w:sz w:val="15"/>
              </w:rPr>
              <w:t>Log-trend + seasonal (shrunk)</w:t>
            </w:r>
          </w:p>
        </w:tc>
        <w:tc>
          <w:tcPr>
            <w:tcW w:type="dxa" w:w="964"/>
            <w:shd w:val="clear" w:color="auto" w:fill="EEF3F8"/>
          </w:tcPr>
          <w:p>
            <w:pPr>
              <w:spacing w:after="20"/>
              <w:jc w:val="right"/>
            </w:pPr>
            <w:r/>
            <w:r>
              <w:rPr>
                <w:b w:val="0"/>
                <w:i w:val="0"/>
                <w:sz w:val="15"/>
              </w:rPr>
              <w:t>16.6</w:t>
            </w:r>
          </w:p>
        </w:tc>
        <w:tc>
          <w:tcPr>
            <w:tcW w:type="dxa" w:w="964"/>
            <w:shd w:val="clear" w:color="auto" w:fill="EEF3F8"/>
          </w:tcPr>
          <w:p>
            <w:pPr>
              <w:spacing w:after="20"/>
              <w:jc w:val="right"/>
            </w:pPr>
            <w:r/>
            <w:r>
              <w:rPr>
                <w:b w:val="0"/>
                <w:i w:val="0"/>
                <w:sz w:val="15"/>
              </w:rPr>
              <w:t>22.4</w:t>
            </w:r>
          </w:p>
        </w:tc>
        <w:tc>
          <w:tcPr>
            <w:tcW w:type="dxa" w:w="964"/>
            <w:shd w:val="clear" w:color="auto" w:fill="EEF3F8"/>
          </w:tcPr>
          <w:p>
            <w:pPr>
              <w:spacing w:after="20"/>
              <w:jc w:val="right"/>
            </w:pPr>
            <w:r/>
            <w:r>
              <w:rPr>
                <w:b w:val="0"/>
                <w:i w:val="0"/>
                <w:sz w:val="15"/>
              </w:rPr>
              <w:t>3.50</w:t>
            </w:r>
          </w:p>
        </w:tc>
        <w:tc>
          <w:tcPr>
            <w:tcW w:type="dxa" w:w="964"/>
            <w:shd w:val="clear" w:color="auto" w:fill="EEF3F8"/>
          </w:tcPr>
          <w:p>
            <w:pPr>
              <w:spacing w:after="20"/>
              <w:jc w:val="right"/>
            </w:pPr>
            <w:r/>
            <w:r>
              <w:rPr>
                <w:b w:val="0"/>
                <w:i w:val="0"/>
                <w:sz w:val="15"/>
              </w:rPr>
              <w:t>3.41</w:t>
            </w:r>
          </w:p>
        </w:tc>
        <w:tc>
          <w:tcPr>
            <w:tcW w:type="dxa" w:w="964"/>
            <w:shd w:val="clear" w:color="auto" w:fill="EEF3F8"/>
          </w:tcPr>
          <w:p>
            <w:pPr>
              <w:spacing w:after="20"/>
              <w:jc w:val="right"/>
            </w:pPr>
            <w:r/>
            <w:r>
              <w:rPr>
                <w:b w:val="0"/>
                <w:i w:val="0"/>
                <w:sz w:val="15"/>
              </w:rPr>
              <w:t>0.34</w:t>
            </w:r>
          </w:p>
        </w:tc>
      </w:tr>
      <w:tr>
        <w:trPr>
          <w:cantSplit/>
        </w:trPr>
        <w:tc>
          <w:tcPr>
            <w:tcW w:type="dxa" w:w="1701"/>
          </w:tcPr>
          <w:p>
            <w:pPr>
              <w:spacing w:after="20"/>
            </w:pPr>
            <w:r/>
            <w:r>
              <w:rPr>
                <w:b w:val="0"/>
                <w:i w:val="0"/>
                <w:sz w:val="15"/>
              </w:rPr>
              <w:t>Total</w:t>
            </w:r>
          </w:p>
        </w:tc>
        <w:tc>
          <w:tcPr>
            <w:tcW w:type="dxa" w:w="2948"/>
          </w:tcPr>
          <w:p>
            <w:pPr>
              <w:spacing w:after="20"/>
            </w:pPr>
            <w:r/>
            <w:r>
              <w:rPr>
                <w:b w:val="0"/>
                <w:i w:val="0"/>
                <w:sz w:val="15"/>
              </w:rPr>
              <w:t>Mean (last 6m)</w:t>
            </w:r>
          </w:p>
        </w:tc>
        <w:tc>
          <w:tcPr>
            <w:tcW w:type="dxa" w:w="964"/>
          </w:tcPr>
          <w:p>
            <w:pPr>
              <w:spacing w:after="20"/>
              <w:jc w:val="right"/>
            </w:pPr>
            <w:r/>
            <w:r>
              <w:rPr>
                <w:b w:val="0"/>
                <w:i w:val="0"/>
                <w:sz w:val="15"/>
              </w:rPr>
              <w:t>26.7</w:t>
            </w:r>
          </w:p>
        </w:tc>
        <w:tc>
          <w:tcPr>
            <w:tcW w:type="dxa" w:w="964"/>
          </w:tcPr>
          <w:p>
            <w:pPr>
              <w:spacing w:after="20"/>
              <w:jc w:val="right"/>
            </w:pPr>
            <w:r/>
            <w:r>
              <w:rPr>
                <w:b w:val="0"/>
                <w:i w:val="0"/>
                <w:sz w:val="15"/>
              </w:rPr>
              <w:t>29.6</w:t>
            </w:r>
          </w:p>
        </w:tc>
        <w:tc>
          <w:tcPr>
            <w:tcW w:type="dxa" w:w="964"/>
          </w:tcPr>
          <w:p>
            <w:pPr>
              <w:spacing w:after="20"/>
              <w:jc w:val="right"/>
            </w:pPr>
            <w:r/>
            <w:r>
              <w:rPr>
                <w:b w:val="0"/>
                <w:i w:val="0"/>
                <w:sz w:val="15"/>
              </w:rPr>
              <w:t>5.44</w:t>
            </w:r>
          </w:p>
        </w:tc>
        <w:tc>
          <w:tcPr>
            <w:tcW w:type="dxa" w:w="964"/>
          </w:tcPr>
          <w:p>
            <w:pPr>
              <w:spacing w:after="20"/>
              <w:jc w:val="right"/>
            </w:pPr>
            <w:r/>
            <w:r>
              <w:rPr>
                <w:b w:val="0"/>
                <w:i w:val="0"/>
                <w:sz w:val="15"/>
              </w:rPr>
              <w:t>5.54</w:t>
            </w:r>
          </w:p>
        </w:tc>
        <w:tc>
          <w:tcPr>
            <w:tcW w:type="dxa" w:w="964"/>
          </w:tcPr>
          <w:p>
            <w:pPr>
              <w:spacing w:after="20"/>
              <w:jc w:val="right"/>
            </w:pPr>
            <w:r/>
            <w:r>
              <w:rPr>
                <w:b w:val="0"/>
                <w:i w:val="0"/>
                <w:sz w:val="15"/>
              </w:rPr>
              <w:t>0.56</w:t>
            </w:r>
          </w:p>
        </w:tc>
      </w:tr>
      <w:tr>
        <w:trPr>
          <w:cantSplit/>
        </w:trPr>
        <w:tc>
          <w:tcPr>
            <w:tcW w:type="dxa" w:w="1701"/>
            <w:shd w:val="clear" w:color="auto" w:fill="EEF3F8"/>
          </w:tcPr>
          <w:p>
            <w:pPr>
              <w:spacing w:after="20"/>
            </w:pPr>
            <w:r/>
            <w:r>
              <w:rPr>
                <w:b w:val="0"/>
                <w:i w:val="0"/>
                <w:sz w:val="15"/>
              </w:rPr>
              <w:t>Total</w:t>
            </w:r>
          </w:p>
        </w:tc>
        <w:tc>
          <w:tcPr>
            <w:tcW w:type="dxa" w:w="2948"/>
            <w:shd w:val="clear" w:color="auto" w:fill="EEF3F8"/>
          </w:tcPr>
          <w:p>
            <w:pPr>
              <w:spacing w:after="20"/>
            </w:pPr>
            <w:r/>
            <w:r>
              <w:rPr>
                <w:b w:val="0"/>
                <w:i w:val="0"/>
                <w:sz w:val="15"/>
              </w:rPr>
              <w:t>Naive</w:t>
            </w:r>
          </w:p>
        </w:tc>
        <w:tc>
          <w:tcPr>
            <w:tcW w:type="dxa" w:w="964"/>
            <w:shd w:val="clear" w:color="auto" w:fill="EEF3F8"/>
          </w:tcPr>
          <w:p>
            <w:pPr>
              <w:spacing w:after="20"/>
              <w:jc w:val="right"/>
            </w:pPr>
            <w:r/>
            <w:r>
              <w:rPr>
                <w:b w:val="0"/>
                <w:i w:val="0"/>
                <w:sz w:val="15"/>
              </w:rPr>
              <w:t>26.0</w:t>
            </w:r>
          </w:p>
        </w:tc>
        <w:tc>
          <w:tcPr>
            <w:tcW w:type="dxa" w:w="964"/>
            <w:shd w:val="clear" w:color="auto" w:fill="EEF3F8"/>
          </w:tcPr>
          <w:p>
            <w:pPr>
              <w:spacing w:after="20"/>
              <w:jc w:val="right"/>
            </w:pPr>
            <w:r/>
            <w:r>
              <w:rPr>
                <w:b w:val="0"/>
                <w:i w:val="0"/>
                <w:sz w:val="15"/>
              </w:rPr>
              <w:t>32.6</w:t>
            </w:r>
          </w:p>
        </w:tc>
        <w:tc>
          <w:tcPr>
            <w:tcW w:type="dxa" w:w="964"/>
            <w:shd w:val="clear" w:color="auto" w:fill="EEF3F8"/>
          </w:tcPr>
          <w:p>
            <w:pPr>
              <w:spacing w:after="20"/>
              <w:jc w:val="right"/>
            </w:pPr>
            <w:r/>
            <w:r>
              <w:rPr>
                <w:b w:val="0"/>
                <w:i w:val="0"/>
                <w:sz w:val="15"/>
              </w:rPr>
              <w:t>5.37</w:t>
            </w:r>
          </w:p>
        </w:tc>
        <w:tc>
          <w:tcPr>
            <w:tcW w:type="dxa" w:w="964"/>
            <w:shd w:val="clear" w:color="auto" w:fill="EEF3F8"/>
          </w:tcPr>
          <w:p>
            <w:pPr>
              <w:spacing w:after="20"/>
              <w:jc w:val="right"/>
            </w:pPr>
            <w:r/>
            <w:r>
              <w:rPr>
                <w:b w:val="0"/>
                <w:i w:val="0"/>
                <w:sz w:val="15"/>
              </w:rPr>
              <w:t>5.41</w:t>
            </w:r>
          </w:p>
        </w:tc>
        <w:tc>
          <w:tcPr>
            <w:tcW w:type="dxa" w:w="964"/>
            <w:shd w:val="clear" w:color="auto" w:fill="EEF3F8"/>
          </w:tcPr>
          <w:p>
            <w:pPr>
              <w:spacing w:after="20"/>
              <w:jc w:val="right"/>
            </w:pPr>
            <w:r/>
            <w:r>
              <w:rPr>
                <w:b w:val="0"/>
                <w:i w:val="0"/>
                <w:sz w:val="15"/>
              </w:rPr>
              <w:t>0.54</w:t>
            </w:r>
          </w:p>
        </w:tc>
      </w:tr>
      <w:tr>
        <w:trPr>
          <w:cantSplit/>
        </w:trPr>
        <w:tc>
          <w:tcPr>
            <w:tcW w:type="dxa" w:w="1701"/>
          </w:tcPr>
          <w:p>
            <w:pPr>
              <w:spacing w:after="20"/>
            </w:pPr>
            <w:r/>
            <w:r>
              <w:rPr>
                <w:b w:val="0"/>
                <w:i w:val="0"/>
                <w:sz w:val="15"/>
              </w:rPr>
              <w:t>Total</w:t>
            </w:r>
          </w:p>
        </w:tc>
        <w:tc>
          <w:tcPr>
            <w:tcW w:type="dxa" w:w="2948"/>
          </w:tcPr>
          <w:p>
            <w:pPr>
              <w:spacing w:after="20"/>
            </w:pPr>
            <w:r/>
            <w:r>
              <w:rPr>
                <w:b w:val="0"/>
                <w:i w:val="0"/>
                <w:sz w:val="15"/>
              </w:rPr>
              <w:t>Seasonal naive</w:t>
            </w:r>
          </w:p>
        </w:tc>
        <w:tc>
          <w:tcPr>
            <w:tcW w:type="dxa" w:w="964"/>
          </w:tcPr>
          <w:p>
            <w:pPr>
              <w:spacing w:after="20"/>
              <w:jc w:val="right"/>
            </w:pPr>
            <w:r/>
            <w:r>
              <w:rPr>
                <w:b w:val="0"/>
                <w:i w:val="0"/>
                <w:sz w:val="15"/>
              </w:rPr>
              <w:t>44.5</w:t>
            </w:r>
          </w:p>
        </w:tc>
        <w:tc>
          <w:tcPr>
            <w:tcW w:type="dxa" w:w="964"/>
          </w:tcPr>
          <w:p>
            <w:pPr>
              <w:spacing w:after="20"/>
              <w:jc w:val="right"/>
            </w:pPr>
            <w:r/>
            <w:r>
              <w:rPr>
                <w:b w:val="0"/>
                <w:i w:val="0"/>
                <w:sz w:val="15"/>
              </w:rPr>
              <w:t>45.9</w:t>
            </w:r>
          </w:p>
        </w:tc>
        <w:tc>
          <w:tcPr>
            <w:tcW w:type="dxa" w:w="964"/>
          </w:tcPr>
          <w:p>
            <w:pPr>
              <w:spacing w:after="20"/>
              <w:jc w:val="right"/>
            </w:pPr>
            <w:r/>
            <w:r>
              <w:rPr>
                <w:b w:val="0"/>
                <w:i w:val="0"/>
                <w:sz w:val="15"/>
              </w:rPr>
              <w:t>9.07</w:t>
            </w:r>
          </w:p>
        </w:tc>
        <w:tc>
          <w:tcPr>
            <w:tcW w:type="dxa" w:w="964"/>
          </w:tcPr>
          <w:p>
            <w:pPr>
              <w:spacing w:after="20"/>
              <w:jc w:val="right"/>
            </w:pPr>
            <w:r/>
            <w:r>
              <w:rPr>
                <w:b w:val="0"/>
                <w:i w:val="0"/>
                <w:sz w:val="15"/>
              </w:rPr>
              <w:t>9.53</w:t>
            </w:r>
          </w:p>
        </w:tc>
        <w:tc>
          <w:tcPr>
            <w:tcW w:type="dxa" w:w="964"/>
          </w:tcPr>
          <w:p>
            <w:pPr>
              <w:spacing w:after="20"/>
              <w:jc w:val="right"/>
            </w:pPr>
            <w:r/>
            <w:r>
              <w:rPr>
                <w:b w:val="0"/>
                <w:i w:val="0"/>
                <w:sz w:val="15"/>
              </w:rPr>
              <w:t>0.92</w:t>
            </w:r>
          </w:p>
        </w:tc>
      </w:tr>
      <w:tr>
        <w:trPr>
          <w:cantSplit/>
        </w:trPr>
        <w:tc>
          <w:tcPr>
            <w:tcW w:type="dxa" w:w="1701"/>
            <w:shd w:val="clear" w:color="auto" w:fill="EEF3F8"/>
          </w:tcPr>
          <w:p>
            <w:pPr>
              <w:spacing w:after="20"/>
            </w:pPr>
            <w:r/>
            <w:r>
              <w:rPr>
                <w:b w:val="0"/>
                <w:i w:val="0"/>
                <w:sz w:val="15"/>
              </w:rPr>
              <w:t>Total</w:t>
            </w:r>
          </w:p>
        </w:tc>
        <w:tc>
          <w:tcPr>
            <w:tcW w:type="dxa" w:w="2948"/>
            <w:shd w:val="clear" w:color="auto" w:fill="EEF3F8"/>
          </w:tcPr>
          <w:p>
            <w:pPr>
              <w:spacing w:after="20"/>
            </w:pPr>
            <w:r/>
            <w:r>
              <w:rPr>
                <w:b w:val="0"/>
                <w:i w:val="0"/>
                <w:sz w:val="15"/>
              </w:rPr>
              <w:t>Seasonal naive x growth</w:t>
            </w:r>
          </w:p>
        </w:tc>
        <w:tc>
          <w:tcPr>
            <w:tcW w:type="dxa" w:w="964"/>
            <w:shd w:val="clear" w:color="auto" w:fill="EEF3F8"/>
          </w:tcPr>
          <w:p>
            <w:pPr>
              <w:spacing w:after="20"/>
              <w:jc w:val="right"/>
            </w:pPr>
            <w:r/>
            <w:r>
              <w:rPr>
                <w:b w:val="0"/>
                <w:i w:val="0"/>
                <w:sz w:val="15"/>
              </w:rPr>
              <w:t>12.8</w:t>
            </w:r>
          </w:p>
        </w:tc>
        <w:tc>
          <w:tcPr>
            <w:tcW w:type="dxa" w:w="964"/>
            <w:shd w:val="clear" w:color="auto" w:fill="EEF3F8"/>
          </w:tcPr>
          <w:p>
            <w:pPr>
              <w:spacing w:after="20"/>
              <w:jc w:val="right"/>
            </w:pPr>
            <w:r/>
            <w:r>
              <w:rPr>
                <w:b w:val="0"/>
                <w:i w:val="0"/>
                <w:sz w:val="15"/>
              </w:rPr>
              <w:t>16.0</w:t>
            </w:r>
          </w:p>
        </w:tc>
        <w:tc>
          <w:tcPr>
            <w:tcW w:type="dxa" w:w="964"/>
            <w:shd w:val="clear" w:color="auto" w:fill="EEF3F8"/>
          </w:tcPr>
          <w:p>
            <w:pPr>
              <w:spacing w:after="20"/>
              <w:jc w:val="right"/>
            </w:pPr>
            <w:r/>
            <w:r>
              <w:rPr>
                <w:b w:val="0"/>
                <w:i w:val="0"/>
                <w:sz w:val="15"/>
              </w:rPr>
              <w:t>2.67</w:t>
            </w:r>
          </w:p>
        </w:tc>
        <w:tc>
          <w:tcPr>
            <w:tcW w:type="dxa" w:w="964"/>
            <w:shd w:val="clear" w:color="auto" w:fill="EEF3F8"/>
          </w:tcPr>
          <w:p>
            <w:pPr>
              <w:spacing w:after="20"/>
              <w:jc w:val="right"/>
            </w:pPr>
            <w:r/>
            <w:r>
              <w:rPr>
                <w:b w:val="0"/>
                <w:i w:val="0"/>
                <w:sz w:val="15"/>
              </w:rPr>
              <w:t>2.62</w:t>
            </w:r>
          </w:p>
        </w:tc>
        <w:tc>
          <w:tcPr>
            <w:tcW w:type="dxa" w:w="964"/>
            <w:shd w:val="clear" w:color="auto" w:fill="EEF3F8"/>
          </w:tcPr>
          <w:p>
            <w:pPr>
              <w:spacing w:after="20"/>
              <w:jc w:val="right"/>
            </w:pPr>
            <w:r/>
            <w:r>
              <w:rPr>
                <w:b w:val="0"/>
                <w:i w:val="0"/>
                <w:sz w:val="15"/>
              </w:rPr>
              <w:t>0.27</w:t>
            </w:r>
          </w:p>
        </w:tc>
      </w:tr>
    </w:tbl>
    <w:p>
      <w:r>
        <w:rPr>
          <w:i/>
          <w:sz w:val="16"/>
        </w:rPr>
        <w:t>MAE and RMSE in kt; MAPE and sMAPE in %. Rolling origins 18–25, horizons 1–6.</w:t>
      </w:r>
    </w:p>
    <w:p>
      <w:pPr>
        <w:pStyle w:val="Heading1"/>
      </w:pPr>
      <w:r>
        <w:t>Annex D. Assumptions register (summary)</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2041"/>
            <w:shd w:val="clear" w:color="auto" w:fill="1F4E79"/>
          </w:tcPr>
          <w:p>
            <w:pPr>
              <w:spacing w:after="20"/>
            </w:pPr>
            <w:r/>
            <w:r>
              <w:rPr>
                <w:b/>
                <w:color w:val="FFFFFF"/>
                <w:sz w:val="17"/>
              </w:rPr>
              <w:t>Assumption</w:t>
            </w:r>
          </w:p>
        </w:tc>
        <w:tc>
          <w:tcPr>
            <w:tcW w:type="dxa" w:w="4989"/>
            <w:shd w:val="clear" w:color="auto" w:fill="1F4E79"/>
          </w:tcPr>
          <w:p>
            <w:pPr>
              <w:spacing w:after="20"/>
            </w:pPr>
            <w:r/>
            <w:r>
              <w:rPr>
                <w:b/>
                <w:color w:val="FFFFFF"/>
                <w:sz w:val="17"/>
              </w:rPr>
              <w:t>Value</w:t>
            </w:r>
          </w:p>
        </w:tc>
        <w:tc>
          <w:tcPr>
            <w:tcW w:type="dxa" w:w="2438"/>
            <w:shd w:val="clear" w:color="auto" w:fill="1F4E79"/>
          </w:tcPr>
          <w:p>
            <w:pPr>
              <w:spacing w:after="20"/>
            </w:pPr>
            <w:r/>
            <w:r>
              <w:rPr>
                <w:b/>
                <w:color w:val="FFFFFF"/>
                <w:sz w:val="17"/>
              </w:rPr>
              <w:t>Basis</w:t>
            </w:r>
          </w:p>
        </w:tc>
      </w:tr>
      <w:tr>
        <w:trPr>
          <w:cantSplit/>
        </w:trPr>
        <w:tc>
          <w:tcPr>
            <w:tcW w:type="dxa" w:w="2041"/>
          </w:tcPr>
          <w:p>
            <w:pPr>
              <w:spacing w:after="20"/>
            </w:pPr>
            <w:r/>
            <w:r>
              <w:rPr>
                <w:b w:val="0"/>
                <w:i w:val="0"/>
                <w:sz w:val="17"/>
              </w:rPr>
              <w:t>Growth 2025–29</w:t>
            </w:r>
          </w:p>
        </w:tc>
        <w:tc>
          <w:tcPr>
            <w:tcW w:type="dxa" w:w="4989"/>
          </w:tcPr>
          <w:p>
            <w:pPr>
              <w:spacing w:after="20"/>
            </w:pPr>
            <w:r/>
            <w:r>
              <w:rPr>
                <w:b w:val="0"/>
                <w:i w:val="0"/>
                <w:sz w:val="17"/>
              </w:rPr>
              <w:t>PDP baseline / optimistic / pessimistic by product</w:t>
            </w:r>
          </w:p>
        </w:tc>
        <w:tc>
          <w:tcPr>
            <w:tcW w:type="dxa" w:w="2438"/>
          </w:tcPr>
          <w:p>
            <w:pPr>
              <w:spacing w:after="20"/>
            </w:pPr>
            <w:r/>
            <w:r>
              <w:rPr>
                <w:b w:val="0"/>
                <w:i w:val="0"/>
                <w:sz w:val="17"/>
              </w:rPr>
              <w:t>EPRA PDP</w:t>
            </w:r>
          </w:p>
        </w:tc>
      </w:tr>
      <w:tr>
        <w:trPr>
          <w:cantSplit/>
        </w:trPr>
        <w:tc>
          <w:tcPr>
            <w:tcW w:type="dxa" w:w="2041"/>
            <w:shd w:val="clear" w:color="auto" w:fill="EEF3F8"/>
          </w:tcPr>
          <w:p>
            <w:pPr>
              <w:spacing w:after="20"/>
            </w:pPr>
            <w:r/>
            <w:r>
              <w:rPr>
                <w:b w:val="0"/>
                <w:i w:val="0"/>
                <w:sz w:val="17"/>
              </w:rPr>
              <w:t>Growth 2030–35</w:t>
            </w:r>
          </w:p>
        </w:tc>
        <w:tc>
          <w:tcPr>
            <w:tcW w:type="dxa" w:w="4989"/>
            <w:shd w:val="clear" w:color="auto" w:fill="EEF3F8"/>
          </w:tcPr>
          <w:p>
            <w:pPr>
              <w:spacing w:after="20"/>
            </w:pPr>
            <w:r/>
            <w:r>
              <w:rPr>
                <w:b w:val="0"/>
                <w:i w:val="0"/>
                <w:sz w:val="17"/>
              </w:rPr>
              <w:t>0.8 × 2025–29 rate</w:t>
            </w:r>
          </w:p>
        </w:tc>
        <w:tc>
          <w:tcPr>
            <w:tcW w:type="dxa" w:w="2438"/>
            <w:shd w:val="clear" w:color="auto" w:fill="EEF3F8"/>
          </w:tcPr>
          <w:p>
            <w:pPr>
              <w:spacing w:after="20"/>
            </w:pPr>
            <w:r/>
            <w:r>
              <w:rPr>
                <w:b w:val="0"/>
                <w:i w:val="0"/>
                <w:sz w:val="17"/>
              </w:rPr>
              <w:t>Author</w:t>
            </w:r>
          </w:p>
        </w:tc>
      </w:tr>
      <w:tr>
        <w:trPr>
          <w:cantSplit/>
        </w:trPr>
        <w:tc>
          <w:tcPr>
            <w:tcW w:type="dxa" w:w="2041"/>
          </w:tcPr>
          <w:p>
            <w:pPr>
              <w:spacing w:after="20"/>
            </w:pPr>
            <w:r/>
            <w:r>
              <w:rPr>
                <w:b w:val="0"/>
                <w:i w:val="0"/>
                <w:sz w:val="17"/>
              </w:rPr>
              <w:t>2026 price rise</w:t>
            </w:r>
          </w:p>
        </w:tc>
        <w:tc>
          <w:tcPr>
            <w:tcW w:type="dxa" w:w="4989"/>
          </w:tcPr>
          <w:p>
            <w:pPr>
              <w:spacing w:after="20"/>
            </w:pPr>
            <w:r/>
            <w:r>
              <w:rPr>
                <w:b w:val="0"/>
                <w:i w:val="0"/>
                <w:sz w:val="17"/>
              </w:rPr>
              <w:t>Diesel 10/20/30%, petrol 8/15/22%, LPG 5/10/20%, kerosene 10/20/30%</w:t>
            </w:r>
          </w:p>
        </w:tc>
        <w:tc>
          <w:tcPr>
            <w:tcW w:type="dxa" w:w="2438"/>
          </w:tcPr>
          <w:p>
            <w:pPr>
              <w:spacing w:after="20"/>
            </w:pPr>
            <w:r/>
            <w:r>
              <w:rPr>
                <w:b w:val="0"/>
                <w:i w:val="0"/>
                <w:sz w:val="17"/>
              </w:rPr>
              <w:t>Author, informed by EPRA reviews</w:t>
            </w:r>
          </w:p>
        </w:tc>
      </w:tr>
      <w:tr>
        <w:trPr>
          <w:cantSplit/>
        </w:trPr>
        <w:tc>
          <w:tcPr>
            <w:tcW w:type="dxa" w:w="2041"/>
            <w:shd w:val="clear" w:color="auto" w:fill="EEF3F8"/>
          </w:tcPr>
          <w:p>
            <w:pPr>
              <w:spacing w:after="20"/>
            </w:pPr>
            <w:r/>
            <w:r>
              <w:rPr>
                <w:b w:val="0"/>
                <w:i w:val="0"/>
                <w:sz w:val="17"/>
              </w:rPr>
              <w:t>Elasticities</w:t>
            </w:r>
          </w:p>
        </w:tc>
        <w:tc>
          <w:tcPr>
            <w:tcW w:type="dxa" w:w="4989"/>
            <w:shd w:val="clear" w:color="auto" w:fill="EEF3F8"/>
          </w:tcPr>
          <w:p>
            <w:pPr>
              <w:spacing w:after="20"/>
            </w:pPr>
            <w:r/>
            <w:r>
              <w:rPr>
                <w:b w:val="0"/>
                <w:i w:val="0"/>
                <w:sz w:val="17"/>
              </w:rPr>
              <w:t>Diesel −0.185/−0.57; petrol −0.096/−0.26; LPG −0.15/−0.30; kerosene −0.2/−0.5; jet 0</w:t>
            </w:r>
          </w:p>
        </w:tc>
        <w:tc>
          <w:tcPr>
            <w:tcW w:type="dxa" w:w="2438"/>
            <w:shd w:val="clear" w:color="auto" w:fill="EEF3F8"/>
          </w:tcPr>
          <w:p>
            <w:pPr>
              <w:spacing w:after="20"/>
            </w:pPr>
            <w:r/>
            <w:r>
              <w:rPr>
                <w:b w:val="0"/>
                <w:i w:val="0"/>
                <w:sz w:val="17"/>
              </w:rPr>
              <w:t>PDP-implied; author</w:t>
            </w:r>
          </w:p>
        </w:tc>
      </w:tr>
      <w:tr>
        <w:trPr>
          <w:cantSplit/>
        </w:trPr>
        <w:tc>
          <w:tcPr>
            <w:tcW w:type="dxa" w:w="2041"/>
          </w:tcPr>
          <w:p>
            <w:pPr>
              <w:spacing w:after="20"/>
            </w:pPr>
            <w:r/>
            <w:r>
              <w:rPr>
                <w:b w:val="0"/>
                <w:i w:val="0"/>
                <w:sz w:val="17"/>
              </w:rPr>
              <w:t>Exchange rate</w:t>
            </w:r>
          </w:p>
        </w:tc>
        <w:tc>
          <w:tcPr>
            <w:tcW w:type="dxa" w:w="4989"/>
          </w:tcPr>
          <w:p>
            <w:pPr>
              <w:spacing w:after="20"/>
            </w:pPr>
            <w:r/>
            <w:r>
              <w:rPr>
                <w:b w:val="0"/>
                <w:i w:val="0"/>
                <w:sz w:val="17"/>
              </w:rPr>
              <w:t>129.2 KSh per US$ (125–135 tested)</w:t>
            </w:r>
          </w:p>
        </w:tc>
        <w:tc>
          <w:tcPr>
            <w:tcW w:type="dxa" w:w="2438"/>
          </w:tcPr>
          <w:p>
            <w:pPr>
              <w:spacing w:after="20"/>
            </w:pPr>
            <w:r/>
            <w:r>
              <w:rPr>
                <w:b w:val="0"/>
                <w:i w:val="0"/>
                <w:sz w:val="17"/>
              </w:rPr>
              <w:t>Author</w:t>
            </w:r>
          </w:p>
        </w:tc>
      </w:tr>
      <w:tr>
        <w:trPr>
          <w:cantSplit/>
        </w:trPr>
        <w:tc>
          <w:tcPr>
            <w:tcW w:type="dxa" w:w="2041"/>
            <w:shd w:val="clear" w:color="auto" w:fill="EEF3F8"/>
          </w:tcPr>
          <w:p>
            <w:pPr>
              <w:spacing w:after="20"/>
            </w:pPr>
            <w:r/>
            <w:r>
              <w:rPr>
                <w:b w:val="0"/>
                <w:i w:val="0"/>
                <w:sz w:val="17"/>
              </w:rPr>
              <w:t>Stock standard</w:t>
            </w:r>
          </w:p>
        </w:tc>
        <w:tc>
          <w:tcPr>
            <w:tcW w:type="dxa" w:w="4989"/>
            <w:shd w:val="clear" w:color="auto" w:fill="EEF3F8"/>
          </w:tcPr>
          <w:p>
            <w:pPr>
              <w:spacing w:after="20"/>
            </w:pPr>
            <w:r/>
            <w:r>
              <w:rPr>
                <w:b w:val="0"/>
                <w:i w:val="0"/>
                <w:sz w:val="17"/>
              </w:rPr>
              <w:t>30 days (15 + 15)</w:t>
            </w:r>
          </w:p>
        </w:tc>
        <w:tc>
          <w:tcPr>
            <w:tcW w:type="dxa" w:w="2438"/>
            <w:shd w:val="clear" w:color="auto" w:fill="EEF3F8"/>
          </w:tcPr>
          <w:p>
            <w:pPr>
              <w:spacing w:after="20"/>
            </w:pPr>
            <w:r/>
            <w:r>
              <w:rPr>
                <w:b w:val="0"/>
                <w:i w:val="0"/>
                <w:sz w:val="17"/>
              </w:rPr>
              <w:t>EPRA PDP</w:t>
            </w:r>
          </w:p>
        </w:tc>
      </w:tr>
      <w:tr>
        <w:trPr>
          <w:cantSplit/>
        </w:trPr>
        <w:tc>
          <w:tcPr>
            <w:tcW w:type="dxa" w:w="2041"/>
          </w:tcPr>
          <w:p>
            <w:pPr>
              <w:spacing w:after="20"/>
            </w:pPr>
            <w:r/>
            <w:r>
              <w:rPr>
                <w:b w:val="0"/>
                <w:i w:val="0"/>
                <w:sz w:val="17"/>
              </w:rPr>
              <w:t>Litres per tonne</w:t>
            </w:r>
          </w:p>
        </w:tc>
        <w:tc>
          <w:tcPr>
            <w:tcW w:type="dxa" w:w="4989"/>
          </w:tcPr>
          <w:p>
            <w:pPr>
              <w:spacing w:after="20"/>
            </w:pPr>
            <w:r/>
            <w:r>
              <w:rPr>
                <w:b w:val="0"/>
                <w:i w:val="0"/>
                <w:sz w:val="17"/>
              </w:rPr>
              <w:t>Implied by PDP base year</w:t>
            </w:r>
          </w:p>
        </w:tc>
        <w:tc>
          <w:tcPr>
            <w:tcW w:type="dxa" w:w="2438"/>
          </w:tcPr>
          <w:p>
            <w:pPr>
              <w:spacing w:after="20"/>
            </w:pPr>
            <w:r/>
            <w:r>
              <w:rPr>
                <w:b w:val="0"/>
                <w:i w:val="0"/>
                <w:sz w:val="17"/>
              </w:rPr>
              <w:t>EPRA PDP</w:t>
            </w:r>
          </w:p>
        </w:tc>
      </w:tr>
      <w:tr>
        <w:trPr>
          <w:cantSplit/>
        </w:trPr>
        <w:tc>
          <w:tcPr>
            <w:tcW w:type="dxa" w:w="2041"/>
            <w:shd w:val="clear" w:color="auto" w:fill="EEF3F8"/>
          </w:tcPr>
          <w:p>
            <w:pPr>
              <w:spacing w:after="20"/>
            </w:pPr>
            <w:r/>
            <w:r>
              <w:rPr>
                <w:b w:val="0"/>
                <w:i w:val="0"/>
                <w:sz w:val="17"/>
              </w:rPr>
              <w:t>Risk weights</w:t>
            </w:r>
          </w:p>
        </w:tc>
        <w:tc>
          <w:tcPr>
            <w:tcW w:type="dxa" w:w="4989"/>
            <w:shd w:val="clear" w:color="auto" w:fill="EEF3F8"/>
          </w:tcPr>
          <w:p>
            <w:pPr>
              <w:spacing w:after="20"/>
            </w:pPr>
            <w:r/>
            <w:r>
              <w:rPr>
                <w:b w:val="0"/>
                <w:i w:val="0"/>
                <w:sz w:val="17"/>
              </w:rPr>
              <w:t>25/20/15/15/15/10%</w:t>
            </w:r>
          </w:p>
        </w:tc>
        <w:tc>
          <w:tcPr>
            <w:tcW w:type="dxa" w:w="2438"/>
            <w:shd w:val="clear" w:color="auto" w:fill="EEF3F8"/>
          </w:tcPr>
          <w:p>
            <w:pPr>
              <w:spacing w:after="20"/>
            </w:pPr>
            <w:r/>
            <w:r>
              <w:rPr>
                <w:b w:val="0"/>
                <w:i w:val="0"/>
                <w:sz w:val="17"/>
              </w:rPr>
              <w:t>Author</w:t>
            </w:r>
          </w:p>
        </w:tc>
      </w:tr>
      <w:tr>
        <w:trPr>
          <w:cantSplit/>
        </w:trPr>
        <w:tc>
          <w:tcPr>
            <w:tcW w:type="dxa" w:w="2041"/>
          </w:tcPr>
          <w:p>
            <w:pPr>
              <w:spacing w:after="20"/>
            </w:pPr>
            <w:r/>
            <w:r>
              <w:rPr>
                <w:b w:val="0"/>
                <w:i w:val="0"/>
                <w:sz w:val="17"/>
              </w:rPr>
              <w:t>Lokichar inputs</w:t>
            </w:r>
          </w:p>
        </w:tc>
        <w:tc>
          <w:tcPr>
            <w:tcW w:type="dxa" w:w="4989"/>
          </w:tcPr>
          <w:p>
            <w:pPr>
              <w:spacing w:after="20"/>
            </w:pPr>
            <w:r/>
            <w:r>
              <w:rPr>
                <w:b w:val="0"/>
                <w:i w:val="0"/>
                <w:sz w:val="17"/>
              </w:rPr>
              <w:t>See §12</w:t>
            </w:r>
          </w:p>
        </w:tc>
        <w:tc>
          <w:tcPr>
            <w:tcW w:type="dxa" w:w="2438"/>
          </w:tcPr>
          <w:p>
            <w:pPr>
              <w:spacing w:after="20"/>
            </w:pPr>
            <w:r/>
            <w:r>
              <w:rPr>
                <w:b w:val="0"/>
                <w:i w:val="0"/>
                <w:sz w:val="17"/>
              </w:rPr>
              <w:t>Author; headline facts from press</w:t>
            </w:r>
          </w:p>
        </w:tc>
      </w:tr>
      <w:tr>
        <w:trPr>
          <w:cantSplit/>
        </w:trPr>
        <w:tc>
          <w:tcPr>
            <w:tcW w:type="dxa" w:w="2041"/>
            <w:shd w:val="clear" w:color="auto" w:fill="EEF3F8"/>
          </w:tcPr>
          <w:p>
            <w:pPr>
              <w:spacing w:after="20"/>
            </w:pPr>
            <w:r/>
            <w:r>
              <w:rPr>
                <w:b w:val="0"/>
                <w:i w:val="0"/>
                <w:sz w:val="17"/>
              </w:rPr>
              <w:t>Cooking-fuel efficiencies</w:t>
            </w:r>
          </w:p>
        </w:tc>
        <w:tc>
          <w:tcPr>
            <w:tcW w:type="dxa" w:w="4989"/>
            <w:shd w:val="clear" w:color="auto" w:fill="EEF3F8"/>
          </w:tcPr>
          <w:p>
            <w:pPr>
              <w:spacing w:after="20"/>
            </w:pPr>
            <w:r/>
            <w:r>
              <w:rPr>
                <w:b w:val="0"/>
                <w:i w:val="0"/>
                <w:sz w:val="17"/>
              </w:rPr>
              <w:t>LPG 45–55%; charcoal 20–30%; 46 and 29 MJ/kg</w:t>
            </w:r>
          </w:p>
        </w:tc>
        <w:tc>
          <w:tcPr>
            <w:tcW w:type="dxa" w:w="2438"/>
            <w:shd w:val="clear" w:color="auto" w:fill="EEF3F8"/>
          </w:tcPr>
          <w:p>
            <w:pPr>
              <w:spacing w:after="20"/>
            </w:pPr>
            <w:r/>
            <w:r>
              <w:rPr>
                <w:b w:val="0"/>
                <w:i w:val="0"/>
                <w:sz w:val="17"/>
              </w:rPr>
              <w:t>Author illustration</w:t>
            </w:r>
          </w:p>
        </w:tc>
      </w:tr>
    </w:tbl>
    <w:p>
      <w:pPr>
        <w:spacing w:after="40"/>
      </w:pPr>
    </w:p>
    <w:p>
      <w:pPr>
        <w:pStyle w:val="Heading1"/>
      </w:pPr>
      <w:r>
        <w:t>Annex E. Sources</w:t>
      </w:r>
    </w:p>
    <w:p>
      <w:pPr>
        <w:pStyle w:val="ListBullet"/>
        <w:spacing w:after="40"/>
      </w:pPr>
      <w:r>
        <w:rPr>
          <w:b w:val="0"/>
          <w:i w:val="0"/>
        </w:rPr>
        <w:t>EPRA, Petroleum Development Plan for the Medium-Term Period 2025–2029 (June 2025): demand equations, scenario growth rates, 2024 actuals, storage capacity, LPG supply-demand balance.</w:t>
      </w:r>
    </w:p>
    <w:p>
      <w:pPr>
        <w:pStyle w:val="ListBullet"/>
        <w:spacing w:after="40"/>
      </w:pPr>
      <w:r>
        <w:rPr>
          <w:b w:val="0"/>
          <w:i w:val="0"/>
        </w:rPr>
        <w:t>KNBS, Economic Survey 2026, as reported by The Standard, The Star, Business Daily and The Kenya Times (2025 demand 5.7 Mt; diesel 2.4 Mt; LPG 475.9 kt; imports 5.5 Mt).</w:t>
      </w:r>
    </w:p>
    <w:p>
      <w:pPr>
        <w:pStyle w:val="ListBullet"/>
        <w:spacing w:after="40"/>
      </w:pPr>
      <w:r>
        <w:rPr>
          <w:b w:val="0"/>
          <w:i w:val="0"/>
        </w:rPr>
        <w:t>LeadAfrik Data (CC BY 4.0): monthly consumption of petroleum fuels; national average retail prices (source: KNBS LEIs).</w:t>
      </w:r>
    </w:p>
    <w:p>
      <w:pPr>
        <w:pStyle w:val="ListBullet"/>
        <w:spacing w:after="40"/>
      </w:pPr>
      <w:r>
        <w:rPr>
          <w:b w:val="0"/>
          <w:i w:val="0"/>
        </w:rPr>
        <w:t>EPRA monthly price reviews, May–September 2026, as reported by Citizen Digital, Kenyans.co.ke, K24, Business Daily, People Daily.</w:t>
      </w:r>
    </w:p>
    <w:p>
      <w:pPr>
        <w:pStyle w:val="ListBullet"/>
        <w:spacing w:after="40"/>
      </w:pPr>
      <w:r>
        <w:rPr>
          <w:b w:val="0"/>
          <w:i w:val="0"/>
        </w:rPr>
        <w:t>Stock cover and shortage reports: The Standard (2 and 8 April 2026), People Daily and The Star (8 April), Citizen Digital (21 May).</w:t>
      </w:r>
    </w:p>
    <w:p>
      <w:pPr>
        <w:pStyle w:val="ListBullet"/>
        <w:spacing w:after="40"/>
      </w:pPr>
      <w:r>
        <w:rPr>
          <w:b w:val="0"/>
          <w:i w:val="0"/>
        </w:rPr>
        <w:t>Oil market: Reuters poll (31 March 2026), Bloomberg (9 April), Khaleej Times (late August), ANZ via Engine (8 September).</w:t>
      </w:r>
    </w:p>
    <w:p>
      <w:pPr>
        <w:pStyle w:val="ListBullet"/>
        <w:spacing w:after="40"/>
      </w:pPr>
      <w:r>
        <w:rPr>
          <w:b w:val="0"/>
          <w:i w:val="0"/>
        </w:rPr>
        <w:t>South Lokichar: Bloomberg/World Oil (11 November 2025), OilPrice, Serrari Group, Business Today.</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