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A5276"/>
          <w:sz w:val="64"/>
          <w:szCs w:val="64"/>
        </w:rPr>
        <w:t xml:space="preserve">SERVICIOS Y SALUD S.A.S.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2980B9"/>
          <w:sz w:val="44"/>
          <w:szCs w:val="44"/>
        </w:rPr>
        <w:t xml:space="preserve">PROPUESTA COMERCIAL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26"/>
          <w:szCs w:val="26"/>
        </w:rPr>
        <w:t xml:space="preserve">Desarrollo de Plataforma Web Institucional y Gestión de Redes Sociales</w:t>
      </w:r>
    </w:p>
    <w:p>
      <w:pPr>
        <w:spacing w:after="200"/>
      </w:pPr>
    </w:p>
    <w:p>
      <w:pPr>
        <w:pBdr>
          <w:bottom w:val="single" w:color="2980B9" w:sz="6" w:space="1"/>
        </w:pBdr>
        <w:spacing w:after="200"/>
      </w:pPr>
    </w:p>
    <w:p>
      <w:pPr>
        <w:spacing w:after="40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Fecha: Mayo 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BF5FB" w:val="clear"/>
            <w:tcMar>
              <w:top w:type="dxa" w:w="180"/>
              <w:left w:type="dxa" w:w="360"/>
              <w:bottom w:type="dxa" w:w="180"/>
              <w:right w:type="dxa" w:w="3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Preparado para: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A5276"/>
                <w:sz w:val="28"/>
                <w:szCs w:val="28"/>
              </w:rPr>
              <w:t xml:space="preserve">Servicios y Salud S.A.S.</w:t>
            </w:r>
          </w:p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@serviciosysaludsas · Colombia</w:t>
            </w:r>
          </w:p>
        </w:tc>
      </w:tr>
    </w:tbl>
    <w:p>
      <w:pPr>
        <w:spacing w:after="2000"/>
      </w:pPr>
    </w:p>
    <w:p>
      <w:r>
        <w:br w:type="page"/>
      </w:r>
    </w:p>
    <w:p>
      <w:pPr>
        <w:pBdr>
          <w:bottom w:val="single" w:color="2980B9" w:sz="4" w:space="1"/>
        </w:pBdr>
        <w:spacing w:after="200" w:before="480"/>
      </w:pPr>
      <w:r>
        <w:rPr>
          <w:rFonts w:ascii="Arial" w:cs="Arial" w:eastAsia="Arial" w:hAnsi="Arial"/>
          <w:b/>
          <w:bCs/>
          <w:color w:val="1A5276"/>
          <w:sz w:val="32"/>
          <w:szCs w:val="32"/>
        </w:rPr>
        <w:t xml:space="preserve">1. Presentación</w:t>
      </w:r>
    </w:p>
    <w:p>
      <w:pPr>
        <w:spacing w:after="120"/>
        <w:jc w:val="both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Nos complace presentar esta propuesta comercial en respuesta a la solicitud de Servicios y Salud S.A.S. para el desarrollo de su plataforma web institucional y el fortalecimiento de su ecosistema digital corporativo.</w:t>
      </w:r>
    </w:p>
    <w:p>
      <w:pPr>
        <w:spacing w:after="120"/>
        <w:jc w:val="both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El equipo de desarrollo propone una solución integral, moderna y escalable que contempla todos los componentes solicitados, con tecnologías de última generación y un diseño profesional acorde con la identidad corporativa de la organización.</w:t>
      </w:r>
    </w:p>
    <w:p>
      <w:pPr>
        <w:spacing w:after="120"/>
        <w:jc w:val="both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Esta propuesta incluye el desarrollo completo del sitio web, la implementación de un sistema de visualización de datos estadísticos en salud mental y conducta suicida, y el servicio de gestión estratégica de redes sociales.</w:t>
      </w:r>
    </w:p>
    <w:p>
      <w:pPr>
        <w:pBdr>
          <w:bottom w:val="single" w:color="2980B9" w:sz="4" w:space="1"/>
        </w:pBdr>
        <w:spacing w:after="200" w:before="480"/>
      </w:pPr>
      <w:r>
        <w:rPr>
          <w:rFonts w:ascii="Arial" w:cs="Arial" w:eastAsia="Arial" w:hAnsi="Arial"/>
          <w:b/>
          <w:bCs/>
          <w:color w:val="1A5276"/>
          <w:sz w:val="32"/>
          <w:szCs w:val="32"/>
        </w:rPr>
        <w:t xml:space="preserve">2. Descripción del Proyecto</w:t>
      </w:r>
    </w:p>
    <w:p>
      <w:pPr>
        <w:spacing w:after="120"/>
        <w:jc w:val="both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El proyecto contempla el desarrollo de una plataforma web completa para Servicios y Salud S.A.S., organización dedicada a la salud mental, prevención de la conducta suicida, mitigación del consumo de sustancias psicoactivas y estrategias sociales y comunitarias a nivel nacional.</w:t>
      </w:r>
    </w:p>
    <w:p>
      <w:pPr>
        <w:spacing w:after="140" w:before="32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2.1 Objetivo General</w:t>
      </w:r>
    </w:p>
    <w:p>
      <w:pPr>
        <w:spacing w:after="120"/>
        <w:jc w:val="both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Diseñar, desarrollar e implementar una plataforma web institucional moderna, funcional y escalable que posicione digitalmente a Servicios y Salud S.A.S. y facilite la gestión y visualización de información estadística sobre conducta suicida a nivel departamental en Colombia.</w:t>
      </w:r>
    </w:p>
    <w:p>
      <w:pPr>
        <w:spacing w:after="140" w:before="32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2.2 Objetivos Específicos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Crear un sitio web corporativo con diseño profesional, adaptable a dispositivos móviles.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Desarrollar espacios informativos sobre los cuatro programas de intervención de la organización.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Implementar un sistema de almacenamiento y organización de datos sobre conducta suicida.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Desarrollar un tablero visual (dashboard) con estadísticas por departamento.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Garantizar la escalabilidad del sistema para integrar nuevas herramientas en el futuro.</w:t>
      </w:r>
    </w:p>
    <w:p>
      <w:pPr>
        <w:spacing w:after="100"/>
      </w:pPr>
    </w:p>
    <w:p>
      <w:r>
        <w:br w:type="page"/>
      </w:r>
    </w:p>
    <w:p>
      <w:pPr>
        <w:pBdr>
          <w:bottom w:val="single" w:color="2980B9" w:sz="4" w:space="1"/>
        </w:pBdr>
        <w:spacing w:after="200" w:before="480"/>
      </w:pPr>
      <w:r>
        <w:rPr>
          <w:rFonts w:ascii="Arial" w:cs="Arial" w:eastAsia="Arial" w:hAnsi="Arial"/>
          <w:b/>
          <w:bCs/>
          <w:color w:val="1A5276"/>
          <w:sz w:val="32"/>
          <w:szCs w:val="32"/>
        </w:rPr>
        <w:t xml:space="preserve">3. Componentes del Proyecto</w:t>
      </w:r>
    </w:p>
    <w:p>
      <w:pPr>
        <w:spacing w:after="140" w:before="32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3.1 Sitio Web Corporativo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Diseño moderno, institucional y completamente adaptable a dispositivos móviles (responsive design).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Página de inicio con presentación institucional y programas de intervención.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Sección "Quiénes Somos": historia, misión, visión y valores corporativos.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Sección de Programas: Salud Mental, Prevención Suicida, Mitigación SPA y Social/Comunitario.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Página de Contacto con formulario de solicitud de información.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Dominio web incluido en el precio de desarrollo.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Optimización básica para motores de búsqueda (SEO).</w:t>
      </w:r>
    </w:p>
    <w:p>
      <w:pPr>
        <w:spacing w:after="100"/>
      </w:pPr>
    </w:p>
    <w:p>
      <w:pPr>
        <w:spacing w:after="140" w:before="32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3.2 Dashboard de Indicadores (Acceso Restringido)</w:t>
      </w:r>
    </w:p>
    <w:p>
      <w:pPr>
        <w:spacing w:after="120"/>
        <w:jc w:val="both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Panel de control protegido con autenticación para el equipo interno de Servicios y Salud S.A.S.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Acceso protegido mediante usuario y contraseña.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Carga de datos mediante archivos Excel (.xlsx) con interfaz de arrastrar y soltar (drag &amp; drop).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Visualización de indicadores: mapa de casos por departamento, gráficas de barras, líneas de tendencia temporal, distribución por sexo y grupo etario.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Filtros interactivos por año, departamento, programa y tipo de evento.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Tarjetas de indicadores clave (KPIs): total de casos, departamento con mayor incidencia, variación anual.</w:t>
      </w:r>
    </w:p>
    <w:p>
      <w:pPr>
        <w:spacing w:after="100"/>
      </w:pPr>
    </w:p>
    <w:p>
      <w:pPr>
        <w:spacing w:after="140" w:before="32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3.3 Infraestructura y Base de Datos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Base de datos PostgreSQL gestionada con Supabase, desplegada inicialmente en Docker (servidor local o dedicado).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Arquitectura preparada para migración a la nube sin cambios de código.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Docker Compose para facilidad de instalación y mantenimiento.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Dominio web registrado a nombre del cliente.</w:t>
      </w:r>
    </w:p>
    <w:p>
      <w:pPr>
        <w:spacing w:after="100"/>
      </w:pPr>
    </w:p>
    <w:p>
      <w:pPr>
        <w:spacing w:after="140" w:before="32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3.4 Gestión de Redes Sociales — Instagram Corporativo</w:t>
      </w:r>
    </w:p>
    <w:p>
      <w:pPr>
        <w:spacing w:after="120"/>
        <w:jc w:val="both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Como componente complementario e independiente al desarrollo web, se ofrece el servicio de gestión estratégica del Instagram corporativo (@serviciosysaludsas):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Definición y aplicación de línea gráfica coherente con la identidad institucional.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Optimización del perfil: descripción, highlights y foto de perfil.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Producción de contenidos digitales mensuales (publicaciones, carruseles, reels o stories).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Acompañamiento en posicionamiento y crecimiento orgánico del perfil.</w:t>
      </w:r>
    </w:p>
    <w:p>
      <w:pPr>
        <w:spacing w:after="100"/>
      </w:pPr>
    </w:p>
    <w:p>
      <w:pPr>
        <w:spacing w:after="120"/>
        <w:jc w:val="both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Nota importante: El servicio de gestión de redes sociales se cotiza de manera separada al desarrollo web. El número de piezas, formato (imágenes, videos, reels) y alcance puede variar según las necesidades del cliente, por lo que el valor indicado en esta propuesta corresponde a un estimado base sujeto a ajuste previo acuerdo.</w:t>
      </w:r>
    </w:p>
    <w:p>
      <w:r>
        <w:br w:type="page"/>
      </w:r>
    </w:p>
    <w:p>
      <w:pPr>
        <w:pBdr>
          <w:bottom w:val="single" w:color="2980B9" w:sz="4" w:space="1"/>
        </w:pBdr>
        <w:spacing w:after="200" w:before="480"/>
      </w:pPr>
      <w:r>
        <w:rPr>
          <w:rFonts w:ascii="Arial" w:cs="Arial" w:eastAsia="Arial" w:hAnsi="Arial"/>
          <w:b/>
          <w:bCs/>
          <w:color w:val="1A5276"/>
          <w:sz w:val="32"/>
          <w:szCs w:val="32"/>
        </w:rPr>
        <w:t xml:space="preserve">4. Desglose de Costos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76"/>
        <w:gridCol w:w="3662"/>
      </w:tblGrid>
      <w:tr>
        <w:trPr>
          <w:tblHeader/>
        </w:trPr>
        <w:tc>
          <w:tcPr>
            <w:tcW w:type="dxa" w:w="597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A527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Componente</w:t>
            </w:r>
          </w:p>
        </w:tc>
        <w:tc>
          <w:tcPr>
            <w:tcW w:type="dxa" w:w="3662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A527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Valor</w:t>
            </w:r>
          </w:p>
        </w:tc>
      </w:tr>
      <w:tr>
        <w:tc>
          <w:tcPr>
            <w:tcW w:type="dxa" w:w="597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Desarrollo web completo + dominio (pago único)</w:t>
            </w:r>
          </w:p>
        </w:tc>
        <w:tc>
          <w:tcPr>
            <w:tcW w:type="dxa" w:w="3662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$2.500.000 COP</w:t>
            </w:r>
          </w:p>
        </w:tc>
      </w:tr>
      <w:tr>
        <w:tc>
          <w:tcPr>
            <w:tcW w:type="dxa" w:w="597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BF5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Gestión de redes sociales — estimado base mensual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(~12 publicaciones/mes — sujeto a ajuste según necesidad)</w:t>
            </w:r>
          </w:p>
        </w:tc>
        <w:tc>
          <w:tcPr>
            <w:tcW w:type="dxa" w:w="3662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BF5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$500.000 COP/mes</w:t>
            </w:r>
          </w:p>
        </w:tc>
      </w:tr>
      <w:tr>
        <w:tc>
          <w:tcPr>
            <w:tcW w:type="dxa" w:w="597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A527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TOTAL INVERSIÓN INICIAL</w:t>
            </w:r>
          </w:p>
        </w:tc>
        <w:tc>
          <w:tcPr>
            <w:tcW w:type="dxa" w:w="3662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A527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$3.000.000 COP</w:t>
            </w:r>
          </w:p>
        </w:tc>
      </w:tr>
    </w:tbl>
    <w:p>
      <w:pPr>
        <w:spacing w:after="200"/>
      </w:pPr>
    </w:p>
    <w:p>
      <w:pPr>
        <w:spacing w:after="120"/>
        <w:jc w:val="both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* El valor de gestión de redes corresponde a un estimado base para aproximadamente 12 publicaciones mensuales. El precio final se ajusta según el volumen de piezas, formato del contenido y alcance acordado. Esta cifra puede variar (más o menos publicaciones, solo videos, etc.).</w:t>
      </w:r>
    </w:p>
    <w:p>
      <w:pPr>
        <w:spacing w:after="100"/>
      </w:pPr>
    </w:p>
    <w:p>
      <w:pPr>
        <w:spacing w:after="140" w:before="32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4.1 Modalidad de Pago — Desarrollo Web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3"/>
        <w:gridCol w:w="3855"/>
      </w:tblGrid>
      <w:tr>
        <w:tc>
          <w:tcPr>
            <w:tcW w:type="dxa" w:w="5783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BF5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Primer pago — al inicio del proyecto</w:t>
            </w:r>
          </w:p>
        </w:tc>
        <w:tc>
          <w:tcPr>
            <w:tcW w:type="dxa" w:w="3855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BF5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$1.500.000 COP (50%)</w:t>
            </w:r>
          </w:p>
        </w:tc>
      </w:tr>
      <w:tr>
        <w:tc>
          <w:tcPr>
            <w:tcW w:type="dxa" w:w="5783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Segundo pago — al finalizar y entregar el proyecto</w:t>
            </w:r>
          </w:p>
        </w:tc>
        <w:tc>
          <w:tcPr>
            <w:tcW w:type="dxa" w:w="3855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$1.500.000 COP (50%)</w:t>
            </w:r>
          </w:p>
        </w:tc>
      </w:tr>
      <w:tr>
        <w:tc>
          <w:tcPr>
            <w:tcW w:type="dxa" w:w="5783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BF5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Servicio mensual de redes sociales (post-entrega)</w:t>
            </w:r>
          </w:p>
        </w:tc>
        <w:tc>
          <w:tcPr>
            <w:tcW w:type="dxa" w:w="3855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BF5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$500.000 COP/mes (est.)</w:t>
            </w:r>
          </w:p>
        </w:tc>
      </w:tr>
    </w:tbl>
    <w:p>
      <w:r>
        <w:br w:type="page"/>
      </w:r>
    </w:p>
    <w:p>
      <w:pPr>
        <w:pBdr>
          <w:bottom w:val="single" w:color="2980B9" w:sz="4" w:space="1"/>
        </w:pBdr>
        <w:spacing w:after="200" w:before="480"/>
      </w:pPr>
      <w:r>
        <w:rPr>
          <w:rFonts w:ascii="Arial" w:cs="Arial" w:eastAsia="Arial" w:hAnsi="Arial"/>
          <w:b/>
          <w:bCs/>
          <w:color w:val="1A5276"/>
          <w:sz w:val="32"/>
          <w:szCs w:val="32"/>
        </w:rPr>
        <w:t xml:space="preserve">5. Cronograma Estimado de Desarrollo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65"/>
        <w:gridCol w:w="3373"/>
      </w:tblGrid>
      <w:tr>
        <w:trPr>
          <w:tblHeader/>
        </w:trPr>
        <w:tc>
          <w:tcPr>
            <w:tcW w:type="dxa" w:w="6265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A527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Fase</w:t>
            </w:r>
          </w:p>
        </w:tc>
        <w:tc>
          <w:tcPr>
            <w:tcW w:type="dxa" w:w="3373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A527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Duración estimada</w:t>
            </w:r>
          </w:p>
        </w:tc>
      </w:tr>
      <w:tr>
        <w:tc>
          <w:tcPr>
            <w:tcW w:type="dxa" w:w="6265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Semana 1-2: Diseño de identidad visual y arquitectura del sitio</w:t>
            </w:r>
          </w:p>
        </w:tc>
        <w:tc>
          <w:tcPr>
            <w:tcW w:type="dxa" w:w="3373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2 semanas</w:t>
            </w:r>
          </w:p>
        </w:tc>
      </w:tr>
      <w:tr>
        <w:tc>
          <w:tcPr>
            <w:tcW w:type="dxa" w:w="6265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BF5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Semana 2-3: Desarrollo de páginas informativas (Home, Quiénes Somos, Programas, Contacto)</w:t>
            </w:r>
          </w:p>
        </w:tc>
        <w:tc>
          <w:tcPr>
            <w:tcW w:type="dxa" w:w="3373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BF5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2 semanas</w:t>
            </w:r>
          </w:p>
        </w:tc>
      </w:tr>
      <w:tr>
        <w:tc>
          <w:tcPr>
            <w:tcW w:type="dxa" w:w="6265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Semana 3-4: Desarrollo del dashboard y sistema de carga de Excel</w:t>
            </w:r>
          </w:p>
        </w:tc>
        <w:tc>
          <w:tcPr>
            <w:tcW w:type="dxa" w:w="3373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2 semanas</w:t>
            </w:r>
          </w:p>
        </w:tc>
      </w:tr>
      <w:tr>
        <w:tc>
          <w:tcPr>
            <w:tcW w:type="dxa" w:w="6265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BF5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Semana 4-5: Integración con base de datos, pruebas y ajustes</w:t>
            </w:r>
          </w:p>
        </w:tc>
        <w:tc>
          <w:tcPr>
            <w:tcW w:type="dxa" w:w="3373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BF5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1-2 semanas</w:t>
            </w:r>
          </w:p>
        </w:tc>
      </w:tr>
      <w:tr>
        <w:tc>
          <w:tcPr>
            <w:tcW w:type="dxa" w:w="6265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Semana 5-6: Despliegue, configuración del dominio y entrega final</w:t>
            </w:r>
          </w:p>
        </w:tc>
        <w:tc>
          <w:tcPr>
            <w:tcW w:type="dxa" w:w="3373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1 semana</w:t>
            </w:r>
          </w:p>
        </w:tc>
      </w:tr>
      <w:tr>
        <w:tc>
          <w:tcPr>
            <w:tcW w:type="dxa" w:w="6265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TOTAL</w:t>
            </w:r>
          </w:p>
        </w:tc>
        <w:tc>
          <w:tcPr>
            <w:tcW w:type="dxa" w:w="3373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4 a 6 semanas</w:t>
            </w:r>
          </w:p>
        </w:tc>
      </w:tr>
    </w:tbl>
    <w:p>
      <w:pPr>
        <w:pBdr>
          <w:bottom w:val="single" w:color="2980B9" w:sz="4" w:space="1"/>
        </w:pBdr>
        <w:spacing w:after="200" w:before="480"/>
      </w:pPr>
      <w:r>
        <w:rPr>
          <w:rFonts w:ascii="Arial" w:cs="Arial" w:eastAsia="Arial" w:hAnsi="Arial"/>
          <w:b/>
          <w:bCs/>
          <w:color w:val="1A5276"/>
          <w:sz w:val="32"/>
          <w:szCs w:val="32"/>
        </w:rPr>
        <w:t xml:space="preserve">6. Escalabilidad Futura</w:t>
      </w:r>
    </w:p>
    <w:p>
      <w:pPr>
        <w:spacing w:after="120"/>
        <w:jc w:val="both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La plataforma se construye sobre una arquitectura modular y desacoplada que permite incorporar nuevas funcionalidades sin necesidad de reescribir el sistema existente: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Migración de la base de datos de Docker local a Supabase Cloud con un solo cambio de configuración, sin modificaciones de código.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Módulo de gestión de noticias y blog institucional.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Módulo de diplomados y formación virtual.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Integración con sistemas de información en salud pública (SIVIGILA, RIPS, etc.).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Generación automática de reportes en PDF por departamento o período.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Aplicación móvil complementaria en el futuro.</w:t>
      </w:r>
    </w:p>
    <w:p>
      <w:pPr>
        <w:spacing w:after="100"/>
      </w:pPr>
    </w:p>
    <w:p>
      <w:pPr>
        <w:pBdr>
          <w:bottom w:val="single" w:color="2980B9" w:sz="4" w:space="1"/>
        </w:pBdr>
        <w:spacing w:after="200" w:before="480"/>
      </w:pPr>
      <w:r>
        <w:rPr>
          <w:rFonts w:ascii="Arial" w:cs="Arial" w:eastAsia="Arial" w:hAnsi="Arial"/>
          <w:b/>
          <w:bCs/>
          <w:color w:val="1A5276"/>
          <w:sz w:val="32"/>
          <w:szCs w:val="32"/>
        </w:rPr>
        <w:t xml:space="preserve">7. Stack Tecnológico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A527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Capa</w:t>
            </w:r>
          </w:p>
        </w:tc>
        <w:tc>
          <w:tcPr>
            <w:tcW w:type="dxa" w:w="6265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A527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Tecnología</w:t>
            </w:r>
          </w:p>
        </w:tc>
      </w:tr>
      <w:tr>
        <w:tc>
          <w:tcPr>
            <w:tcW w:type="dxa" w:w="3373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Frontend / Backend</w:t>
            </w:r>
          </w:p>
        </w:tc>
        <w:tc>
          <w:tcPr>
            <w:tcW w:type="dxa" w:w="6265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Next.js 15 (App Router) + TypeScript</w:t>
            </w:r>
          </w:p>
        </w:tc>
      </w:tr>
      <w:tr>
        <w:tc>
          <w:tcPr>
            <w:tcW w:type="dxa" w:w="3373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BF5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Diseño UI</w:t>
            </w:r>
          </w:p>
        </w:tc>
        <w:tc>
          <w:tcPr>
            <w:tcW w:type="dxa" w:w="6265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BF5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Tailwind CSS + shadcn/ui</w:t>
            </w:r>
          </w:p>
        </w:tc>
      </w:tr>
      <w:tr>
        <w:tc>
          <w:tcPr>
            <w:tcW w:type="dxa" w:w="3373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Base de datos</w:t>
            </w:r>
          </w:p>
        </w:tc>
        <w:tc>
          <w:tcPr>
            <w:tcW w:type="dxa" w:w="6265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PostgreSQL 16 vía Supabase</w:t>
            </w:r>
          </w:p>
        </w:tc>
      </w:tr>
      <w:tr>
        <w:tc>
          <w:tcPr>
            <w:tcW w:type="dxa" w:w="3373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BF5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Autenticación</w:t>
            </w:r>
          </w:p>
        </w:tc>
        <w:tc>
          <w:tcPr>
            <w:tcW w:type="dxa" w:w="6265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BF5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Supabase Auth</w:t>
            </w:r>
          </w:p>
        </w:tc>
      </w:tr>
      <w:tr>
        <w:tc>
          <w:tcPr>
            <w:tcW w:type="dxa" w:w="3373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Gráficas</w:t>
            </w:r>
          </w:p>
        </w:tc>
        <w:tc>
          <w:tcPr>
            <w:tcW w:type="dxa" w:w="6265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Recharts</w:t>
            </w:r>
          </w:p>
        </w:tc>
      </w:tr>
      <w:tr>
        <w:tc>
          <w:tcPr>
            <w:tcW w:type="dxa" w:w="3373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BF5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Procesamiento Excel</w:t>
            </w:r>
          </w:p>
        </w:tc>
        <w:tc>
          <w:tcPr>
            <w:tcW w:type="dxa" w:w="6265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BF5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xlsx (server-side)</w:t>
            </w:r>
          </w:p>
        </w:tc>
      </w:tr>
      <w:tr>
        <w:tc>
          <w:tcPr>
            <w:tcW w:type="dxa" w:w="3373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Despliegue inicial</w:t>
            </w:r>
          </w:p>
        </w:tc>
        <w:tc>
          <w:tcPr>
            <w:tcW w:type="dxa" w:w="6265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Docker Compose</w:t>
            </w:r>
          </w:p>
        </w:tc>
      </w:tr>
      <w:tr>
        <w:tc>
          <w:tcPr>
            <w:tcW w:type="dxa" w:w="3373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BF5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Migración a la nube</w:t>
            </w:r>
          </w:p>
        </w:tc>
        <w:tc>
          <w:tcPr>
            <w:tcW w:type="dxa" w:w="6265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BF5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C2833"/>
                <w:sz w:val="22"/>
                <w:szCs w:val="22"/>
              </w:rPr>
              <w:t xml:space="preserve">Supabase Cloud (listo para migrar)</w:t>
            </w:r>
          </w:p>
        </w:tc>
      </w:tr>
    </w:tbl>
    <w:p>
      <w:r>
        <w:br w:type="page"/>
      </w:r>
    </w:p>
    <w:p>
      <w:pPr>
        <w:pBdr>
          <w:bottom w:val="single" w:color="2980B9" w:sz="4" w:space="1"/>
        </w:pBdr>
        <w:spacing w:after="200" w:before="480"/>
      </w:pPr>
      <w:r>
        <w:rPr>
          <w:rFonts w:ascii="Arial" w:cs="Arial" w:eastAsia="Arial" w:hAnsi="Arial"/>
          <w:b/>
          <w:bCs/>
          <w:color w:val="1A5276"/>
          <w:sz w:val="32"/>
          <w:szCs w:val="32"/>
        </w:rPr>
        <w:t xml:space="preserve">8. Condiciones Generales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Los cambios o adiciones de funcionalidades fuera del alcance acordado serán cotizados por separado antes de ser ejecutados.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El cliente proveerá los textos institucionales, fotografías y cualquier otro contenido necesario para el desarrollo del sitio.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Esta propuesta tiene una validez de 30 días calendario a partir de su fecha de emisión.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El dominio web queda registrado a nombre del cliente una vez concluido el pago total del desarrollo.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El servicio de gestión de redes sociales puede iniciarse antes, durante o después del desarrollo web, de manera independiente.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Los precios están expresados en pesos colombianos (COP) y no incluyen IVA.</w:t>
      </w:r>
    </w:p>
    <w:p>
      <w:pPr>
        <w:spacing w:after="100"/>
      </w:pPr>
    </w:p>
    <w:p>
      <w:pPr>
        <w:pBdr>
          <w:bottom w:val="single" w:color="2980B9" w:sz="4" w:space="1"/>
        </w:pBdr>
        <w:spacing w:after="200" w:before="480"/>
      </w:pPr>
      <w:r>
        <w:rPr>
          <w:rFonts w:ascii="Arial" w:cs="Arial" w:eastAsia="Arial" w:hAnsi="Arial"/>
          <w:b/>
          <w:bCs/>
          <w:color w:val="1A5276"/>
          <w:sz w:val="32"/>
          <w:szCs w:val="32"/>
        </w:rPr>
        <w:t xml:space="preserve">9. Próximos Pasos</w:t>
      </w:r>
    </w:p>
    <w:p>
      <w:pPr>
        <w:spacing w:after="120"/>
        <w:jc w:val="both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Para dar inicio al proyecto, se requiere: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Confirmación y aprobación de esta propuesta por parte del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Pago del 50% inicial para arrancar el desarrollo ($1.500.000 COP).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Reunión de kickoff para definir accesos, contenidos y afinación de detalles específicos.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Envío de logo en alta resolución, textos institucionales y cualquier recurso gráfico disponible.</w:t>
      </w:r>
    </w:p>
    <w:p>
      <w:pPr>
        <w:spacing w:after="500"/>
      </w:pPr>
    </w:p>
    <w:p>
      <w:pPr>
        <w:pBdr>
          <w:bottom w:val="single" w:color="2980B9" w:sz="4" w:space="1"/>
        </w:pBdr>
        <w:spacing w:after="300"/>
      </w:pPr>
    </w:p>
    <w:p>
      <w:pPr>
        <w:spacing w:after="30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Quedamos atentos a sus comentarios y a resolver cualquier inquietud que pueda surgir.</w:t>
      </w:r>
    </w:p>
    <w:p>
      <w:pPr>
        <w:spacing w:after="120"/>
        <w:jc w:val="center"/>
      </w:pPr>
      <w:r>
        <w:rPr>
          <w:rFonts w:ascii="Arial" w:cs="Arial" w:eastAsia="Arial" w:hAnsi="Arial"/>
          <w:color w:val="1C2833"/>
          <w:sz w:val="22"/>
          <w:szCs w:val="22"/>
        </w:rPr>
        <w:t xml:space="preserve">Cordialmente,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Equipo de Desarrollo Digital</w:t>
      </w:r>
    </w:p>
    <w:p>
      <w:pPr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Mayo 2026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7DE" w:sz="2" w:space="1"/>
      </w:pBdr>
      <w:tabs>
        <w:tab w:val="right" w:pos="9638"/>
      </w:tabs>
      <w:spacing w:before="80"/>
    </w:pPr>
    <w:r>
      <w:rPr>
        <w:rFonts w:ascii="Arial" w:cs="Arial" w:eastAsia="Arial" w:hAnsi="Arial"/>
        <w:color w:val="888888"/>
        <w:sz w:val="16"/>
        <w:szCs w:val="16"/>
      </w:rPr>
      <w:t xml:space="preserve">Servicios y Salud S.A.S. · Colombia  </w:t>
    </w:r>
    <w:r>
      <w:rPr>
        <w:rFonts w:ascii="Arial" w:cs="Arial" w:eastAsia="Arial" w:hAnsi="Arial"/>
        <w:color w:val="888888"/>
        <w:sz w:val="16"/>
        <w:szCs w:val="16"/>
      </w:rPr>
      <w:t xml:space="preserve">	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A5276" w:val="clear"/>
      <w:tabs>
        <w:tab w:val="right" w:pos="9638"/>
      </w:tabs>
      <w:spacing w:after="80" w:before="80"/>
      <w:ind w:left="160" w:right="160"/>
    </w:pPr>
    <w:r>
      <w:rPr>
        <w:rFonts w:ascii="Arial" w:cs="Arial" w:eastAsia="Arial" w:hAnsi="Arial"/>
        <w:b/>
        <w:bCs/>
        <w:color w:val="FFFFFF"/>
        <w:sz w:val="18"/>
        <w:szCs w:val="18"/>
      </w:rPr>
      <w:t xml:space="preserve">SERVICIOS Y SALUD S.A.S.</w:t>
    </w:r>
    <w:r>
      <w:rPr>
        <w:rFonts w:ascii="Arial" w:cs="Arial" w:eastAsia="Arial" w:hAnsi="Arial"/>
        <w:color w:val="B0C8E0"/>
        <w:sz w:val="18"/>
        <w:szCs w:val="18"/>
      </w:rPr>
      <w:t xml:space="preserve">		PROPUESTA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8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2026-05-27T20:31:49.201Z</dcterms:created>
  <dcterms:modified xsi:type="dcterms:W3CDTF">2026-05-27T20:31:49.201Z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