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Chemical Storage Guidelines</w:t>
      </w:r>
    </w:p>
    <w:p>
      <w:pPr>
        <w:pStyle w:val="Heading2"/>
      </w:pPr>
      <w:r>
        <w:t>Overview</w:t>
      </w:r>
    </w:p>
    <w:p>
      <w:r>
        <w:t>All chemicals stored on site must be listed in the chemical inventory system with a current safety data sheet on file.</w:t>
      </w:r>
    </w:p>
    <w:p>
      <w:pPr>
        <w:pStyle w:val="Heading2"/>
      </w:pPr>
      <w:r>
        <w:t>Storage Requirements</w:t>
      </w:r>
    </w:p>
    <w:p>
      <w:r>
        <w:t>Flammable liquids must be kept in an approved flammables cabinet away from ignition sources. Oxidizers must be stored separately from flammable and combustible materials.</w:t>
      </w:r>
    </w:p>
    <w:p>
      <w:pPr>
        <w:pStyle w:val="Heading2"/>
      </w:pPr>
      <w:r>
        <w:t>Labeling</w:t>
      </w:r>
    </w:p>
    <w:p>
      <w:r>
        <w:t>Every container must be labeled with the chemical name, hazard pictograms, and the date it was opened. Unlabeled containers are treated as unknown hazardous waste.</w:t>
      </w:r>
    </w:p>
    <w:p>
      <w:pPr>
        <w:pStyle w:val="Heading2"/>
      </w:pPr>
      <w:r>
        <w:t>Spill Kits</w:t>
      </w:r>
    </w:p>
    <w:p>
      <w:r>
        <w:t>Spill kits appropriate to the stored chemicals must be located within 10 meters of the storage area and checked monthly for completeness.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