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DA291C"/>
          <w:sz w:val="52"/>
          <w:szCs w:val="52"/>
        </w:rPr>
        <w:t xml:space="preserve">STRATEGIC &amp; FINANCIAL PERFORMANCE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6"/>
          <w:sz w:val="52"/>
          <w:szCs w:val="52"/>
        </w:rPr>
        <w:t xml:space="preserve">ANALYSIS REPORT</w:t>
      </w:r>
    </w:p>
    <w:p>
      <w:pPr>
        <w:spacing w:before="120" w:after="400"/>
        <w:jc w:val="center"/>
      </w:pPr>
      <w:r>
        <w:rPr>
          <w:rFonts w:ascii="Arial" w:cs="Arial" w:eastAsia="Arial" w:hAnsi="Arial"/>
          <w:color w:val="4a4a6a"/>
          <w:sz w:val="28"/>
          <w:szCs w:val="28"/>
        </w:rPr>
        <w:t xml:space="preserve">McDonald's vs Burger King  |  Fiscal Years 2021–2023</w:t>
      </w:r>
    </w:p>
    <w:p>
      <w:pPr>
        <w:pBdr>
          <w:bottom w:val="single" w:color="ccccdd" w:sz="6"/>
        </w:pBdr>
        <w:spacing w:before="200" w:after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AWS QuickSight Dashboard · Executive Summary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Part 2 Deliverable  |  Global Quick Service Restaurant Sector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DA291C"/>
          <w:sz w:val="36"/>
          <w:szCs w:val="36"/>
        </w:rPr>
        <w:t xml:space="preserve">1. Executive Overview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report presents the findings from an interactive AWS QuickSight dashboard </w:t>
      </w:r>
      <w:r>
        <w:rPr>
          <w:rFonts w:ascii="Arial" w:cs="Arial" w:eastAsia="Arial" w:hAnsi="Arial"/>
          <w:sz w:val="22"/>
          <w:szCs w:val="22"/>
        </w:rPr>
        <w:t xml:space="preserve">analyzing the strategic and financial performance of McDonald's Corporation and Burger King (Restaurant Brands International) across fiscal years 2021, 2022, and 2023. </w:t>
      </w:r>
      <w:r>
        <w:rPr>
          <w:rFonts w:ascii="Arial" w:cs="Arial" w:eastAsia="Arial" w:hAnsi="Arial"/>
          <w:sz w:val="22"/>
          <w:szCs w:val="22"/>
        </w:rPr>
        <w:t xml:space="preserve">The dashboard encompasses 15 data-driven business insights across revenue scale, operational performance, profitability, store network structure, and investor metrics.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McDonald's is the world's largest quick-service restaurant chain by revenue, with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$25.5 billion </w:t>
      </w:r>
      <w:r>
        <w:rPr>
          <w:rFonts w:ascii="Arial" w:cs="Arial" w:eastAsia="Arial" w:hAnsi="Arial"/>
          <w:sz w:val="22"/>
          <w:szCs w:val="22"/>
        </w:rPr>
        <w:t xml:space="preserve">in 2023 revenues and </w:t>
      </w:r>
      <w:r>
        <w:rPr>
          <w:rFonts w:ascii="Arial" w:cs="Arial" w:eastAsia="Arial" w:hAnsi="Arial"/>
          <w:b/>
          <w:bCs/>
          <w:color w:val="DA291C"/>
          <w:sz w:val="22"/>
          <w:szCs w:val="22"/>
        </w:rPr>
        <w:t xml:space="preserve">41,822 global locations. </w:t>
      </w:r>
      <w:r>
        <w:rPr>
          <w:rFonts w:ascii="Arial" w:cs="Arial" w:eastAsia="Arial" w:hAnsi="Arial"/>
          <w:sz w:val="22"/>
          <w:szCs w:val="22"/>
        </w:rPr>
        <w:t xml:space="preserve">Burger King, owned by Restaurant Brands International (RBI), operates </w:t>
      </w:r>
      <w:r>
        <w:rPr>
          <w:rFonts w:ascii="Arial" w:cs="Arial" w:eastAsia="Arial" w:hAnsi="Arial"/>
          <w:b/>
          <w:bCs/>
          <w:color w:val="F5821F"/>
          <w:sz w:val="22"/>
          <w:szCs w:val="22"/>
        </w:rPr>
        <w:t xml:space="preserve">19,384 stores globally </w:t>
      </w:r>
      <w:r>
        <w:rPr>
          <w:rFonts w:ascii="Arial" w:cs="Arial" w:eastAsia="Arial" w:hAnsi="Arial"/>
          <w:sz w:val="22"/>
          <w:szCs w:val="22"/>
        </w:rPr>
        <w:t xml:space="preserve">and reported </w:t>
      </w:r>
      <w:r>
        <w:rPr>
          <w:rFonts w:ascii="Arial" w:cs="Arial" w:eastAsia="Arial" w:hAnsi="Arial"/>
          <w:b/>
          <w:bCs/>
          <w:color w:val="F5821F"/>
          <w:sz w:val="22"/>
          <w:szCs w:val="22"/>
        </w:rPr>
        <w:t xml:space="preserve">$1.84 billion </w:t>
      </w:r>
      <w:r>
        <w:rPr>
          <w:rFonts w:ascii="Arial" w:cs="Arial" w:eastAsia="Arial" w:hAnsi="Arial"/>
          <w:sz w:val="22"/>
          <w:szCs w:val="22"/>
        </w:rPr>
        <w:t xml:space="preserve">in corporate revenue — though its system-wide sales of </w:t>
      </w:r>
      <w:r>
        <w:rPr>
          <w:rFonts w:ascii="Arial" w:cs="Arial" w:eastAsia="Arial" w:hAnsi="Arial"/>
          <w:b/>
          <w:bCs/>
          <w:color w:val="F5821F"/>
          <w:sz w:val="22"/>
          <w:szCs w:val="22"/>
        </w:rPr>
        <w:t xml:space="preserve">$27 billion </w:t>
      </w:r>
      <w:r>
        <w:rPr>
          <w:rFonts w:ascii="Arial" w:cs="Arial" w:eastAsia="Arial" w:hAnsi="Arial"/>
          <w:sz w:val="22"/>
          <w:szCs w:val="22"/>
        </w:rPr>
        <w:t xml:space="preserve">better reflect the brand's true economic scale.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headline metrics (2023):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pct" w:w="25%"/>
            <w:tcBorders>
              <w:top w:val="single" w:color="DA291C" w:sz="18"/>
              <w:left w:val="none"/>
              <w:bottom w:val="none"/>
              <w:right w:val="none"/>
            </w:tcBorders>
            <w:shd w:color="fff0ef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36"/>
                <w:szCs w:val="36"/>
              </w:rPr>
              <w:t xml:space="preserve">$25.5B</w:t>
            </w:r>
          </w:p>
          <w:p>
            <w:r>
              <w:rPr>
                <w:rFonts w:ascii="Arial" w:cs="Arial" w:eastAsia="Arial" w:hAnsi="Arial"/>
                <w:color w:val="666688"/>
                <w:sz w:val="16"/>
                <w:szCs w:val="16"/>
              </w:rPr>
              <w:t xml:space="preserve">MCD Total Revenue</w:t>
            </w:r>
          </w:p>
          <w:p>
            <w:r>
              <w:rPr>
                <w:rFonts w:ascii="Arial" w:cs="Arial" w:eastAsia="Arial" w:hAnsi="Arial"/>
                <w:b/>
                <w:bCs/>
                <w:color w:val="22a845"/>
                <w:sz w:val="16"/>
                <w:szCs w:val="16"/>
              </w:rPr>
              <w:t xml:space="preserve">▲ 9.9% YoY</w:t>
            </w:r>
          </w:p>
        </w:tc>
        <w:tc>
          <w:tcPr>
            <w:tcW w:type="pct" w:w="25%"/>
            <w:tcBorders>
              <w:top w:val="single" w:color="F5821F" w:sz="18"/>
              <w:left w:val="none"/>
              <w:bottom w:val="none"/>
              <w:right w:val="none"/>
            </w:tcBorders>
            <w:shd w:color="fff5ee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821F"/>
                <w:sz w:val="36"/>
                <w:szCs w:val="36"/>
              </w:rPr>
              <w:t xml:space="preserve">$27.0B</w:t>
            </w:r>
          </w:p>
          <w:p>
            <w:r>
              <w:rPr>
                <w:rFonts w:ascii="Arial" w:cs="Arial" w:eastAsia="Arial" w:hAnsi="Arial"/>
                <w:color w:val="666688"/>
                <w:sz w:val="16"/>
                <w:szCs w:val="16"/>
              </w:rPr>
              <w:t xml:space="preserve">BK System-Wide Sales</w:t>
            </w:r>
          </w:p>
          <w:p>
            <w:r>
              <w:rPr>
                <w:rFonts w:ascii="Arial" w:cs="Arial" w:eastAsia="Arial" w:hAnsi="Arial"/>
                <w:b/>
                <w:bCs/>
                <w:color w:val="22a845"/>
                <w:sz w:val="16"/>
                <w:szCs w:val="16"/>
              </w:rPr>
              <w:t xml:space="preserve">▲ 6.9% YoY</w:t>
            </w:r>
          </w:p>
        </w:tc>
        <w:tc>
          <w:tcPr>
            <w:tcW w:type="pct" w:w="25%"/>
            <w:tcBorders>
              <w:top w:val="single" w:color="DA291C" w:sz="18"/>
              <w:left w:val="none"/>
              <w:bottom w:val="none"/>
              <w:right w:val="none"/>
            </w:tcBorders>
            <w:shd w:color="fff0ef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36"/>
                <w:szCs w:val="36"/>
              </w:rPr>
              <w:t xml:space="preserve">$8.47B</w:t>
            </w:r>
          </w:p>
          <w:p>
            <w:r>
              <w:rPr>
                <w:rFonts w:ascii="Arial" w:cs="Arial" w:eastAsia="Arial" w:hAnsi="Arial"/>
                <w:color w:val="666688"/>
                <w:sz w:val="16"/>
                <w:szCs w:val="16"/>
              </w:rPr>
              <w:t xml:space="preserve">MCD Net Income</w:t>
            </w:r>
          </w:p>
          <w:p>
            <w:r>
              <w:rPr>
                <w:rFonts w:ascii="Arial" w:cs="Arial" w:eastAsia="Arial" w:hAnsi="Arial"/>
                <w:b/>
                <w:bCs/>
                <w:color w:val="22a845"/>
                <w:sz w:val="16"/>
                <w:szCs w:val="16"/>
              </w:rPr>
              <w:t xml:space="preserve">▲ 37.1% YoY</w:t>
            </w:r>
          </w:p>
        </w:tc>
        <w:tc>
          <w:tcPr>
            <w:tcW w:type="pct" w:w="25%"/>
            <w:tcBorders>
              <w:top w:val="single" w:color="F5821F" w:sz="18"/>
              <w:left w:val="none"/>
              <w:bottom w:val="none"/>
              <w:right w:val="none"/>
            </w:tcBorders>
            <w:shd w:color="fff5ee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821F"/>
                <w:sz w:val="36"/>
                <w:szCs w:val="36"/>
              </w:rPr>
              <w:t xml:space="preserve">53.5%</w:t>
            </w:r>
          </w:p>
          <w:p>
            <w:r>
              <w:rPr>
                <w:rFonts w:ascii="Arial" w:cs="Arial" w:eastAsia="Arial" w:hAnsi="Arial"/>
                <w:color w:val="666688"/>
                <w:sz w:val="16"/>
                <w:szCs w:val="16"/>
              </w:rPr>
              <w:t xml:space="preserve">BK Operating Margin</w:t>
            </w:r>
          </w:p>
          <w:p>
            <w:r>
              <w:rPr>
                <w:rFonts w:ascii="Arial" w:cs="Arial" w:eastAsia="Arial" w:hAnsi="Arial"/>
                <w:b/>
                <w:bCs/>
                <w:color w:val="22a845"/>
                <w:sz w:val="16"/>
                <w:szCs w:val="16"/>
              </w:rPr>
              <w:t xml:space="preserve">▲ from 54.6% dip</w:t>
            </w:r>
          </w:p>
        </w:tc>
      </w:tr>
    </w:tbl>
    <w:p>
      <w:pPr>
        <w:spacing w:before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DA291C"/>
          <w:sz w:val="36"/>
          <w:szCs w:val="36"/>
        </w:rPr>
        <w:t xml:space="preserve">2. Key Financial Trends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DA291C"/>
          <w:sz w:val="26"/>
          <w:szCs w:val="26"/>
        </w:rPr>
        <w:t xml:space="preserve">2.1 Revenue and Growth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McDonald's </w:t>
      </w:r>
      <w:r>
        <w:rPr>
          <w:rFonts w:ascii="Arial" w:cs="Arial" w:eastAsia="Arial" w:hAnsi="Arial"/>
          <w:sz w:val="22"/>
          <w:szCs w:val="22"/>
        </w:rPr>
        <w:t xml:space="preserve">experienced a flat 2022 (−0.2% YoY) but rebounded strongly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+9.9% growth in 2023, </w:t>
      </w:r>
      <w:r>
        <w:rPr>
          <w:rFonts w:ascii="Arial" w:cs="Arial" w:eastAsia="Arial" w:hAnsi="Arial"/>
          <w:sz w:val="22"/>
          <w:szCs w:val="22"/>
        </w:rPr>
        <w:t xml:space="preserve">driven by pricing power, franchisee network strength, and recovery in international markets. The 3-year CAGR stands at 4.8%.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Burger King </w:t>
      </w:r>
      <w:r>
        <w:rPr>
          <w:rFonts w:ascii="Arial" w:cs="Arial" w:eastAsia="Arial" w:hAnsi="Arial"/>
          <w:sz w:val="22"/>
          <w:szCs w:val="22"/>
        </w:rPr>
        <w:t xml:space="preserve">has shown more consistent growth — +8.7% in 2022 and +8.8% in 2023 — with a stronger 3-year CAGR of ~8.8%, though on a much smaller base.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F5821F"/>
          <w:sz w:val="26"/>
          <w:szCs w:val="26"/>
        </w:rPr>
        <w:t xml:space="preserve">2.2 System-Wide Sales vs Reported Revenue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critical distinction for Burger King: 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reported corporate revenue ($1.84B) severely understates the brand's economic impact. </w:t>
      </w:r>
      <w:r>
        <w:rPr>
          <w:rFonts w:ascii="Arial" w:cs="Arial" w:eastAsia="Arial" w:hAnsi="Arial"/>
          <w:sz w:val="22"/>
          <w:szCs w:val="22"/>
        </w:rPr>
        <w:t xml:space="preserve">System-wide sales — which include franchisee revenues not reported in BK's books — reached </w:t>
      </w:r>
      <w:r>
        <w:rPr>
          <w:rFonts w:ascii="Arial" w:cs="Arial" w:eastAsia="Arial" w:hAnsi="Arial"/>
          <w:b/>
          <w:bCs/>
          <w:color w:val="F5821F"/>
          <w:sz w:val="22"/>
          <w:szCs w:val="22"/>
        </w:rPr>
        <w:t xml:space="preserve">$27.0 billion in 2023. </w:t>
      </w:r>
      <w:r>
        <w:rPr>
          <w:rFonts w:ascii="Arial" w:cs="Arial" w:eastAsia="Arial" w:hAnsi="Arial"/>
          <w:sz w:val="22"/>
          <w:szCs w:val="22"/>
        </w:rPr>
        <w:t xml:space="preserve">This means BK's QSR economic footprint is comparable to McDonald's in absolute consumer spending, even though reported revenues are 14× smaller.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DA291C"/>
          <w:sz w:val="26"/>
          <w:szCs w:val="26"/>
        </w:rPr>
        <w:t xml:space="preserve">2.3 Profitability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McDonald's net income surged to $8.47B in 2023 </w:t>
      </w:r>
      <w:r>
        <w:rPr>
          <w:rFonts w:ascii="Arial" w:cs="Arial" w:eastAsia="Arial" w:hAnsi="Arial"/>
          <w:sz w:val="22"/>
          <w:szCs w:val="22"/>
        </w:rPr>
        <w:t xml:space="preserve">(33.2% net margin), its highest in the study period and a significant recovery from $6.18B in 2022. Operating income reached $11.6B with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45.7% operating margin. </w:t>
      </w:r>
      <w:r>
        <w:rPr>
          <w:rFonts w:ascii="Arial" w:cs="Arial" w:eastAsia="Arial" w:hAnsi="Arial"/>
          <w:sz w:val="22"/>
          <w:szCs w:val="22"/>
        </w:rPr>
        <w:t xml:space="preserve">EPS diluted grew to $11.56, and dividends per share increased to $6.23, demonstrating consistent commitment to shareholder returns.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Burger King maintained a superior operating margin percentage of 53.5%, </w:t>
      </w:r>
      <w:r>
        <w:rPr>
          <w:rFonts w:ascii="Arial" w:cs="Arial" w:eastAsia="Arial" w:hAnsi="Arial"/>
          <w:sz w:val="22"/>
          <w:szCs w:val="22"/>
        </w:rPr>
        <w:t xml:space="preserve">reflecting its asset-light, franchise-heavy model which avoids direct restaurant operational costs.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6"/>
          <w:sz w:val="26"/>
          <w:szCs w:val="26"/>
        </w:rPr>
        <w:t xml:space="preserve">2.4 Store Network Dynamics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McDonald's </w:t>
      </w:r>
      <w:r>
        <w:rPr>
          <w:rFonts w:ascii="Arial" w:cs="Arial" w:eastAsia="Arial" w:hAnsi="Arial"/>
          <w:sz w:val="22"/>
          <w:szCs w:val="22"/>
        </w:rPr>
        <w:t xml:space="preserve">grew its global store count from 40,031 to 41,822 (+4.5%) while keeping its US footprint nearly flat (13,438 → 13,457).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Burger King </w:t>
      </w:r>
      <w:r>
        <w:rPr>
          <w:rFonts w:ascii="Arial" w:cs="Arial" w:eastAsia="Arial" w:hAnsi="Arial"/>
          <w:sz w:val="22"/>
          <w:szCs w:val="22"/>
        </w:rPr>
        <w:t xml:space="preserve">expanded globally from 18,625 to 19,384 (+4.1%) but experienced a significant </w:t>
      </w:r>
      <w:r>
        <w:rPr>
          <w:rFonts w:ascii="Arial" w:cs="Arial" w:eastAsia="Arial" w:hAnsi="Arial"/>
          <w:b/>
          <w:bCs/>
          <w:color w:val="F5821F"/>
          <w:sz w:val="22"/>
          <w:szCs w:val="22"/>
        </w:rPr>
        <w:t xml:space="preserve">US contraction from 7,105 to 6,643 stores (−462 stores, −6.5%). </w:t>
      </w:r>
      <w:r>
        <w:rPr>
          <w:rFonts w:ascii="Arial" w:cs="Arial" w:eastAsia="Arial" w:hAnsi="Arial"/>
          <w:sz w:val="22"/>
          <w:szCs w:val="22"/>
        </w:rPr>
        <w:t xml:space="preserve">This reflects a deliberate strategic pruning of underperforming US locations under BK's multi-year turnaround initiative.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DA291C"/>
          <w:sz w:val="36"/>
          <w:szCs w:val="36"/>
        </w:rPr>
        <w:t xml:space="preserve">3. 15 Dashboard Insights — Complete Reference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insight corresponds to a visual in the interactive QuickSight dashboard.</w:t>
      </w:r>
    </w:p>
    <w:p>
      <w:pPr>
        <w:spacing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340"/>
        <w:gridCol w:w="4680"/>
        <w:gridCol w:w="1872"/>
      </w:tblGrid>
      <w:tr>
        <w:trPr>
          <w:tblHeader/>
        </w:trPr>
        <w:tc>
          <w:tcPr>
            <w:tcW w:type="pct" w:w="5%"/>
            <w:shd w:color="2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shd w:color="2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Insight</w:t>
            </w:r>
          </w:p>
        </w:tc>
        <w:tc>
          <w:tcPr>
            <w:tcW w:type="pct" w:w="50%"/>
            <w:shd w:color="2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  <w:tc>
          <w:tcPr>
            <w:tcW w:type="pct" w:w="20%"/>
            <w:shd w:color="2a1a1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Advantage</w:t>
            </w:r>
          </w:p>
        </w:tc>
      </w:tr>
      <w:tr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Q1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 Scale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MCD's $25.5B revenue is 14× BK's $1.84B; demonstrates the massive gap in reported financial scale.</w:t>
            </w:r>
          </w:p>
        </w:tc>
        <w:tc>
          <w:tcPr>
            <w:shd w:color="fff0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MCD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YoY Revenue Growth Rate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 grew 9.9% in 2023 after a flat 2022; BK grew consistently at ~8.8% for two consecutive years.</w:t>
            </w:r>
          </w:p>
        </w:tc>
        <w:tc>
          <w:tcPr>
            <w:shd w:color="fff0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MCD 2023</w:t>
            </w:r>
          </w:p>
        </w:tc>
      </w:tr>
      <w:tr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Q3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Operating Income &amp; Margin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 earns more in absolute $ ($11.6B); BK has higher margin % (53.5%). Scale vs. efficiency tradeoff.</w:t>
            </w:r>
          </w:p>
        </w:tc>
        <w:tc>
          <w:tcPr>
            <w:shd w:color="fff5e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821F"/>
                <w:sz w:val="18"/>
                <w:szCs w:val="18"/>
              </w:rPr>
              <w:t xml:space="preserve">BK Margin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Q4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Global Store Count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 operates 41,822 stores vs BK's 19,384 — more than 2× the global footprint.</w:t>
            </w:r>
          </w:p>
        </w:tc>
        <w:tc>
          <w:tcPr>
            <w:shd w:color="fff0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MCD 2×</w:t>
            </w:r>
          </w:p>
        </w:tc>
      </w:tr>
      <w:tr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Q5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 per Store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 generates $610K/store vs BK's $95K/store — 6× more productive per location.</w:t>
            </w:r>
          </w:p>
        </w:tc>
        <w:tc>
          <w:tcPr>
            <w:shd w:color="fff0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MCD 6×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Q6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Franchise Revenue Share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companies are franchise-dominant: MCD 60.5%, BK 66.2%. Similar business model structure.</w:t>
            </w:r>
          </w:p>
        </w:tc>
        <w:tc>
          <w:tcPr>
            <w:shd w:color="ffff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Similar</w:t>
            </w:r>
          </w:p>
        </w:tc>
      </w:tr>
      <w:tr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Q7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 Store Count Trend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MCD's US stores held steady (13,438–13,457). BK contracted from 7,105 to 6,643 (−462 stores).</w:t>
            </w:r>
          </w:p>
        </w:tc>
        <w:tc>
          <w:tcPr>
            <w:shd w:color="fff0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MCD Stable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Q8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BK System-Wide Sales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BK's system-wide sales ($27B) far exceed reported revenue, reflecting true franchisee economic scale.</w:t>
            </w:r>
          </w:p>
        </w:tc>
        <w:tc>
          <w:tcPr>
            <w:shd w:color="fff5e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821F"/>
                <w:sz w:val="18"/>
                <w:szCs w:val="18"/>
              </w:rPr>
              <w:t xml:space="preserve">BK Context</w:t>
            </w:r>
          </w:p>
        </w:tc>
      </w:tr>
      <w:tr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Q9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MCD Net Income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 net income hit $8.47B in 2023 (33.2% net margin), a 37.1% YoY increase — 3-year high.</w:t>
            </w:r>
          </w:p>
        </w:tc>
        <w:tc>
          <w:tcPr>
            <w:shd w:color="fff0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MCD Best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Q10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MCD Cost Breakdown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Food/paper (~37%) and payroll (~35%) are the two largest cost categories; both showing slight improvement.</w:t>
            </w:r>
          </w:p>
        </w:tc>
        <w:tc>
          <w:tcPr>
            <w:shd w:color="ffff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Improving</w:t>
            </w:r>
          </w:p>
        </w:tc>
      </w:tr>
      <w:tr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Q11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BK Comparable Sales Growth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BK's comparable store sales grew 7.4% in 2023 — the strongest same-store demand in three years.</w:t>
            </w:r>
          </w:p>
        </w:tc>
        <w:tc>
          <w:tcPr>
            <w:shd w:color="fff5e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821F"/>
                <w:sz w:val="18"/>
                <w:szCs w:val="18"/>
              </w:rPr>
              <w:t xml:space="preserve">BK Momentum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Q12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EPS &amp; Dividends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MCD's EPS grew from $8.33 to $11.56 (+38.8%); dividends grew steadily from $5.25 to $6.23 per share.</w:t>
            </w:r>
          </w:p>
        </w:tc>
        <w:tc>
          <w:tcPr>
            <w:shd w:color="fff0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MCD Returns</w:t>
            </w:r>
          </w:p>
        </w:tc>
      </w:tr>
      <w:tr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Q13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Capital Expenditure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 invested $2.78B globally in 2023 (up 46%); BK invested only $37M in US+Canada — 75× gap.</w:t>
            </w:r>
          </w:p>
        </w:tc>
        <w:tc>
          <w:tcPr>
            <w:shd w:color="fff0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MCD Invest.</w:t>
            </w:r>
          </w:p>
        </w:tc>
      </w:tr>
      <w:tr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Q14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Long-Term Debt &amp; Interest</w:t>
            </w:r>
          </w:p>
        </w:tc>
        <w:tc>
          <w:tcPr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MCD carries $37.2B long-term debt with $1.36B interest. Coverage ratio ~8.5× — manageable but monitored.</w:t>
            </w:r>
          </w:p>
        </w:tc>
        <w:tc>
          <w:tcPr>
            <w:shd w:color="ffff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Watch</w:t>
            </w:r>
          </w:p>
        </w:tc>
      </w:tr>
      <w:tr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291C"/>
                <w:sz w:val="18"/>
                <w:szCs w:val="18"/>
              </w:rPr>
              <w:t xml:space="preserve">Q15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BK Revenue Mix</w:t>
            </w:r>
          </w:p>
        </w:tc>
        <w:tc>
          <w:tcPr>
            <w:shd w:color="fff8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BK's advertising revenue (27% of US revenue) is a growing and distinctive diversification element.</w:t>
            </w:r>
          </w:p>
        </w:tc>
        <w:tc>
          <w:tcPr>
            <w:shd w:color="fff5e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821F"/>
                <w:sz w:val="18"/>
                <w:szCs w:val="18"/>
              </w:rPr>
              <w:t xml:space="preserve">BK Evolving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DA291C"/>
          <w:sz w:val="36"/>
          <w:szCs w:val="36"/>
        </w:rPr>
        <w:t xml:space="preserve">4. Strategic Implications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26"/>
          <w:sz w:val="26"/>
          <w:szCs w:val="26"/>
        </w:rPr>
        <w:t xml:space="preserve">4.1 Scale vs. Efficiency Paradox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most striking analytical finding is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McDonald's wins on every absolute dollar metric </w:t>
      </w:r>
      <w:r>
        <w:rPr>
          <w:rFonts w:ascii="Arial" w:cs="Arial" w:eastAsia="Arial" w:hAnsi="Arial"/>
          <w:sz w:val="22"/>
          <w:szCs w:val="22"/>
        </w:rPr>
        <w:t xml:space="preserve">while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Burger King wins on operating margin percentage. </w:t>
      </w:r>
      <w:r>
        <w:rPr>
          <w:rFonts w:ascii="Arial" w:cs="Arial" w:eastAsia="Arial" w:hAnsi="Arial"/>
          <w:sz w:val="22"/>
          <w:szCs w:val="22"/>
        </w:rPr>
        <w:t xml:space="preserve">This is not a contradiction — it reflects their different business models. BK's franchise-only approach (no company-operated restaurants in most markets) eliminates the direct cost burden, producing superior margins but limiting top-line scale. McDonald's hybrid model (company-operated + franchise) drives higher revenue but dilutes margin percentage.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F5821F"/>
          <w:sz w:val="26"/>
          <w:szCs w:val="26"/>
        </w:rPr>
        <w:t xml:space="preserve">4.2 The Turnaround Thesis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BK's 2023 performance data supports a credible turnaround narrative: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7.4% comparable sales growth, </w:t>
      </w:r>
      <w:r>
        <w:rPr>
          <w:rFonts w:ascii="Arial" w:cs="Arial" w:eastAsia="Arial" w:hAnsi="Arial"/>
          <w:sz w:val="22"/>
          <w:szCs w:val="22"/>
        </w:rPr>
        <w:t xml:space="preserve">rising system-wide sales, growing advertising revenue, and stable operating income despite deliberate US store closures. </w:t>
      </w:r>
      <w:r>
        <w:rPr>
          <w:rFonts w:ascii="Arial" w:cs="Arial" w:eastAsia="Arial" w:hAnsi="Arial"/>
          <w:sz w:val="22"/>
          <w:szCs w:val="22"/>
        </w:rPr>
        <w:t xml:space="preserve">The question for analysts is whether comp sales growth can sustain once the low-base comparisons normalize in 2024–2025.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DA291C"/>
          <w:sz w:val="26"/>
          <w:szCs w:val="26"/>
        </w:rPr>
        <w:t xml:space="preserve">4.3 CapEx Gap and Competitive Moat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McDonald's CapEx of $2.78B in 2023 dwarfs BK's US+Canada CapEx of $37M by a factor of 75×. This investment is flowing into digital infrastructure, store remodels, and new openings.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 a 5–7 year horizon, this reinvestment gap will materially widen McDonald's competitive advantage </w:t>
      </w:r>
      <w:r>
        <w:rPr>
          <w:rFonts w:ascii="Arial" w:cs="Arial" w:eastAsia="Arial" w:hAnsi="Arial"/>
          <w:sz w:val="22"/>
          <w:szCs w:val="22"/>
        </w:rPr>
        <w:t xml:space="preserve">in technology integration, drive-through efficiency, and customer experience — areas where BK's lighter investment may leave it structurally behind.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DA291C"/>
          <w:sz w:val="26"/>
          <w:szCs w:val="26"/>
        </w:rPr>
        <w:t xml:space="preserve">4.4 Shareholder Value Signals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McDonald's EPS growth of 38.8% in a single year, combined with 7 consecutive years of dividend growth (not shown in dataset but consistent pattern), positions it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Dividend Aristocrat and earnings compounder. </w:t>
      </w:r>
      <w:r>
        <w:rPr>
          <w:rFonts w:ascii="Arial" w:cs="Arial" w:eastAsia="Arial" w:hAnsi="Arial"/>
          <w:sz w:val="22"/>
          <w:szCs w:val="22"/>
        </w:rPr>
        <w:t xml:space="preserve">This makes MCD a fundamentally different investment proposition from BK (as part of RBI), which prioritizes network expansion and comp sales growth over pure shareholder payouts.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DA291C"/>
          <w:sz w:val="36"/>
          <w:szCs w:val="36"/>
        </w:rPr>
        <w:t xml:space="preserve">5. Conclusion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McDonald's </w:t>
      </w:r>
      <w:r>
        <w:rPr>
          <w:rFonts w:ascii="Arial" w:cs="Arial" w:eastAsia="Arial" w:hAnsi="Arial"/>
          <w:sz w:val="22"/>
          <w:szCs w:val="22"/>
        </w:rPr>
        <w:t xml:space="preserve">is the clear leader on virtually every absolute financial metric: revenue, net income, store count, CapEx, and EPS. Its 2023 results represent the strongest financial performance in the study period, driven by pricing power, disciplined franchise operations, and a strong recovery in international markets. The 45.7% operating margin on a $25.5B revenue base is exceptional for any industry.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Burger King </w:t>
      </w:r>
      <w:r>
        <w:rPr>
          <w:rFonts w:ascii="Arial" w:cs="Arial" w:eastAsia="Arial" w:hAnsi="Arial"/>
          <w:sz w:val="22"/>
          <w:szCs w:val="22"/>
        </w:rPr>
        <w:t xml:space="preserve">tells a more nuanced story. Reported revenue understates brand scale — system-wide sales of $27B reveal BK's true consumer footprint. The deliberate US store count reduction, strong comparable sales growth of 7.4%, and growing advertising revenue stream all point to a company executing a quality-over-quantity transformation. If this turnaround sustains, BK's financial profile could improve significantly by 2025.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business analysts, </w:t>
      </w:r>
      <w:r>
        <w:rPr>
          <w:rFonts w:ascii="Arial" w:cs="Arial" w:eastAsia="Arial" w:hAnsi="Arial"/>
          <w:sz w:val="22"/>
          <w:szCs w:val="22"/>
        </w:rPr>
        <w:t xml:space="preserve">this comparison illustrates how two companies in the same industry can pursue fundamentally different financial strategies — one optimizing for absolute scale and shareholder returns, the other pursuing margin efficiency and brand repositioning — and both can generate strong performance when executing well against their chosen model.</w:t>
      </w:r>
    </w:p>
    <w:p>
      <w:pPr>
        <w:pBdr>
          <w:bottom w:val="single" w:color="ccccdd" w:sz="6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Executive Summary  |  Dashboard available as interactive HTML file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2026-02-18T03:44:49.013Z</dcterms:created>
  <dcterms:modified xsi:type="dcterms:W3CDTF">2026-02-18T03:44:49.014Z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