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4A3" w14:textId="77777777" w:rsidR="00E1669C" w:rsidRDefault="00C758F9">
      <w:r>
        <w:rPr>
          <w:b/>
          <w:bCs/>
        </w:rPr>
        <w:t>Draft Share Purchase Agreement</w:t>
      </w:r>
    </w:p>
    <w:p w14:paraId="625CCCD1" w14:textId="77777777" w:rsidR="00E1669C" w:rsidRDefault="00E1669C"/>
    <w:p w14:paraId="1D2A5255" w14:textId="77777777" w:rsidR="00E1669C" w:rsidRDefault="00C758F9">
      <w:pPr>
        <w:pStyle w:val="FWBCont1"/>
        <w:widowControl w:val="0"/>
        <w:spacing w:before="120"/>
      </w:pPr>
      <w:r>
        <w:rPr>
          <w:rFonts w:ascii="Calibri" w:hAnsi="Calibri" w:cs="Calibri"/>
          <w:sz w:val="22"/>
          <w:szCs w:val="22"/>
        </w:rPr>
        <w:t xml:space="preserve">This </w:t>
      </w:r>
      <w:r>
        <w:rPr>
          <w:rFonts w:ascii="Calibri" w:hAnsi="Calibri" w:cs="Calibri"/>
          <w:b/>
          <w:caps/>
          <w:sz w:val="22"/>
          <w:szCs w:val="22"/>
        </w:rPr>
        <w:t>Share Purchase Agreement</w:t>
      </w:r>
      <w:r>
        <w:rPr>
          <w:rFonts w:ascii="Calibri" w:hAnsi="Calibri" w:cs="Calibri"/>
          <w:caps/>
          <w:sz w:val="22"/>
          <w:szCs w:val="22"/>
        </w:rPr>
        <w:t xml:space="preserve"> </w:t>
      </w:r>
      <w:r>
        <w:rPr>
          <w:rFonts w:ascii="Calibri" w:hAnsi="Calibri" w:cs="Calibri"/>
          <w:sz w:val="22"/>
          <w:szCs w:val="22"/>
        </w:rPr>
        <w:t>(</w:t>
      </w:r>
      <w:r>
        <w:rPr>
          <w:rFonts w:ascii="Calibri" w:hAnsi="Calibri" w:cs="Calibri"/>
          <w:caps/>
          <w:sz w:val="22"/>
          <w:szCs w:val="22"/>
        </w:rPr>
        <w:t>“</w:t>
      </w:r>
      <w:r>
        <w:rPr>
          <w:rFonts w:ascii="Calibri" w:hAnsi="Calibri" w:cs="Calibri"/>
          <w:b/>
          <w:caps/>
          <w:sz w:val="22"/>
          <w:szCs w:val="22"/>
        </w:rPr>
        <w:t>A</w:t>
      </w:r>
      <w:r>
        <w:rPr>
          <w:rFonts w:ascii="Calibri" w:hAnsi="Calibri" w:cs="Calibri"/>
          <w:b/>
          <w:sz w:val="22"/>
          <w:szCs w:val="22"/>
        </w:rPr>
        <w:t>greement</w:t>
      </w:r>
      <w:r>
        <w:rPr>
          <w:rFonts w:ascii="Calibri" w:hAnsi="Calibri" w:cs="Calibri"/>
          <w:caps/>
          <w:sz w:val="22"/>
          <w:szCs w:val="22"/>
        </w:rPr>
        <w:t>”)</w:t>
      </w:r>
      <w:r>
        <w:rPr>
          <w:rFonts w:ascii="Calibri" w:hAnsi="Calibri" w:cs="Calibri"/>
          <w:b/>
          <w:bCs/>
          <w:sz w:val="22"/>
          <w:szCs w:val="22"/>
        </w:rPr>
        <w:t xml:space="preserve"> </w:t>
      </w:r>
      <w:r>
        <w:rPr>
          <w:rFonts w:ascii="Calibri" w:hAnsi="Calibri" w:cs="Calibri"/>
          <w:sz w:val="22"/>
          <w:szCs w:val="22"/>
        </w:rPr>
        <w:t>is made on this [EFFECTIVE_DATE] (“</w:t>
      </w:r>
      <w:r>
        <w:rPr>
          <w:rFonts w:ascii="Calibri" w:hAnsi="Calibri" w:cs="Calibri"/>
          <w:b/>
          <w:sz w:val="22"/>
          <w:szCs w:val="22"/>
        </w:rPr>
        <w:t>Effective Date</w:t>
      </w:r>
      <w:r>
        <w:rPr>
          <w:rFonts w:ascii="Calibri" w:hAnsi="Calibri" w:cs="Calibri"/>
          <w:sz w:val="22"/>
          <w:szCs w:val="22"/>
        </w:rPr>
        <w:t xml:space="preserve">”): </w:t>
      </w:r>
    </w:p>
    <w:p w14:paraId="7BA549A3" w14:textId="77777777" w:rsidR="00E1669C" w:rsidRDefault="00C758F9">
      <w:pPr>
        <w:pStyle w:val="FWBCont1"/>
        <w:widowControl w:val="0"/>
        <w:spacing w:before="120"/>
      </w:pPr>
      <w:r>
        <w:rPr>
          <w:rFonts w:ascii="Calibri" w:hAnsi="Calibri" w:cs="Calibri"/>
          <w:b/>
          <w:bCs/>
          <w:caps/>
          <w:sz w:val="22"/>
          <w:szCs w:val="22"/>
        </w:rPr>
        <w:t>By and Between</w:t>
      </w:r>
      <w:r>
        <w:rPr>
          <w:rFonts w:ascii="Calibri" w:hAnsi="Calibri" w:cs="Calibri"/>
          <w:bCs/>
          <w:caps/>
          <w:sz w:val="22"/>
          <w:szCs w:val="22"/>
        </w:rPr>
        <w:t>:</w:t>
      </w:r>
    </w:p>
    <w:p w14:paraId="0F06EC5A" w14:textId="601A7B05" w:rsidR="00E1669C" w:rsidRDefault="00C758F9">
      <w:pPr>
        <w:pStyle w:val="ListParagraph"/>
        <w:widowControl w:val="0"/>
        <w:numPr>
          <w:ilvl w:val="0"/>
          <w:numId w:val="4"/>
        </w:numPr>
        <w:tabs>
          <w:tab w:val="left" w:pos="720"/>
        </w:tabs>
        <w:spacing w:before="120" w:after="240"/>
        <w:contextualSpacing w:val="0"/>
        <w:jc w:val="both"/>
        <w:textAlignment w:val="baseline"/>
      </w:pPr>
      <w:r>
        <w:rPr>
          <w:rFonts w:ascii="Calibri" w:hAnsi="Calibri"/>
          <w:b/>
          <w:sz w:val="22"/>
          <w:szCs w:val="22"/>
          <w:shd w:val="clear" w:color="auto" w:fill="FFFF00"/>
        </w:rPr>
        <w:fldChar w:fldCharType="begin"/>
      </w:r>
      <w:r>
        <w:rPr>
          <w:rFonts w:ascii="Calibri" w:hAnsi="Calibri"/>
          <w:b/>
          <w:sz w:val="22"/>
          <w:szCs w:val="22"/>
          <w:shd w:val="clear" w:color="auto" w:fill="FFFF00"/>
        </w:rPr>
        <w:instrText xml:space="preserve"> MERGEFIELD  =seller_name  \* MERGEFORMAT </w:instrText>
      </w:r>
      <w:r>
        <w:rPr>
          <w:rFonts w:ascii="Calibri" w:hAnsi="Calibri"/>
          <w:b/>
          <w:sz w:val="22"/>
          <w:szCs w:val="22"/>
          <w:shd w:val="clear" w:color="auto" w:fill="FFFF00"/>
        </w:rPr>
        <w:fldChar w:fldCharType="separate"/>
      </w:r>
      <w:r>
        <w:rPr>
          <w:rFonts w:ascii="Calibri" w:hAnsi="Calibri"/>
          <w:b/>
          <w:noProof/>
          <w:sz w:val="22"/>
          <w:szCs w:val="22"/>
          <w:shd w:val="clear" w:color="auto" w:fill="FFFF00"/>
        </w:rPr>
        <w:t>«=seller_name»</w:t>
      </w:r>
      <w:r>
        <w:rPr>
          <w:rFonts w:ascii="Calibri" w:hAnsi="Calibri"/>
          <w:b/>
          <w:sz w:val="22"/>
          <w:szCs w:val="22"/>
          <w:shd w:val="clear" w:color="auto" w:fill="FFFF00"/>
        </w:rPr>
        <w:fldChar w:fldCharType="end"/>
      </w:r>
      <w:r>
        <w:rPr>
          <w:rFonts w:ascii="Calibri" w:hAnsi="Calibri"/>
          <w:color w:val="000000"/>
          <w:sz w:val="22"/>
          <w:szCs w:val="22"/>
        </w:rPr>
        <w:t xml:space="preserve">, currently residing at </w:t>
      </w:r>
      <w:r>
        <w:rPr>
          <w:rFonts w:ascii="Calibri" w:hAnsi="Calibri"/>
          <w:color w:val="000000"/>
          <w:sz w:val="22"/>
          <w:szCs w:val="22"/>
          <w:shd w:val="clear" w:color="auto" w:fill="FFFF00"/>
        </w:rPr>
        <w:fldChar w:fldCharType="begin"/>
      </w:r>
      <w:r>
        <w:rPr>
          <w:rFonts w:ascii="Calibri" w:hAnsi="Calibri"/>
          <w:color w:val="000000"/>
          <w:sz w:val="22"/>
          <w:szCs w:val="22"/>
          <w:shd w:val="clear" w:color="auto" w:fill="FFFF00"/>
        </w:rPr>
        <w:instrText xml:space="preserve"> MERGEFIELD  =seller_address  \* MERGEFORMAT </w:instrText>
      </w:r>
      <w:r>
        <w:rPr>
          <w:rFonts w:ascii="Calibri" w:hAnsi="Calibri"/>
          <w:color w:val="000000"/>
          <w:sz w:val="22"/>
          <w:szCs w:val="22"/>
          <w:shd w:val="clear" w:color="auto" w:fill="FFFF00"/>
        </w:rPr>
        <w:fldChar w:fldCharType="separate"/>
      </w:r>
      <w:r>
        <w:rPr>
          <w:rFonts w:ascii="Calibri" w:hAnsi="Calibri"/>
          <w:noProof/>
          <w:color w:val="000000"/>
          <w:sz w:val="22"/>
          <w:szCs w:val="22"/>
          <w:shd w:val="clear" w:color="auto" w:fill="FFFF00"/>
        </w:rPr>
        <w:t>«=seller_address»</w:t>
      </w:r>
      <w:r>
        <w:rPr>
          <w:rFonts w:ascii="Calibri" w:hAnsi="Calibri"/>
          <w:color w:val="000000"/>
          <w:sz w:val="22"/>
          <w:szCs w:val="22"/>
          <w:shd w:val="clear" w:color="auto" w:fill="FFFF00"/>
        </w:rPr>
        <w:fldChar w:fldCharType="end"/>
      </w:r>
      <w:r>
        <w:rPr>
          <w:rFonts w:ascii="Calibri" w:hAnsi="Calibri"/>
          <w:b/>
          <w:sz w:val="22"/>
          <w:szCs w:val="22"/>
        </w:rPr>
        <w:t xml:space="preserve"> </w:t>
      </w:r>
      <w:r>
        <w:rPr>
          <w:rFonts w:ascii="Calibri" w:hAnsi="Calibri"/>
          <w:sz w:val="22"/>
          <w:szCs w:val="22"/>
        </w:rPr>
        <w:t>(the “</w:t>
      </w:r>
      <w:r>
        <w:rPr>
          <w:rFonts w:ascii="Calibri" w:hAnsi="Calibri"/>
          <w:b/>
          <w:sz w:val="22"/>
          <w:szCs w:val="22"/>
        </w:rPr>
        <w:t>Seller</w:t>
      </w:r>
      <w:r>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Pr>
          <w:rFonts w:ascii="Calibri" w:hAnsi="Calibri"/>
          <w:b/>
          <w:sz w:val="22"/>
          <w:szCs w:val="22"/>
        </w:rPr>
        <w:t>FIRST PART</w:t>
      </w:r>
      <w:r>
        <w:rPr>
          <w:rFonts w:ascii="Calibri" w:hAnsi="Calibri"/>
          <w:sz w:val="22"/>
          <w:szCs w:val="22"/>
        </w:rPr>
        <w:t>;</w:t>
      </w:r>
    </w:p>
    <w:p w14:paraId="17A5EF2C" w14:textId="77777777" w:rsidR="00E1669C" w:rsidRDefault="00C758F9">
      <w:pPr>
        <w:pStyle w:val="FWBCont1"/>
        <w:widowControl w:val="0"/>
        <w:spacing w:before="120"/>
        <w:rPr>
          <w:rFonts w:ascii="Calibri" w:hAnsi="Calibri" w:cs="Calibri"/>
          <w:b/>
          <w:bCs/>
          <w:caps/>
          <w:sz w:val="22"/>
          <w:szCs w:val="22"/>
        </w:rPr>
      </w:pPr>
      <w:r>
        <w:rPr>
          <w:rFonts w:ascii="Calibri" w:hAnsi="Calibri" w:cs="Calibri"/>
          <w:b/>
          <w:bCs/>
          <w:caps/>
          <w:sz w:val="22"/>
          <w:szCs w:val="22"/>
        </w:rPr>
        <w:t>AND</w:t>
      </w:r>
    </w:p>
    <w:p w14:paraId="53D5207B" w14:textId="77777777" w:rsidR="00E1669C" w:rsidRDefault="00C758F9">
      <w:pPr>
        <w:pStyle w:val="ListParagraph"/>
        <w:widowControl w:val="0"/>
        <w:numPr>
          <w:ilvl w:val="0"/>
          <w:numId w:val="4"/>
        </w:numPr>
        <w:tabs>
          <w:tab w:val="left" w:pos="720"/>
        </w:tabs>
        <w:spacing w:before="120" w:after="240"/>
        <w:contextualSpacing w:val="0"/>
        <w:jc w:val="both"/>
        <w:textAlignment w:val="baseline"/>
      </w:pPr>
      <w:r>
        <w:rPr>
          <w:rFonts w:ascii="Calibri" w:hAnsi="Calibri" w:cs="Calibri"/>
          <w:b/>
          <w:sz w:val="22"/>
          <w:szCs w:val="22"/>
          <w:shd w:val="clear" w:color="auto" w:fill="FFFF00"/>
          <w:lang w:val="en-IN"/>
        </w:rPr>
        <w:t>[BUYER_NAME]</w:t>
      </w:r>
      <w:bookmarkStart w:id="0" w:name="_Hlk492144602"/>
      <w:r>
        <w:rPr>
          <w:rFonts w:ascii="Calibri" w:hAnsi="Calibri" w:cs="Calibri"/>
          <w:sz w:val="22"/>
          <w:szCs w:val="22"/>
          <w:lang w:val="en-IN"/>
        </w:rPr>
        <w:t xml:space="preserve">, a public unlisted company </w:t>
      </w:r>
      <w:r>
        <w:rPr>
          <w:rFonts w:ascii="Calibri" w:hAnsi="Calibri" w:cs="Calibri"/>
          <w:sz w:val="22"/>
          <w:szCs w:val="22"/>
          <w:lang w:val="en-IN"/>
        </w:rPr>
        <w:t>incorporated under the Companies Act 1956 and having its registered office at [BUYERADDRESS] (the “</w:t>
      </w:r>
      <w:r>
        <w:rPr>
          <w:rFonts w:ascii="Calibri" w:hAnsi="Calibri" w:cs="Calibri"/>
          <w:b/>
          <w:bCs/>
          <w:sz w:val="22"/>
          <w:szCs w:val="22"/>
          <w:lang w:val="en-IN"/>
        </w:rPr>
        <w:t>Buyer</w:t>
      </w:r>
      <w:r>
        <w:rPr>
          <w:rFonts w:ascii="Calibri" w:hAnsi="Calibri" w:cs="Calibri"/>
          <w:sz w:val="22"/>
          <w:szCs w:val="22"/>
          <w:lang w:val="en-IN"/>
        </w:rPr>
        <w:t>”, which expression shall, unless it be repugnant to the context or meaning thereof, be deemed to mean and include its successors in interest and assign</w:t>
      </w:r>
      <w:r>
        <w:rPr>
          <w:rFonts w:ascii="Calibri" w:hAnsi="Calibri" w:cs="Calibri"/>
          <w:sz w:val="22"/>
          <w:szCs w:val="22"/>
          <w:lang w:val="en-IN"/>
        </w:rPr>
        <w:t>s)</w:t>
      </w:r>
      <w:r>
        <w:rPr>
          <w:rFonts w:ascii="Calibri" w:hAnsi="Calibri" w:cs="Calibri"/>
          <w:sz w:val="22"/>
          <w:szCs w:val="22"/>
        </w:rPr>
        <w:t xml:space="preserve"> of the </w:t>
      </w:r>
      <w:r>
        <w:rPr>
          <w:rFonts w:ascii="Calibri" w:hAnsi="Calibri" w:cs="Calibri"/>
          <w:b/>
          <w:sz w:val="22"/>
          <w:szCs w:val="22"/>
          <w:lang w:val="en-IN"/>
        </w:rPr>
        <w:t>SECOND PART</w:t>
      </w:r>
      <w:r>
        <w:rPr>
          <w:rFonts w:ascii="Calibri" w:hAnsi="Calibri" w:cs="Calibri"/>
          <w:sz w:val="22"/>
          <w:szCs w:val="22"/>
          <w:lang w:val="en-IN"/>
        </w:rPr>
        <w:t>;</w:t>
      </w:r>
      <w:bookmarkEnd w:id="0"/>
    </w:p>
    <w:p w14:paraId="324C030C" w14:textId="77777777" w:rsidR="00E1669C" w:rsidRDefault="00C758F9">
      <w:pPr>
        <w:widowControl w:val="0"/>
        <w:spacing w:before="120" w:after="240"/>
        <w:jc w:val="both"/>
        <w:textAlignment w:val="baseline"/>
        <w:rPr>
          <w:b/>
        </w:rPr>
      </w:pPr>
      <w:r>
        <w:rPr>
          <w:b/>
        </w:rPr>
        <w:t>AND</w:t>
      </w:r>
    </w:p>
    <w:p w14:paraId="291DC092" w14:textId="77777777" w:rsidR="00E1669C" w:rsidRDefault="00C758F9">
      <w:pPr>
        <w:pStyle w:val="ListParagraph"/>
        <w:widowControl w:val="0"/>
        <w:numPr>
          <w:ilvl w:val="0"/>
          <w:numId w:val="4"/>
        </w:numPr>
        <w:tabs>
          <w:tab w:val="left" w:pos="720"/>
        </w:tabs>
        <w:spacing w:before="120" w:after="240"/>
        <w:contextualSpacing w:val="0"/>
        <w:jc w:val="both"/>
        <w:textAlignment w:val="baseline"/>
      </w:pPr>
      <w:r>
        <w:rPr>
          <w:rFonts w:ascii="Calibri" w:hAnsi="Calibri"/>
          <w:b/>
          <w:bCs/>
          <w:sz w:val="22"/>
          <w:szCs w:val="22"/>
          <w:shd w:val="clear" w:color="auto" w:fill="FFFF00"/>
        </w:rPr>
        <w:t>[COMPANY_NAME]</w:t>
      </w:r>
      <w:r>
        <w:rPr>
          <w:rFonts w:ascii="Calibri" w:hAnsi="Calibri"/>
          <w:sz w:val="22"/>
          <w:szCs w:val="22"/>
        </w:rPr>
        <w:t>, a private limited company, bearing corporate identity number 12345 and having its registered office at [company address] (the “</w:t>
      </w:r>
      <w:r>
        <w:rPr>
          <w:rFonts w:ascii="Calibri" w:hAnsi="Calibri"/>
          <w:b/>
          <w:sz w:val="22"/>
          <w:szCs w:val="22"/>
        </w:rPr>
        <w:t>Company</w:t>
      </w:r>
      <w:r>
        <w:rPr>
          <w:rFonts w:ascii="Calibri" w:hAnsi="Calibri"/>
          <w:sz w:val="22"/>
          <w:szCs w:val="22"/>
        </w:rPr>
        <w:t>” which expression shall, unless repugnant to the context or meaning thereof, b</w:t>
      </w:r>
      <w:r>
        <w:rPr>
          <w:rFonts w:ascii="Calibri" w:hAnsi="Calibri"/>
          <w:sz w:val="22"/>
          <w:szCs w:val="22"/>
        </w:rPr>
        <w:t xml:space="preserve">e deemed to include its successors and permitted assigns) of the </w:t>
      </w:r>
      <w:r>
        <w:rPr>
          <w:rFonts w:ascii="Calibri" w:hAnsi="Calibri"/>
          <w:b/>
          <w:sz w:val="22"/>
          <w:szCs w:val="22"/>
        </w:rPr>
        <w:t>THIRD PART</w:t>
      </w:r>
      <w:r>
        <w:rPr>
          <w:rFonts w:ascii="Calibri" w:hAnsi="Calibri"/>
          <w:sz w:val="22"/>
          <w:szCs w:val="22"/>
        </w:rPr>
        <w:t>.</w:t>
      </w:r>
    </w:p>
    <w:p w14:paraId="75717960" w14:textId="77777777" w:rsidR="00E1669C" w:rsidRDefault="00C758F9">
      <w:pPr>
        <w:pStyle w:val="FWBCont1"/>
        <w:widowControl w:val="0"/>
        <w:spacing w:before="120"/>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and collectively as the “</w:t>
      </w:r>
      <w:r>
        <w:rPr>
          <w:rFonts w:ascii="Calibri" w:hAnsi="Calibri"/>
          <w:b/>
          <w:sz w:val="22"/>
          <w:szCs w:val="22"/>
          <w:lang w:val="en-US"/>
        </w:rPr>
        <w:t>Parties</w:t>
      </w:r>
      <w:r>
        <w:rPr>
          <w:rFonts w:ascii="Calibri" w:hAnsi="Calibri"/>
          <w:sz w:val="22"/>
          <w:szCs w:val="22"/>
          <w:lang w:val="en-US"/>
        </w:rPr>
        <w:t>”.</w:t>
      </w:r>
    </w:p>
    <w:p w14:paraId="1D4A5E00" w14:textId="77777777" w:rsidR="00E1669C" w:rsidRDefault="00C758F9">
      <w:pPr>
        <w:pStyle w:val="FWBCont1"/>
        <w:widowControl w:val="0"/>
        <w:spacing w:before="120"/>
        <w:rPr>
          <w:rFonts w:ascii="Calibri" w:hAnsi="Calibri" w:cs="Calibri"/>
          <w:b/>
          <w:caps/>
          <w:sz w:val="22"/>
          <w:szCs w:val="22"/>
        </w:rPr>
      </w:pPr>
      <w:r>
        <w:rPr>
          <w:rFonts w:ascii="Calibri" w:hAnsi="Calibri" w:cs="Calibri"/>
          <w:b/>
          <w:caps/>
          <w:sz w:val="22"/>
          <w:szCs w:val="22"/>
        </w:rPr>
        <w:t xml:space="preserve">Whereas: </w:t>
      </w:r>
    </w:p>
    <w:p w14:paraId="4904DEDF" w14:textId="77777777" w:rsidR="00E1669C" w:rsidRDefault="00C758F9">
      <w:pPr>
        <w:pStyle w:val="ColorfulList-Accent11"/>
        <w:widowControl w:val="0"/>
        <w:numPr>
          <w:ilvl w:val="0"/>
          <w:numId w:val="2"/>
        </w:numPr>
        <w:spacing w:before="120" w:after="240"/>
        <w:ind w:hanging="720"/>
        <w:jc w:val="both"/>
      </w:pPr>
      <w:r>
        <w:rPr>
          <w:rFonts w:ascii="Calibri" w:hAnsi="Calibri" w:cs="Calibri"/>
          <w:sz w:val="22"/>
          <w:szCs w:val="22"/>
          <w:lang w:val="en-IN" w:eastAsia="en-IN"/>
        </w:rPr>
        <w:t xml:space="preserve">The Company is engaged in the </w:t>
      </w:r>
      <w:r>
        <w:rPr>
          <w:rFonts w:ascii="Calibri" w:hAnsi="Calibri" w:cs="Calibri"/>
          <w:sz w:val="22"/>
          <w:szCs w:val="22"/>
          <w:lang w:val="en-IN" w:eastAsia="en-IN"/>
        </w:rPr>
        <w:t>Business (</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p>
    <w:p w14:paraId="5AE6E5AE" w14:textId="77777777" w:rsidR="00E1669C" w:rsidRDefault="00C758F9">
      <w:pPr>
        <w:pStyle w:val="ColorfulList-Accent11"/>
        <w:widowControl w:val="0"/>
        <w:numPr>
          <w:ilvl w:val="0"/>
          <w:numId w:val="2"/>
        </w:numPr>
        <w:spacing w:before="120" w:after="240"/>
        <w:ind w:hanging="720"/>
        <w:jc w:val="both"/>
      </w:pPr>
      <w:r>
        <w:rPr>
          <w:rFonts w:ascii="Calibri" w:hAnsi="Calibri" w:cs="Calibri"/>
          <w:sz w:val="22"/>
          <w:szCs w:val="22"/>
        </w:rPr>
        <w:t xml:space="preserve">The Seller is the sole legal and beneficial owner of the Sale Shares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w:t>
      </w:r>
      <w:r>
        <w:rPr>
          <w:rFonts w:ascii="Calibri" w:hAnsi="Calibri" w:cs="Calibri"/>
          <w:sz w:val="22"/>
          <w:szCs w:val="22"/>
        </w:rPr>
        <w:t>.</w:t>
      </w:r>
    </w:p>
    <w:p w14:paraId="670627CA" w14:textId="77777777" w:rsidR="00E1669C" w:rsidRDefault="00C758F9">
      <w:pPr>
        <w:pStyle w:val="ColorfulList-Accent11"/>
        <w:widowControl w:val="0"/>
        <w:numPr>
          <w:ilvl w:val="0"/>
          <w:numId w:val="2"/>
        </w:numPr>
        <w:spacing w:before="120" w:after="240"/>
        <w:ind w:hanging="720"/>
        <w:jc w:val="both"/>
      </w:pPr>
      <w:bookmarkStart w:id="1" w:name="_DV_M52"/>
      <w:bookmarkEnd w:id="1"/>
      <w:r>
        <w:rPr>
          <w:rFonts w:ascii="Calibri" w:hAnsi="Calibri" w:cs="Calibri"/>
          <w:color w:val="000000"/>
          <w:sz w:val="22"/>
          <w:szCs w:val="22"/>
        </w:rPr>
        <w:t xml:space="preserve">The shareholding pattern of the Company as on the Effective Date is set out in </w:t>
      </w:r>
      <w:r>
        <w:rPr>
          <w:rFonts w:ascii="Calibri" w:hAnsi="Calibri" w:cs="Calibri"/>
          <w:b/>
          <w:color w:val="000000"/>
          <w:sz w:val="22"/>
          <w:szCs w:val="22"/>
          <w:u w:val="single"/>
        </w:rPr>
        <w:t>Part A</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w:t>
      </w:r>
      <w:r>
        <w:rPr>
          <w:rFonts w:ascii="Calibri" w:hAnsi="Calibri" w:cs="Calibri"/>
          <w:i/>
          <w:color w:val="000000"/>
          <w:sz w:val="22"/>
          <w:szCs w:val="22"/>
        </w:rPr>
        <w:t>rior to Completion</w:t>
      </w:r>
      <w:r>
        <w:rPr>
          <w:rFonts w:ascii="Calibri" w:hAnsi="Calibri" w:cs="Calibri"/>
          <w:color w:val="000000"/>
          <w:sz w:val="22"/>
          <w:szCs w:val="22"/>
        </w:rPr>
        <w:t xml:space="preserve">). The Seller is desirous to </w:t>
      </w:r>
      <w:r>
        <w:rPr>
          <w:rFonts w:ascii="Calibri" w:eastAsia="SimSun" w:hAnsi="Calibri" w:cs="Calibri"/>
          <w:sz w:val="22"/>
          <w:szCs w:val="22"/>
        </w:rPr>
        <w:t xml:space="preserve">Transfer the Sale Shares </w:t>
      </w:r>
      <w:r>
        <w:rPr>
          <w:rFonts w:ascii="Calibri" w:eastAsia="SimSun" w:hAnsi="Calibri" w:cs="Calibri"/>
          <w:color w:val="000000"/>
          <w:sz w:val="22"/>
          <w:szCs w:val="22"/>
        </w:rPr>
        <w:t xml:space="preserve">and the </w:t>
      </w:r>
      <w:r>
        <w:rPr>
          <w:rFonts w:ascii="Calibri" w:eastAsia="SimSun" w:hAnsi="Calibri" w:cs="Calibri"/>
          <w:sz w:val="22"/>
          <w:szCs w:val="22"/>
        </w:rPr>
        <w:t>Buyer</w:t>
      </w:r>
      <w:r>
        <w:rPr>
          <w:rFonts w:ascii="Calibri" w:eastAsia="SimSun" w:hAnsi="Calibri" w:cs="Calibri"/>
          <w:color w:val="000000"/>
          <w:sz w:val="22"/>
          <w:szCs w:val="22"/>
        </w:rPr>
        <w:t xml:space="preserve">, relying on the Seller Warranties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r>
        <w:rPr>
          <w:rFonts w:ascii="Calibri" w:eastAsia="SimSun" w:hAnsi="Calibri" w:cs="Calibri"/>
          <w:color w:val="000000"/>
          <w:sz w:val="22"/>
          <w:szCs w:val="22"/>
        </w:rPr>
        <w:t xml:space="preserve">and the covenants of the Seller, has agreed to purchase and acquire the </w:t>
      </w:r>
      <w:r>
        <w:rPr>
          <w:rFonts w:ascii="Calibri" w:hAnsi="Calibri" w:cs="Calibri"/>
          <w:sz w:val="22"/>
          <w:szCs w:val="22"/>
        </w:rPr>
        <w:t>Sale</w:t>
      </w:r>
      <w:r>
        <w:rPr>
          <w:rFonts w:ascii="Calibri" w:eastAsia="SimSun" w:hAnsi="Calibri" w:cs="Calibri"/>
          <w:color w:val="000000"/>
          <w:sz w:val="22"/>
          <w:szCs w:val="22"/>
        </w:rPr>
        <w:t xml:space="preserve"> Shares from the Seller, in the man</w:t>
      </w:r>
      <w:r>
        <w:rPr>
          <w:rFonts w:ascii="Calibri" w:eastAsia="SimSun" w:hAnsi="Calibri" w:cs="Calibri"/>
          <w:color w:val="000000"/>
          <w:sz w:val="22"/>
          <w:szCs w:val="22"/>
        </w:rPr>
        <w:t xml:space="preserve">ner as provided hereunder </w:t>
      </w:r>
      <w:r>
        <w:rPr>
          <w:rFonts w:ascii="Calibri" w:hAnsi="Calibri" w:cs="Calibri"/>
          <w:sz w:val="22"/>
          <w:szCs w:val="22"/>
        </w:rPr>
        <w:t>(“</w:t>
      </w:r>
      <w:r>
        <w:rPr>
          <w:rFonts w:ascii="Calibri" w:hAnsi="Calibri" w:cs="Calibri"/>
          <w:b/>
          <w:sz w:val="22"/>
          <w:szCs w:val="22"/>
        </w:rPr>
        <w:t>Transaction</w:t>
      </w:r>
      <w:r>
        <w:rPr>
          <w:rFonts w:ascii="Calibri" w:hAnsi="Calibri" w:cs="Calibri"/>
          <w:sz w:val="22"/>
          <w:szCs w:val="22"/>
        </w:rPr>
        <w:t>”).</w:t>
      </w:r>
      <w:r>
        <w:rPr>
          <w:rFonts w:ascii="Calibri" w:hAnsi="Calibri" w:cs="Calibri"/>
          <w:color w:val="000000"/>
          <w:sz w:val="22"/>
          <w:szCs w:val="22"/>
        </w:rPr>
        <w:t xml:space="preserve"> The shareholding pattern of the Company post Completion shall be as set out in </w:t>
      </w:r>
      <w:r>
        <w:rPr>
          <w:rFonts w:ascii="Calibri" w:hAnsi="Calibri" w:cs="Calibri"/>
          <w:b/>
          <w:color w:val="000000"/>
          <w:sz w:val="22"/>
          <w:szCs w:val="22"/>
          <w:u w:val="single"/>
        </w:rPr>
        <w:t>Part B</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post Completion</w:t>
      </w:r>
      <w:r>
        <w:rPr>
          <w:rFonts w:ascii="Calibri" w:hAnsi="Calibri" w:cs="Calibri"/>
          <w:color w:val="000000"/>
          <w:sz w:val="22"/>
          <w:szCs w:val="22"/>
        </w:rPr>
        <w:t>).</w:t>
      </w:r>
    </w:p>
    <w:p w14:paraId="72315994" w14:textId="77777777" w:rsidR="00E1669C" w:rsidRDefault="00C758F9">
      <w:pPr>
        <w:pStyle w:val="ColorfulList-Accent11"/>
        <w:widowControl w:val="0"/>
        <w:numPr>
          <w:ilvl w:val="0"/>
          <w:numId w:val="2"/>
        </w:numPr>
        <w:spacing w:before="120" w:after="240"/>
        <w:ind w:hanging="720"/>
        <w:jc w:val="both"/>
        <w:rPr>
          <w:rFonts w:ascii="Calibri" w:hAnsi="Calibri" w:cs="Calibri"/>
          <w:sz w:val="22"/>
          <w:szCs w:val="22"/>
        </w:rPr>
      </w:pPr>
      <w:r>
        <w:rPr>
          <w:rFonts w:ascii="Calibri" w:hAnsi="Calibri" w:cs="Calibri"/>
          <w:sz w:val="22"/>
          <w:szCs w:val="22"/>
        </w:rPr>
        <w:t xml:space="preserve">The Buyer and the Seller are entering into this Agreement to </w:t>
      </w:r>
      <w:r>
        <w:rPr>
          <w:rFonts w:ascii="Calibri" w:hAnsi="Calibri" w:cs="Calibri"/>
          <w:sz w:val="22"/>
          <w:szCs w:val="22"/>
        </w:rPr>
        <w:t>record the terms on which the Seller has agreed to sell, and the Buyer has agreed to purchase, the Sale Shares.</w:t>
      </w:r>
    </w:p>
    <w:p w14:paraId="6A4683DD" w14:textId="77777777" w:rsidR="00E1669C" w:rsidRDefault="00C758F9">
      <w:pPr>
        <w:pStyle w:val="FWBL2"/>
        <w:widowControl w:val="0"/>
        <w:spacing w:before="120"/>
      </w:pPr>
      <w:r>
        <w:rPr>
          <w:rFonts w:ascii="Calibri" w:hAnsi="Calibri" w:cs="Calibri"/>
          <w:b/>
          <w:sz w:val="22"/>
          <w:szCs w:val="22"/>
        </w:rPr>
        <w:t>NOW, THEREFORE</w:t>
      </w:r>
      <w:r>
        <w:rPr>
          <w:rFonts w:ascii="Calibri" w:hAnsi="Calibri" w:cs="Calibri"/>
          <w:sz w:val="22"/>
          <w:szCs w:val="22"/>
        </w:rPr>
        <w:t xml:space="preserve">, in consideration of the mutual agreements, covenants, representations and warranties set forth in this Agreement, and for other </w:t>
      </w:r>
      <w:r>
        <w:rPr>
          <w:rFonts w:ascii="Calibri" w:hAnsi="Calibri" w:cs="Calibri"/>
          <w:sz w:val="22"/>
          <w:szCs w:val="22"/>
        </w:rPr>
        <w:t>good and valuable consideration, the receipt and sufficiency of which is acknowledged by the Parties, intending to be legally bound, the Parties hereby agree as follows:</w:t>
      </w:r>
    </w:p>
    <w:p w14:paraId="2E3DB44A" w14:textId="77777777" w:rsidR="00E1669C" w:rsidRDefault="00C758F9">
      <w:pPr>
        <w:pStyle w:val="Heading1"/>
        <w:rPr>
          <w:rFonts w:ascii="Calibri" w:hAnsi="Calibri" w:cs="Calibri"/>
          <w:szCs w:val="22"/>
        </w:rPr>
      </w:pPr>
      <w:bookmarkStart w:id="2" w:name="_Toc482699645"/>
      <w:bookmarkStart w:id="3" w:name="_Toc490073482"/>
      <w:bookmarkStart w:id="4" w:name="_Toc490395652"/>
      <w:bookmarkStart w:id="5" w:name="_Toc490837088"/>
      <w:bookmarkStart w:id="6" w:name="_Ref491597798"/>
      <w:bookmarkStart w:id="7" w:name="_Toc503175529"/>
      <w:bookmarkStart w:id="8" w:name="_Toc503206732"/>
      <w:bookmarkStart w:id="9" w:name="_Toc482699618"/>
      <w:bookmarkStart w:id="10" w:name="_Toc509910921"/>
      <w:bookmarkStart w:id="11" w:name="_Toc492962058"/>
      <w:bookmarkStart w:id="12" w:name="_Toc441073196"/>
      <w:bookmarkStart w:id="13" w:name="_Toc436742777"/>
      <w:bookmarkStart w:id="14" w:name="_Toc417478555"/>
      <w:bookmarkStart w:id="15" w:name="_Toc412552940"/>
      <w:bookmarkStart w:id="16" w:name="_Toc411945365"/>
      <w:bookmarkStart w:id="17" w:name="_Toc411870593"/>
      <w:r>
        <w:rPr>
          <w:rFonts w:ascii="Calibri" w:hAnsi="Calibri" w:cs="Calibri"/>
          <w:szCs w:val="22"/>
        </w:rPr>
        <w:t>Definitions and InterpretatIon</w:t>
      </w:r>
      <w:bookmarkEnd w:id="2"/>
      <w:bookmarkEnd w:id="3"/>
      <w:bookmarkEnd w:id="4"/>
      <w:bookmarkEnd w:id="5"/>
      <w:bookmarkEnd w:id="6"/>
      <w:bookmarkEnd w:id="7"/>
      <w:bookmarkEnd w:id="8"/>
      <w:bookmarkEnd w:id="9"/>
    </w:p>
    <w:p w14:paraId="103A5028" w14:textId="77777777" w:rsidR="00E1669C" w:rsidRDefault="00C758F9">
      <w:pPr>
        <w:pStyle w:val="Heading2"/>
      </w:pPr>
      <w:r>
        <w:lastRenderedPageBreak/>
        <w:t xml:space="preserve">Unless a contrary intention appears and/or the context </w:t>
      </w:r>
      <w:r>
        <w:t xml:space="preserve">otherwise requires, (a) capitalised terms defined by inclusion in quotations and/or parenthesis have the meanings so ascribed; and (b) the definitions listed in </w:t>
      </w:r>
      <w:r>
        <w:rPr>
          <w:b/>
          <w:u w:val="single"/>
        </w:rPr>
        <w:t>Schedule I</w:t>
      </w:r>
      <w:r>
        <w:t xml:space="preserve"> (</w:t>
      </w:r>
      <w:r>
        <w:rPr>
          <w:i/>
        </w:rPr>
        <w:t>Definitions</w:t>
      </w:r>
      <w:r>
        <w:t>) shall apply throughout this Agreement. The interpretation and/or const</w:t>
      </w:r>
      <w:r>
        <w:t xml:space="preserve">ruction of this Agreement shall be in accordance with the rules of interpretation set out at </w:t>
      </w:r>
      <w:r>
        <w:rPr>
          <w:b/>
          <w:u w:val="single"/>
        </w:rPr>
        <w:t>Schedule II</w:t>
      </w:r>
      <w:r>
        <w:rPr>
          <w:b/>
        </w:rPr>
        <w:t xml:space="preserve"> </w:t>
      </w:r>
      <w:r>
        <w:t>(</w:t>
      </w:r>
      <w:r>
        <w:rPr>
          <w:i/>
        </w:rPr>
        <w:t>Interpretation</w:t>
      </w:r>
      <w:r>
        <w:t>).</w:t>
      </w:r>
      <w:r>
        <w:rPr>
          <w:rFonts w:eastAsia="Times New Roman" w:cs="Calibri"/>
          <w:szCs w:val="22"/>
          <w:vertAlign w:val="superscript"/>
          <w:lang w:val="en-US"/>
        </w:rPr>
        <w:t xml:space="preserve"> </w:t>
      </w:r>
    </w:p>
    <w:p w14:paraId="2821B6C5" w14:textId="77777777" w:rsidR="00E1669C" w:rsidRDefault="00C758F9">
      <w:pPr>
        <w:pStyle w:val="Heading1"/>
      </w:pPr>
      <w:bookmarkStart w:id="18" w:name="_Toc492124747"/>
      <w:bookmarkStart w:id="19" w:name="_Toc492124711"/>
      <w:bookmarkStart w:id="20" w:name="_Toc482699619"/>
      <w:bookmarkStart w:id="21" w:name="_Toc482699646"/>
      <w:bookmarkStart w:id="22" w:name="_Toc490073483"/>
      <w:bookmarkStart w:id="23" w:name="_Toc490395653"/>
      <w:bookmarkStart w:id="24" w:name="_Toc490837089"/>
      <w:bookmarkStart w:id="25" w:name="_Toc503175530"/>
      <w:bookmarkStart w:id="26" w:name="_Toc503206733"/>
      <w:bookmarkEnd w:id="18"/>
      <w:bookmarkEnd w:id="19"/>
      <w:r>
        <w:rPr>
          <w:rFonts w:ascii="Calibri" w:hAnsi="Calibri" w:cs="Calibri"/>
          <w:szCs w:val="22"/>
        </w:rPr>
        <w:t xml:space="preserve">Sale AND PURCHASE of </w:t>
      </w:r>
      <w:bookmarkEnd w:id="20"/>
      <w:bookmarkEnd w:id="21"/>
      <w:r>
        <w:rPr>
          <w:rFonts w:ascii="Calibri" w:hAnsi="Calibri" w:cs="Calibri"/>
          <w:szCs w:val="22"/>
        </w:rPr>
        <w:t>THE SALE shares</w:t>
      </w:r>
      <w:bookmarkEnd w:id="22"/>
      <w:bookmarkEnd w:id="23"/>
      <w:bookmarkEnd w:id="24"/>
      <w:bookmarkEnd w:id="25"/>
      <w:bookmarkEnd w:id="26"/>
      <w:r>
        <w:rPr>
          <w:rFonts w:ascii="Calibri" w:hAnsi="Calibri" w:cs="Calibri"/>
          <w:szCs w:val="22"/>
        </w:rPr>
        <w:t xml:space="preserve"> </w:t>
      </w:r>
      <w:bookmarkEnd w:id="10"/>
      <w:bookmarkEnd w:id="11"/>
      <w:bookmarkEnd w:id="12"/>
      <w:bookmarkEnd w:id="13"/>
      <w:bookmarkEnd w:id="14"/>
      <w:bookmarkEnd w:id="15"/>
      <w:bookmarkEnd w:id="16"/>
      <w:bookmarkEnd w:id="17"/>
    </w:p>
    <w:p w14:paraId="306D6BCC" w14:textId="77777777" w:rsidR="00E1669C" w:rsidRDefault="00C758F9">
      <w:pPr>
        <w:pStyle w:val="Heading2"/>
      </w:pPr>
      <w:bookmarkStart w:id="27" w:name="_Ref510841834"/>
      <w:bookmarkEnd w:id="27"/>
      <w:r>
        <w:rPr>
          <w:rFonts w:cs="Calibri"/>
          <w:szCs w:val="22"/>
        </w:rPr>
        <w:t>Subject to the terms and conditions of this Agreement, at Completion, the Seller, as the sole,</w:t>
      </w:r>
      <w:r>
        <w:rPr>
          <w:rFonts w:cs="Calibri"/>
          <w:szCs w:val="22"/>
        </w:rPr>
        <w:t xml:space="preserve"> legal and beneficial owner of the Sale Shares, agrees to Transfer and deliver </w:t>
      </w:r>
      <w:r>
        <w:rPr>
          <w:rFonts w:cs="Calibri"/>
          <w:szCs w:val="22"/>
          <w:shd w:val="clear" w:color="auto" w:fill="FFFF00"/>
        </w:rPr>
        <w:t>[ALLOCATION_QUANTITY]</w:t>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Pr>
          <w:rFonts w:cs="Calibri"/>
          <w:szCs w:val="22"/>
          <w:shd w:val="clear" w:color="auto" w:fill="FFFF00"/>
        </w:rPr>
        <w:t>[SHARE_PRICE]</w:t>
      </w:r>
      <w:r>
        <w:rPr>
          <w:rFonts w:cs="Calibri"/>
          <w:szCs w:val="22"/>
        </w:rPr>
        <w:t xml:space="preserve"> per share, implying a total Purchase Consideration of Rs </w:t>
      </w:r>
      <w:r>
        <w:rPr>
          <w:rFonts w:cs="Calibri"/>
          <w:szCs w:val="22"/>
          <w:shd w:val="clear" w:color="auto" w:fill="FFFF00"/>
        </w:rPr>
        <w:t>[ALLOCATION_AMOUNT]</w:t>
      </w:r>
      <w:r>
        <w:rPr>
          <w:rFonts w:cs="Calibri"/>
          <w:szCs w:val="22"/>
        </w:rPr>
        <w:t xml:space="preserve"> to the Seller. The Seller shall Transfer the Sale Shares free and clear from any and all Encumbrance, together with t</w:t>
      </w:r>
      <w:r>
        <w:rPr>
          <w:rFonts w:cs="Calibri"/>
          <w:szCs w:val="22"/>
        </w:rPr>
        <w:t>he title attached to such Sale Shares.</w:t>
      </w:r>
    </w:p>
    <w:p w14:paraId="70CD4ED8" w14:textId="77777777" w:rsidR="00E1669C" w:rsidRDefault="00C758F9">
      <w:pPr>
        <w:pStyle w:val="Heading2"/>
      </w:pPr>
      <w:r>
        <w:rPr>
          <w:rFonts w:cs="Calibri"/>
          <w:szCs w:val="22"/>
        </w:rPr>
        <w:t xml:space="preserve">The Seller hereby acknowledges that the payment of the Purchase Consideration in the manner as set forth in Clause </w:t>
      </w:r>
      <w:r>
        <w:rPr>
          <w:rFonts w:cs="Calibri"/>
          <w:szCs w:val="22"/>
        </w:rPr>
        <w:fldChar w:fldCharType="begin"/>
      </w:r>
      <w:r>
        <w:rPr>
          <w:rFonts w:cs="Calibri"/>
          <w:szCs w:val="22"/>
        </w:rPr>
        <w:instrText xml:space="preserve"> REF _Ref490861765 \r \h </w:instrText>
      </w:r>
      <w:r>
        <w:rPr>
          <w:rFonts w:cs="Calibri"/>
          <w:szCs w:val="22"/>
        </w:rPr>
      </w:r>
      <w:r>
        <w:rPr>
          <w:rFonts w:cs="Calibri"/>
          <w:szCs w:val="22"/>
        </w:rPr>
        <w:fldChar w:fldCharType="separate"/>
      </w:r>
      <w:r>
        <w:rPr>
          <w:rFonts w:cs="Calibri"/>
          <w:szCs w:val="22"/>
        </w:rPr>
        <w:t>3</w:t>
      </w:r>
      <w:r>
        <w:rPr>
          <w:rFonts w:cs="Calibri"/>
          <w:szCs w:val="22"/>
        </w:rPr>
        <w:fldChar w:fldCharType="end"/>
      </w:r>
      <w:r>
        <w:rPr>
          <w:rFonts w:cs="Calibri"/>
          <w:szCs w:val="22"/>
        </w:rPr>
        <w:t xml:space="preserve"> (</w:t>
      </w:r>
      <w:r>
        <w:rPr>
          <w:rFonts w:cs="Calibri"/>
          <w:i/>
          <w:szCs w:val="22"/>
        </w:rPr>
        <w:t>Simult</w:t>
      </w:r>
      <w:r>
        <w:rPr>
          <w:rFonts w:cs="Calibri"/>
          <w:i/>
          <w:szCs w:val="22"/>
        </w:rPr>
        <w: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will constitute a full, final and valid discharge of the obligation of the Buyer towards the Seller for the purchase of the Sale Shares under this Agreement.</w:t>
      </w:r>
      <w:bookmarkStart w:id="28" w:name="_Toc296626059"/>
      <w:bookmarkStart w:id="29" w:name="_Toc296710348"/>
      <w:bookmarkStart w:id="30" w:name="_Toc297917008"/>
      <w:bookmarkStart w:id="31" w:name="_Toc297918923"/>
      <w:bookmarkStart w:id="32" w:name="_Toc298435161"/>
      <w:bookmarkStart w:id="33" w:name="_Toc298446099"/>
      <w:bookmarkStart w:id="34" w:name="_Toc298937518"/>
    </w:p>
    <w:p w14:paraId="0F56973A" w14:textId="77777777" w:rsidR="00E1669C" w:rsidRDefault="00C758F9">
      <w:pPr>
        <w:pStyle w:val="Heading2"/>
        <w:rPr>
          <w:rFonts w:cs="Calibri"/>
          <w:szCs w:val="22"/>
        </w:rPr>
      </w:pPr>
      <w:r>
        <w:rPr>
          <w:rFonts w:cs="Calibri"/>
          <w:szCs w:val="22"/>
        </w:rPr>
        <w:t>The Buyer is not obliged to</w:t>
      </w:r>
      <w:r>
        <w:rPr>
          <w:rFonts w:cs="Calibri"/>
          <w:szCs w:val="22"/>
        </w:rPr>
        <w:t xml:space="preserve"> complete the purchase of any of the Sale Shares unless the purchase of all the Sale Shares is completed simultaneously and in accordance with the provisions of Clause 3.</w:t>
      </w:r>
    </w:p>
    <w:p w14:paraId="07F44F23" w14:textId="77777777" w:rsidR="00E1669C" w:rsidRDefault="00C758F9">
      <w:pPr>
        <w:pStyle w:val="Heading1"/>
        <w:rPr>
          <w:rFonts w:ascii="Calibri" w:hAnsi="Calibri" w:cs="Calibri"/>
          <w:szCs w:val="22"/>
        </w:rPr>
      </w:pPr>
      <w:bookmarkStart w:id="35" w:name="_Ref5108418341"/>
      <w:bookmarkStart w:id="36" w:name="_Toc482699620"/>
      <w:bookmarkStart w:id="37" w:name="_Toc482699647"/>
      <w:bookmarkStart w:id="38" w:name="_Ref483286793"/>
      <w:bookmarkStart w:id="39" w:name="_Toc490073484"/>
      <w:bookmarkStart w:id="40" w:name="_Toc490395654"/>
      <w:bookmarkStart w:id="41" w:name="_Toc490837090"/>
      <w:bookmarkStart w:id="42" w:name="_Ref490861765"/>
      <w:bookmarkStart w:id="43" w:name="_Ref490861928"/>
      <w:bookmarkStart w:id="44" w:name="_Toc503175531"/>
      <w:bookmarkStart w:id="45" w:name="_Toc503206734"/>
      <w:bookmarkEnd w:id="28"/>
      <w:bookmarkEnd w:id="29"/>
      <w:bookmarkEnd w:id="30"/>
      <w:bookmarkEnd w:id="31"/>
      <w:bookmarkEnd w:id="32"/>
      <w:bookmarkEnd w:id="33"/>
      <w:bookmarkEnd w:id="34"/>
      <w:bookmarkEnd w:id="35"/>
      <w:r>
        <w:rPr>
          <w:rFonts w:ascii="Calibri" w:hAnsi="Calibri" w:cs="Calibri"/>
          <w:szCs w:val="22"/>
        </w:rPr>
        <w:t>SIMULTANEOUS EXECUTION AND Completion</w:t>
      </w:r>
      <w:bookmarkEnd w:id="36"/>
      <w:bookmarkEnd w:id="37"/>
      <w:bookmarkEnd w:id="38"/>
      <w:bookmarkEnd w:id="39"/>
      <w:bookmarkEnd w:id="40"/>
      <w:bookmarkEnd w:id="41"/>
      <w:bookmarkEnd w:id="42"/>
      <w:bookmarkEnd w:id="43"/>
      <w:bookmarkEnd w:id="44"/>
      <w:bookmarkEnd w:id="45"/>
    </w:p>
    <w:p w14:paraId="428C94A2" w14:textId="77777777" w:rsidR="00E1669C" w:rsidRDefault="00C758F9">
      <w:pPr>
        <w:pStyle w:val="ListParagraph"/>
        <w:numPr>
          <w:ilvl w:val="1"/>
          <w:numId w:val="3"/>
        </w:numPr>
        <w:ind w:left="720" w:hanging="720"/>
        <w:jc w:val="both"/>
      </w:pPr>
      <w:bookmarkStart w:id="46" w:name="_Ref488432130"/>
      <w:bookmarkStart w:id="47" w:name="_Ref509978187"/>
      <w:bookmarkStart w:id="48" w:name="_Ref483286959"/>
      <w:bookmarkEnd w:id="46"/>
      <w:bookmarkEnd w:id="47"/>
      <w:bookmarkEnd w:id="48"/>
      <w:r>
        <w:rPr>
          <w:rFonts w:ascii="Calibri" w:hAnsi="Calibri" w:cs="Calibri"/>
          <w:b/>
          <w:sz w:val="22"/>
          <w:szCs w:val="22"/>
        </w:rPr>
        <w:t>Actions on or prior to the Effective Date</w:t>
      </w:r>
      <w:r>
        <w:rPr>
          <w:rFonts w:ascii="Calibri" w:hAnsi="Calibri" w:cs="Calibri"/>
          <w:sz w:val="22"/>
          <w:szCs w:val="22"/>
        </w:rPr>
        <w:t xml:space="preserve"> </w:t>
      </w:r>
    </w:p>
    <w:p w14:paraId="262ED70E" w14:textId="77777777" w:rsidR="00E1669C" w:rsidRDefault="00E1669C">
      <w:pPr>
        <w:pStyle w:val="ListParagraph"/>
        <w:jc w:val="both"/>
        <w:rPr>
          <w:rFonts w:ascii="Calibri" w:hAnsi="Calibri" w:cs="Calibri"/>
          <w:sz w:val="22"/>
          <w:szCs w:val="22"/>
        </w:rPr>
      </w:pPr>
    </w:p>
    <w:p w14:paraId="6DFD0382" w14:textId="77777777" w:rsidR="00E1669C" w:rsidRDefault="00C758F9">
      <w:pPr>
        <w:pStyle w:val="Heading3"/>
      </w:pPr>
      <w:r>
        <w:t>The Seller to deliver to the Buyer, its depository account statement as on the Effective Date, evidencing that it is the sole, legal and beneficial owner of the Sale Shares.</w:t>
      </w:r>
    </w:p>
    <w:p w14:paraId="1E7C80C0" w14:textId="77777777" w:rsidR="00E1669C" w:rsidRDefault="00C758F9">
      <w:pPr>
        <w:pStyle w:val="Heading3"/>
      </w:pPr>
      <w:r>
        <w:t xml:space="preserve">The Seller to deliver to the Buyer, the written consent from </w:t>
      </w:r>
      <w:r>
        <w:rPr>
          <w:shd w:val="clear" w:color="auto" w:fill="FFFF00"/>
        </w:rPr>
        <w:t>[COMPANY_NAME]</w:t>
      </w:r>
      <w:r>
        <w:t>, for t</w:t>
      </w:r>
      <w:r>
        <w:t xml:space="preserve">he Transaction, as required under Clause 9 read with Schedule 6 of the investment agreement dated </w:t>
      </w:r>
      <w:proofErr w:type="spellStart"/>
      <w:r>
        <w:t>dated</w:t>
      </w:r>
      <w:proofErr w:type="spellEnd"/>
      <w:r>
        <w:t xml:space="preserve"> 21 June 2011, as amended from time to time.</w:t>
      </w:r>
    </w:p>
    <w:p w14:paraId="2963F63B" w14:textId="77777777" w:rsidR="00E1669C" w:rsidRDefault="00C758F9">
      <w:pPr>
        <w:pStyle w:val="Heading3"/>
      </w:pPr>
      <w:r>
        <w:t xml:space="preserve">The Seller to deliver to the Buyer, </w:t>
      </w:r>
      <w:r>
        <w:rPr>
          <w:rFonts w:eastAsia="PMingLiU"/>
        </w:rPr>
        <w:t>a no-objection certificate from the relevant tax authorities under Secti</w:t>
      </w:r>
      <w:r>
        <w:rPr>
          <w:rFonts w:eastAsia="PMingLiU"/>
        </w:rPr>
        <w:t>on 281 of the Income Tax Act 1961.</w:t>
      </w:r>
    </w:p>
    <w:p w14:paraId="7AE9FCE9" w14:textId="77777777" w:rsidR="00E1669C" w:rsidRDefault="00C758F9">
      <w:pPr>
        <w:pStyle w:val="Heading3"/>
      </w:pPr>
      <w:r>
        <w:rPr>
          <w:rFonts w:cs="Calibri"/>
          <w:szCs w:val="22"/>
        </w:rPr>
        <w:t>Simultaneously with the completion of action set out in Clause 3.1.1, Clause 3.1.2 and Clause 3.1.3, and immediately following execution of this Agreement, the Parties shall proceed to fulfilment of all actions set out in</w:t>
      </w:r>
      <w:r>
        <w:rPr>
          <w:rFonts w:cs="Calibri"/>
          <w:szCs w:val="22"/>
        </w:rPr>
        <w:t xml:space="preserve">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(collectively, the “</w:t>
      </w:r>
      <w:r>
        <w:rPr>
          <w:rFonts w:cs="Calibri"/>
          <w:b/>
          <w:szCs w:val="22"/>
        </w:rPr>
        <w:t>Completion</w:t>
      </w:r>
      <w:r>
        <w:rPr>
          <w:rFonts w:cs="Calibri"/>
          <w:szCs w:val="22"/>
        </w:rPr>
        <w:t xml:space="preserve">”). </w:t>
      </w:r>
    </w:p>
    <w:p w14:paraId="7D9881C8" w14:textId="77777777" w:rsidR="00E1669C" w:rsidRDefault="00C758F9">
      <w:pPr>
        <w:pStyle w:val="ListParagraph"/>
        <w:numPr>
          <w:ilvl w:val="1"/>
          <w:numId w:val="3"/>
        </w:numPr>
        <w:ind w:left="720" w:hanging="720"/>
        <w:jc w:val="both"/>
        <w:rPr>
          <w:rFonts w:ascii="Calibri" w:hAnsi="Calibri" w:cs="Calibri"/>
          <w:b/>
          <w:sz w:val="22"/>
          <w:szCs w:val="22"/>
        </w:rPr>
      </w:pPr>
      <w:r>
        <w:rPr>
          <w:rFonts w:ascii="Calibri" w:hAnsi="Calibri" w:cs="Calibri"/>
          <w:b/>
          <w:sz w:val="22"/>
          <w:szCs w:val="22"/>
        </w:rPr>
        <w:t>Completion on the Effective Date</w:t>
      </w:r>
    </w:p>
    <w:p w14:paraId="5EB7E1B2" w14:textId="77777777" w:rsidR="00E1669C" w:rsidRDefault="00E1669C">
      <w:pPr>
        <w:jc w:val="both"/>
        <w:rPr>
          <w:rFonts w:cs="Calibri"/>
        </w:rPr>
      </w:pPr>
    </w:p>
    <w:p w14:paraId="4F5A563C" w14:textId="77777777" w:rsidR="00E1669C" w:rsidRDefault="00C758F9">
      <w:pPr>
        <w:ind w:left="1418" w:hanging="720"/>
        <w:jc w:val="both"/>
        <w:rPr>
          <w:rFonts w:cs="Calibri"/>
        </w:rPr>
      </w:pPr>
      <w:r>
        <w:rPr>
          <w:rFonts w:cs="Calibri"/>
        </w:rPr>
        <w:t xml:space="preserve">3.2.1 </w:t>
      </w:r>
      <w:r>
        <w:rPr>
          <w:rFonts w:cs="Calibri"/>
        </w:rPr>
        <w:tab/>
      </w:r>
      <w:r>
        <w:rPr>
          <w:rFonts w:cs="Calibri"/>
        </w:rPr>
        <w:t xml:space="preserve">The Completion shall take place at the offices of the, or such place that the Parties may mutually agree in writing, on the Effective Date. </w:t>
      </w:r>
    </w:p>
    <w:p w14:paraId="57AB1D34" w14:textId="77777777" w:rsidR="00E1669C" w:rsidRDefault="00E1669C">
      <w:pPr>
        <w:ind w:left="1418" w:hanging="720"/>
        <w:jc w:val="both"/>
        <w:rPr>
          <w:rFonts w:cs="Calibri"/>
        </w:rPr>
      </w:pPr>
    </w:p>
    <w:p w14:paraId="5A8C32D3" w14:textId="77777777" w:rsidR="00E1669C" w:rsidRDefault="00C758F9">
      <w:pPr>
        <w:ind w:left="1418" w:hanging="720"/>
        <w:jc w:val="both"/>
      </w:pPr>
      <w:r>
        <w:rPr>
          <w:rFonts w:cs="Calibri"/>
        </w:rPr>
        <w:lastRenderedPageBreak/>
        <w:t>3.2.2</w:t>
      </w:r>
      <w:r>
        <w:rPr>
          <w:rFonts w:cs="Calibri"/>
        </w:rPr>
        <w:tab/>
        <w:t xml:space="preserve">The actions set out in </w:t>
      </w:r>
      <w:r>
        <w:rPr>
          <w:rFonts w:cs="Calibri"/>
          <w:b/>
          <w:u w:val="single"/>
        </w:rPr>
        <w:t>Schedule IV</w:t>
      </w:r>
      <w:r>
        <w:rPr>
          <w:rFonts w:cs="Calibri"/>
        </w:rPr>
        <w:t xml:space="preserve"> (</w:t>
      </w:r>
      <w:r>
        <w:rPr>
          <w:rFonts w:cs="Calibri"/>
          <w:i/>
        </w:rPr>
        <w:t>Completion Actions</w:t>
      </w:r>
      <w:r>
        <w:rPr>
          <w:rFonts w:cs="Calibri"/>
        </w:rPr>
        <w:t>) shall occur in the sequence mentioned therein, but s</w:t>
      </w:r>
      <w:r>
        <w:rPr>
          <w:rFonts w:cs="Calibri"/>
        </w:rPr>
        <w:t xml:space="preserve">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w:t>
      </w:r>
      <w:r>
        <w:rPr>
          <w:rFonts w:cs="Calibri"/>
          <w:b/>
          <w:u w:val="single"/>
        </w:rPr>
        <w:t>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14:paraId="4F86A7D0" w14:textId="77777777" w:rsidR="00E1669C" w:rsidRDefault="00E1669C">
      <w:pPr>
        <w:ind w:left="1418" w:hanging="720"/>
        <w:jc w:val="both"/>
        <w:rPr>
          <w:rFonts w:cs="Calibri"/>
        </w:rPr>
      </w:pPr>
    </w:p>
    <w:p w14:paraId="7BE0A443" w14:textId="77777777" w:rsidR="00E1669C" w:rsidRDefault="00C758F9">
      <w:pPr>
        <w:spacing w:after="120"/>
        <w:ind w:left="1418" w:hanging="720"/>
        <w:jc w:val="both"/>
      </w:pPr>
      <w:r>
        <w:rPr>
          <w:rFonts w:cs="Calibri"/>
        </w:rPr>
        <w:t>3.2.3</w:t>
      </w:r>
      <w:r>
        <w:rPr>
          <w:rFonts w:cs="Calibri"/>
        </w:rPr>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xml:space="preserve">) are completed by the Long </w:t>
      </w:r>
      <w:r>
        <w:rPr>
          <w:rFonts w:cs="Calibri"/>
        </w:rPr>
        <w:t>Stop Date, the Parties shall have the right to mutually agree and cause all such completed transactions to be reversed and unwound by taking all necessary actions for this purpose.</w:t>
      </w:r>
      <w:bookmarkEnd w:id="50"/>
    </w:p>
    <w:p w14:paraId="740A860A" w14:textId="77777777" w:rsidR="00E1669C" w:rsidRDefault="00C758F9">
      <w:pPr>
        <w:pStyle w:val="ListParagraph"/>
        <w:numPr>
          <w:ilvl w:val="1"/>
          <w:numId w:val="3"/>
        </w:numPr>
        <w:spacing w:after="120"/>
        <w:ind w:left="720" w:hanging="720"/>
        <w:jc w:val="both"/>
      </w:pPr>
      <w:bookmarkStart w:id="51" w:name="_Ref491395435"/>
      <w:r>
        <w:rPr>
          <w:rFonts w:ascii="Calibri" w:hAnsi="Calibri" w:cs="Calibri"/>
          <w:sz w:val="22"/>
          <w:szCs w:val="22"/>
          <w:lang w:val="en-GB"/>
        </w:rPr>
        <w:t>In the event Completion does not occur on or prior to the Long Stop Date, t</w:t>
      </w:r>
      <w:r>
        <w:rPr>
          <w:rFonts w:ascii="Calibri" w:hAnsi="Calibri" w:cs="Calibri"/>
          <w:sz w:val="22"/>
          <w:szCs w:val="22"/>
          <w:lang w:val="en-GB"/>
        </w:rPr>
        <w:t>he Parties shall, on the Long Stop Date, mutually agree on whether the Long Stop Date should be extended or the Agreement should be terminated.</w:t>
      </w:r>
      <w:bookmarkEnd w:id="51"/>
      <w:r>
        <w:rPr>
          <w:rFonts w:ascii="Calibri" w:hAnsi="Calibri" w:cs="Calibri"/>
          <w:sz w:val="22"/>
          <w:szCs w:val="22"/>
          <w:lang w:val="en-GB"/>
        </w:rPr>
        <w:t xml:space="preserve"> </w:t>
      </w:r>
    </w:p>
    <w:p w14:paraId="52C51675" w14:textId="77777777" w:rsidR="00E1669C" w:rsidRDefault="00E1669C">
      <w:pPr>
        <w:pStyle w:val="ListParagraph"/>
        <w:spacing w:after="120"/>
        <w:jc w:val="both"/>
        <w:rPr>
          <w:rFonts w:ascii="Calibri" w:hAnsi="Calibri" w:cs="Calibri"/>
          <w:b/>
          <w:sz w:val="22"/>
          <w:szCs w:val="22"/>
        </w:rPr>
      </w:pPr>
    </w:p>
    <w:p w14:paraId="6DFB64D6" w14:textId="77777777" w:rsidR="00E1669C" w:rsidRDefault="00C758F9">
      <w:pPr>
        <w:pStyle w:val="Heading1"/>
      </w:pPr>
      <w:bookmarkStart w:id="52" w:name="_Toc492254301"/>
      <w:bookmarkStart w:id="53" w:name="_Toc492254302"/>
      <w:bookmarkStart w:id="54" w:name="_Toc488433031"/>
      <w:bookmarkStart w:id="55" w:name="_Toc488433034"/>
      <w:bookmarkStart w:id="56" w:name="_Toc488433036"/>
      <w:bookmarkStart w:id="57" w:name="_Toc488433037"/>
      <w:bookmarkStart w:id="58" w:name="_Toc488433038"/>
      <w:bookmarkStart w:id="59" w:name="_Ref460972674"/>
      <w:bookmarkStart w:id="60" w:name="_Toc411945368"/>
      <w:bookmarkStart w:id="61" w:name="_Toc412552943"/>
      <w:bookmarkStart w:id="62" w:name="_Toc417478558"/>
      <w:bookmarkStart w:id="63" w:name="_Toc436742780"/>
      <w:bookmarkStart w:id="64" w:name="_Toc441073199"/>
      <w:bookmarkStart w:id="65" w:name="_Toc492962061"/>
      <w:bookmarkStart w:id="66" w:name="_Toc509910924"/>
      <w:bookmarkStart w:id="67" w:name="_Ref510841459"/>
      <w:bookmarkStart w:id="68" w:name="_Toc411870596"/>
      <w:bookmarkStart w:id="69" w:name="_Ref4884321301"/>
      <w:bookmarkStart w:id="70" w:name="_Ref5099781871"/>
      <w:bookmarkStart w:id="71" w:name="_Ref4832869591"/>
      <w:bookmarkStart w:id="72" w:name="_Ref488432963"/>
      <w:bookmarkStart w:id="73" w:name="_Toc490073485"/>
      <w:bookmarkStart w:id="74" w:name="_Toc490395655"/>
      <w:bookmarkStart w:id="75" w:name="_Toc490837091"/>
      <w:bookmarkStart w:id="76" w:name="_Toc503175532"/>
      <w:bookmarkStart w:id="77" w:name="_Toc503206735"/>
      <w:bookmarkStart w:id="78" w:name="_Hlk48849485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Calibri" w:hAnsi="Calibri" w:cs="Calibri"/>
          <w:szCs w:val="22"/>
        </w:rPr>
        <w:t>Representations</w:t>
      </w:r>
      <w:r>
        <w:rPr>
          <w:rFonts w:ascii="Calibri" w:hAnsi="Calibri" w:cs="Calibri"/>
          <w:smallCaps/>
          <w:szCs w:val="22"/>
        </w:rPr>
        <w:t xml:space="preserve"> </w:t>
      </w:r>
      <w:r>
        <w:rPr>
          <w:rFonts w:ascii="Calibri" w:hAnsi="Calibri" w:cs="Calibri"/>
          <w:szCs w:val="22"/>
        </w:rPr>
        <w:t>and</w:t>
      </w:r>
      <w:r>
        <w:rPr>
          <w:rFonts w:ascii="Calibri" w:hAnsi="Calibri" w:cs="Calibri"/>
          <w:smallCaps/>
          <w:szCs w:val="22"/>
        </w:rPr>
        <w:t xml:space="preserve"> </w:t>
      </w:r>
      <w:r>
        <w:rPr>
          <w:rFonts w:ascii="Calibri" w:hAnsi="Calibri" w:cs="Calibri"/>
          <w:szCs w:val="22"/>
        </w:rPr>
        <w:t>Warranties</w:t>
      </w:r>
      <w:bookmarkEnd w:id="72"/>
      <w:bookmarkEnd w:id="73"/>
      <w:bookmarkEnd w:id="74"/>
      <w:bookmarkEnd w:id="75"/>
      <w:bookmarkEnd w:id="76"/>
      <w:bookmarkEnd w:id="77"/>
      <w:bookmarkEnd w:id="78"/>
    </w:p>
    <w:p w14:paraId="605859E1" w14:textId="77777777" w:rsidR="00E1669C" w:rsidRDefault="00C758F9">
      <w:pPr>
        <w:pStyle w:val="Heading2"/>
      </w:pPr>
      <w:r>
        <w:rPr>
          <w:rFonts w:cs="Calibri"/>
          <w:szCs w:val="22"/>
        </w:rPr>
        <w:t>The Seller represents and warrants to the Buyer, as on the Effective Date and a</w:t>
      </w:r>
      <w:r>
        <w:rPr>
          <w:rFonts w:cs="Calibri"/>
          <w:szCs w:val="22"/>
        </w:rPr>
        <w:t xml:space="preserve">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14:paraId="387CFB8F" w14:textId="77777777" w:rsidR="00E1669C" w:rsidRDefault="00C758F9">
      <w:pPr>
        <w:pStyle w:val="Heading2"/>
      </w:pPr>
      <w:r>
        <w:rPr>
          <w:rFonts w:cs="Calibri"/>
          <w:szCs w:val="22"/>
        </w:rPr>
        <w:t>The Buyer represents and warrants to the Seller, as on the Effective Date and on the Completion Date, in terms</w:t>
      </w:r>
      <w:r>
        <w:rPr>
          <w:rFonts w:cs="Calibri"/>
          <w:szCs w:val="22"/>
        </w:rPr>
        <w:t xml:space="preserve">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14:paraId="2DCB693A" w14:textId="77777777" w:rsidR="00E1669C" w:rsidRDefault="00C758F9">
      <w:pPr>
        <w:pStyle w:val="Heading2"/>
        <w:rPr>
          <w:rFonts w:cs="Calibri"/>
          <w:szCs w:val="22"/>
        </w:rPr>
      </w:pPr>
      <w:r>
        <w:rPr>
          <w:rFonts w:cs="Calibri"/>
          <w:szCs w:val="22"/>
        </w:rPr>
        <w:t xml:space="preserve">Each Warranty is separate and independent and shall not be limited by reference to any other Warranty. </w:t>
      </w:r>
    </w:p>
    <w:p w14:paraId="6F90AC76" w14:textId="77777777" w:rsidR="00E1669C" w:rsidRDefault="00C758F9">
      <w:pPr>
        <w:pStyle w:val="Heading2"/>
        <w:rPr>
          <w:rFonts w:cs="Calibri"/>
          <w:szCs w:val="22"/>
        </w:rPr>
      </w:pPr>
      <w:bookmarkStart w:id="79" w:name="_Ref425424821"/>
      <w:r>
        <w:rPr>
          <w:rFonts w:cs="Calibri"/>
          <w:szCs w:val="22"/>
        </w:rPr>
        <w:t>Other than as set out in the respective Warranty, none of the Warranties shall be treated as qualified by any actual or constructive knowledge on the pa</w:t>
      </w:r>
      <w:r>
        <w:rPr>
          <w:rFonts w:cs="Calibri"/>
          <w:szCs w:val="22"/>
        </w:rPr>
        <w:t>rt of the Party providing such Warranty or any of its agents, representatives, officers, employees or advisers.</w:t>
      </w:r>
      <w:bookmarkEnd w:id="79"/>
    </w:p>
    <w:p w14:paraId="1C351545" w14:textId="77777777" w:rsidR="00E1669C" w:rsidRDefault="00C758F9">
      <w:pPr>
        <w:pStyle w:val="Heading1"/>
        <w:rPr>
          <w:rFonts w:ascii="Calibri" w:hAnsi="Calibri" w:cs="Calibri"/>
          <w:szCs w:val="22"/>
        </w:rPr>
      </w:pPr>
      <w:bookmarkStart w:id="80" w:name="_Toc490395603"/>
      <w:bookmarkStart w:id="81" w:name="_Toc490395656"/>
      <w:bookmarkStart w:id="82" w:name="_Toc490395604"/>
      <w:bookmarkStart w:id="83" w:name="_Toc490395657"/>
      <w:bookmarkStart w:id="84" w:name="_Toc490395684"/>
      <w:bookmarkStart w:id="85" w:name="_Toc490837093"/>
      <w:bookmarkStart w:id="86" w:name="_Toc490073486"/>
      <w:bookmarkStart w:id="87" w:name="_Ref4609726741"/>
      <w:bookmarkStart w:id="88" w:name="_Ref491395252"/>
      <w:bookmarkStart w:id="89" w:name="_Ref491395264"/>
      <w:bookmarkStart w:id="90" w:name="_Ref491395278"/>
      <w:bookmarkStart w:id="91" w:name="_Toc503175533"/>
      <w:bookmarkStart w:id="92" w:name="_Toc503206736"/>
      <w:bookmarkEnd w:id="80"/>
      <w:bookmarkEnd w:id="81"/>
      <w:bookmarkEnd w:id="82"/>
      <w:bookmarkEnd w:id="83"/>
      <w:bookmarkEnd w:id="84"/>
      <w:bookmarkEnd w:id="85"/>
      <w:bookmarkEnd w:id="86"/>
      <w:bookmarkEnd w:id="87"/>
      <w:r>
        <w:rPr>
          <w:rFonts w:ascii="Calibri" w:hAnsi="Calibri" w:cs="Calibri"/>
          <w:szCs w:val="22"/>
        </w:rPr>
        <w:t>Indemnification</w:t>
      </w:r>
      <w:bookmarkEnd w:id="88"/>
      <w:bookmarkEnd w:id="89"/>
      <w:bookmarkEnd w:id="90"/>
      <w:bookmarkEnd w:id="91"/>
      <w:bookmarkEnd w:id="92"/>
    </w:p>
    <w:p w14:paraId="3B7DA8D8" w14:textId="77777777" w:rsidR="00E1669C" w:rsidRDefault="00C758F9">
      <w:pPr>
        <w:pStyle w:val="Heading2"/>
        <w:spacing w:before="0" w:after="0"/>
        <w:contextualSpacing/>
      </w:pPr>
      <w:r>
        <w:rPr>
          <w:rFonts w:cs="Calibri"/>
          <w:b/>
          <w:szCs w:val="22"/>
        </w:rPr>
        <w:t>Indemnification</w:t>
      </w:r>
      <w:r>
        <w:rPr>
          <w:rFonts w:cs="Calibri"/>
          <w:szCs w:val="22"/>
        </w:rPr>
        <w:t xml:space="preserve"> </w:t>
      </w:r>
    </w:p>
    <w:p w14:paraId="5EC349D2" w14:textId="77777777" w:rsidR="00E1669C" w:rsidRDefault="00E1669C">
      <w:pPr>
        <w:pStyle w:val="FWBL2"/>
        <w:widowControl w:val="0"/>
        <w:spacing w:after="0"/>
        <w:ind w:left="720"/>
        <w:contextualSpacing/>
        <w:rPr>
          <w:rFonts w:ascii="Calibri" w:hAnsi="Calibri" w:cs="Calibri"/>
          <w:sz w:val="22"/>
          <w:szCs w:val="22"/>
        </w:rPr>
      </w:pPr>
    </w:p>
    <w:p w14:paraId="04F3F7F3" w14:textId="77777777" w:rsidR="00E1669C" w:rsidRDefault="00C758F9">
      <w:pPr>
        <w:pStyle w:val="FWBL2"/>
        <w:widowControl w:val="0"/>
        <w:spacing w:after="0"/>
        <w:ind w:left="720"/>
        <w:contextualSpacing/>
      </w:pPr>
      <w:r>
        <w:rPr>
          <w:rFonts w:ascii="Calibri" w:hAnsi="Calibri" w:cs="Calibri"/>
          <w:sz w:val="22"/>
          <w:szCs w:val="22"/>
        </w:rPr>
        <w:t>The Seller agrees to defend, indemnify and hold harmless, the Buyer, its Affiliates and their respective direc</w:t>
      </w:r>
      <w:r>
        <w:rPr>
          <w:rFonts w:ascii="Calibri" w:hAnsi="Calibri" w:cs="Calibri"/>
          <w:sz w:val="22"/>
          <w:szCs w:val="22"/>
        </w:rPr>
        <w:t>tors, officers and employees (“</w:t>
      </w:r>
      <w:r>
        <w:rPr>
          <w:rFonts w:ascii="Calibri" w:hAnsi="Calibri" w:cs="Calibri"/>
          <w:b/>
          <w:sz w:val="22"/>
          <w:szCs w:val="22"/>
        </w:rPr>
        <w:t>Indemnified Parties</w:t>
      </w:r>
      <w:r>
        <w:rPr>
          <w:rFonts w:ascii="Calibri" w:hAnsi="Calibri" w:cs="Calibri"/>
          <w:sz w:val="22"/>
          <w:szCs w:val="22"/>
        </w:rPr>
        <w:t>” and “</w:t>
      </w:r>
      <w:r>
        <w:rPr>
          <w:rFonts w:ascii="Calibri" w:hAnsi="Calibri" w:cs="Calibri"/>
          <w:b/>
          <w:sz w:val="22"/>
          <w:szCs w:val="22"/>
        </w:rPr>
        <w:t>Indemnified Party</w:t>
      </w:r>
      <w:r>
        <w:rPr>
          <w:rFonts w:ascii="Calibri" w:hAnsi="Calibri" w:cs="Calibri"/>
          <w:sz w:val="22"/>
          <w:szCs w:val="22"/>
        </w:rPr>
        <w:t>” shall be construed accordingly) from and against any and all Loss, incurred or suffered by any of the Indemnified Parties, which arises as a result of any of the following (collect</w:t>
      </w:r>
      <w:r>
        <w:rPr>
          <w:rFonts w:ascii="Calibri" w:hAnsi="Calibri" w:cs="Calibri"/>
          <w:sz w:val="22"/>
          <w:szCs w:val="22"/>
        </w:rPr>
        <w:t>ively, the “</w:t>
      </w:r>
      <w:r>
        <w:rPr>
          <w:rFonts w:ascii="Calibri" w:hAnsi="Calibri" w:cs="Calibri"/>
          <w:b/>
          <w:sz w:val="22"/>
          <w:szCs w:val="22"/>
        </w:rPr>
        <w:t>Indemnification Obligations</w:t>
      </w:r>
      <w:r>
        <w:rPr>
          <w:rFonts w:ascii="Calibri" w:hAnsi="Calibri" w:cs="Calibri"/>
          <w:sz w:val="22"/>
          <w:szCs w:val="22"/>
        </w:rPr>
        <w:t>”):</w:t>
      </w:r>
    </w:p>
    <w:p w14:paraId="1E7BE605" w14:textId="77777777" w:rsidR="00E1669C" w:rsidRDefault="00E1669C">
      <w:pPr>
        <w:pStyle w:val="FWBL2"/>
        <w:widowControl w:val="0"/>
        <w:spacing w:after="0"/>
        <w:ind w:left="720"/>
        <w:contextualSpacing/>
        <w:rPr>
          <w:rFonts w:ascii="Calibri" w:hAnsi="Calibri" w:cs="Calibri"/>
          <w:sz w:val="22"/>
          <w:szCs w:val="22"/>
        </w:rPr>
      </w:pPr>
    </w:p>
    <w:p w14:paraId="1233FEE6" w14:textId="77777777" w:rsidR="00E1669C" w:rsidRDefault="00C758F9">
      <w:pPr>
        <w:pStyle w:val="Heading3"/>
        <w:spacing w:before="0" w:after="0"/>
        <w:contextualSpacing/>
        <w:rPr>
          <w:rFonts w:cs="Calibri"/>
          <w:szCs w:val="22"/>
        </w:rPr>
      </w:pPr>
      <w:r>
        <w:rPr>
          <w:rFonts w:cs="Calibri"/>
          <w:szCs w:val="22"/>
        </w:rPr>
        <w:t xml:space="preserve">any inaccuracy in, or breach by the Seller of any of the Seller Warranties; and </w:t>
      </w:r>
    </w:p>
    <w:p w14:paraId="6FC6700E" w14:textId="77777777" w:rsidR="00E1669C" w:rsidRDefault="00E1669C">
      <w:pPr>
        <w:pStyle w:val="Heading3"/>
        <w:numPr>
          <w:ilvl w:val="0"/>
          <w:numId w:val="0"/>
        </w:numPr>
        <w:spacing w:before="0" w:after="0"/>
        <w:ind w:left="1440"/>
        <w:contextualSpacing/>
        <w:rPr>
          <w:rFonts w:cs="Calibri"/>
          <w:szCs w:val="22"/>
        </w:rPr>
      </w:pPr>
    </w:p>
    <w:p w14:paraId="2AC5B343" w14:textId="77777777" w:rsidR="00E1669C" w:rsidRDefault="00C758F9">
      <w:pPr>
        <w:pStyle w:val="Heading3"/>
        <w:spacing w:before="0" w:after="0"/>
        <w:contextualSpacing/>
        <w:rPr>
          <w:rFonts w:cs="Calibri"/>
          <w:szCs w:val="22"/>
        </w:rPr>
      </w:pPr>
      <w:r>
        <w:rPr>
          <w:rFonts w:cs="Calibri"/>
          <w:szCs w:val="22"/>
        </w:rPr>
        <w:t>any breach by the Seller of its covenants, agreements or obligations contained in this Agreement.</w:t>
      </w:r>
    </w:p>
    <w:p w14:paraId="7D7AD3A6" w14:textId="77777777" w:rsidR="00E1669C" w:rsidRDefault="00C758F9">
      <w:pPr>
        <w:pStyle w:val="Heading1"/>
        <w:rPr>
          <w:rFonts w:ascii="Calibri" w:hAnsi="Calibri" w:cs="Calibri"/>
          <w:smallCaps/>
          <w:szCs w:val="22"/>
        </w:rPr>
      </w:pPr>
      <w:bookmarkStart w:id="93" w:name="_Toc4903956841"/>
      <w:bookmarkStart w:id="94" w:name="_Toc4908370931"/>
      <w:bookmarkStart w:id="95" w:name="_Toc4900734861"/>
      <w:bookmarkStart w:id="96" w:name="_Ref491395295"/>
      <w:bookmarkStart w:id="97" w:name="_Ref491395383"/>
      <w:bookmarkStart w:id="98" w:name="_Toc503175534"/>
      <w:bookmarkStart w:id="99" w:name="_Toc503206737"/>
      <w:bookmarkEnd w:id="93"/>
      <w:bookmarkEnd w:id="94"/>
      <w:bookmarkEnd w:id="95"/>
      <w:r>
        <w:rPr>
          <w:rFonts w:ascii="Calibri" w:hAnsi="Calibri" w:cs="Calibri"/>
          <w:smallCaps/>
          <w:szCs w:val="22"/>
        </w:rPr>
        <w:t>GOVERNING LAW AND DISPUTE RESOLU</w:t>
      </w:r>
      <w:r>
        <w:rPr>
          <w:rFonts w:ascii="Calibri" w:hAnsi="Calibri" w:cs="Calibri"/>
          <w:smallCaps/>
          <w:szCs w:val="22"/>
        </w:rPr>
        <w:t>TION</w:t>
      </w:r>
      <w:bookmarkEnd w:id="96"/>
      <w:bookmarkEnd w:id="97"/>
      <w:bookmarkEnd w:id="98"/>
      <w:bookmarkEnd w:id="99"/>
    </w:p>
    <w:p w14:paraId="6C167DFD" w14:textId="77777777" w:rsidR="00E1669C" w:rsidRDefault="00C758F9">
      <w:pPr>
        <w:pStyle w:val="Heading2"/>
      </w:pPr>
      <w:r>
        <w:t xml:space="preserve">This Agreement shall be governed by and construed in accordance with the laws of India, </w:t>
      </w:r>
      <w:r>
        <w:lastRenderedPageBreak/>
        <w:t>without reference to conflict of laws principles, and subject to this Clause 6, the courts at India shall have exclusive jurisdiction.</w:t>
      </w:r>
    </w:p>
    <w:p w14:paraId="35EC4853" w14:textId="77777777" w:rsidR="00E1669C" w:rsidRDefault="00C758F9">
      <w:pPr>
        <w:pStyle w:val="Heading2"/>
      </w:pPr>
      <w:r>
        <w:t>All disputes or claims arisi</w:t>
      </w:r>
      <w:r>
        <w:t>ng out of or in connection with or relating to this Agreement, including in relation to the breach or invalidity thereof, shall be submitted to final and binding arbitration before a sole arbitrator at the request of any 1 (one) or more of the Parties upon</w:t>
      </w:r>
      <w:r>
        <w:t xml:space="preserve"> written notice to the other Parties.</w:t>
      </w:r>
    </w:p>
    <w:p w14:paraId="449F63E8" w14:textId="77777777" w:rsidR="00E1669C" w:rsidRDefault="00C758F9">
      <w:pPr>
        <w:pStyle w:val="Heading2"/>
      </w:pPr>
      <w:r>
        <w:rPr>
          <w:szCs w:val="22"/>
        </w:rPr>
        <w:t>The arbitration shall be conducted in accordance with the Rules (“</w:t>
      </w:r>
      <w:r>
        <w:rPr>
          <w:b/>
          <w:bCs/>
          <w:szCs w:val="22"/>
        </w:rPr>
        <w:t>MCIA Rules</w:t>
      </w:r>
      <w:r>
        <w:rPr>
          <w:szCs w:val="22"/>
        </w:rPr>
        <w:t xml:space="preserve">”) of the </w:t>
      </w:r>
      <w:r>
        <w:rPr>
          <w:rFonts w:cs="Arial"/>
          <w:szCs w:val="22"/>
        </w:rPr>
        <w:t>Mumbai Centre for International Arbitration</w:t>
      </w:r>
      <w:r>
        <w:rPr>
          <w:szCs w:val="22"/>
        </w:rPr>
        <w:t xml:space="preserve"> (“</w:t>
      </w:r>
      <w:r>
        <w:rPr>
          <w:b/>
          <w:bCs/>
          <w:szCs w:val="22"/>
        </w:rPr>
        <w:t>MCIA</w:t>
      </w:r>
      <w:r>
        <w:rPr>
          <w:szCs w:val="22"/>
        </w:rPr>
        <w:t>”) in force at the relevant time (which is deemed to be incorporated into this Agr</w:t>
      </w:r>
      <w:r>
        <w:rPr>
          <w:szCs w:val="22"/>
        </w:rPr>
        <w:t>eement by reference)</w:t>
      </w:r>
      <w:r>
        <w:t>.</w:t>
      </w:r>
    </w:p>
    <w:p w14:paraId="31C88742" w14:textId="77777777" w:rsidR="00E1669C" w:rsidRDefault="00C758F9">
      <w:pPr>
        <w:pStyle w:val="Heading2"/>
      </w:pPr>
      <w:r>
        <w:rPr>
          <w:szCs w:val="22"/>
        </w:rPr>
        <w:t>All proceedings of such arbitration shall be conducted in the English language. The seat and venue of the arbitration shall be Mumbai, India, provided that, the arbitrator may hold hearings in such other locations as the arbitrator de</w:t>
      </w:r>
      <w:r>
        <w:rPr>
          <w:szCs w:val="22"/>
        </w:rPr>
        <w:t>termine to be most convenient and efficient for all the parties to such arbitration under the circumstances</w:t>
      </w:r>
      <w:r>
        <w:t>.</w:t>
      </w:r>
    </w:p>
    <w:p w14:paraId="74F9CFDB" w14:textId="77777777" w:rsidR="00E1669C" w:rsidRDefault="00C758F9">
      <w:pPr>
        <w:pStyle w:val="Heading2"/>
        <w:rPr>
          <w:szCs w:val="22"/>
        </w:rPr>
      </w:pPr>
      <w:r>
        <w:rPr>
          <w:szCs w:val="22"/>
        </w:rPr>
        <w:t>The Parties agree that the arbitration shall be kept confidential and that the existence of the proceeding and any element of it (including but not</w:t>
      </w:r>
      <w:r>
        <w:rPr>
          <w:szCs w:val="22"/>
        </w:rPr>
        <w:t xml:space="preserve"> limited to any pleadings, briefs or other documents submitted or exchanged, any testimony or other oral submissions, and any awards) shall not be disclosed beyond the arbitrator, the MCIA, the Parties, their counsel and any Person necessary to the conduct</w:t>
      </w:r>
      <w:r>
        <w:rPr>
          <w:szCs w:val="22"/>
        </w:rPr>
        <w:t xml:space="preserve"> of the proceeding, except as may be lawfully required in judicial proceedings relating to the arbitration or otherwise.</w:t>
      </w:r>
    </w:p>
    <w:p w14:paraId="2EA7FF71" w14:textId="77777777" w:rsidR="00E1669C" w:rsidRDefault="00C758F9">
      <w:pPr>
        <w:pStyle w:val="Heading2"/>
      </w:pPr>
      <w:r>
        <w:rPr>
          <w:szCs w:val="22"/>
        </w:rPr>
        <w:t>Notwithstanding anything contained in the MCIA Rules, in order to facilitate the comprehensive resolution of related disputes, and upon</w:t>
      </w:r>
      <w:r>
        <w:rPr>
          <w:szCs w:val="22"/>
        </w:rPr>
        <w:t xml:space="preserve"> request of any Party to the arbitration proceeding, the arbitrator may, within 90 (ninety) days of such request, consolidate the arbitration proceeding with any other arbitration proceeding involving the Parties. The arbitrator shall not consolidate such </w:t>
      </w:r>
      <w:r>
        <w:rPr>
          <w:szCs w:val="22"/>
        </w:rPr>
        <w:t>arbitrations unless it determines that: (a) there are issues of fact or law common to the proceedings, so that a consolidated proceeding would be more efficient than separate proceedings; and (b) no Party would be prejudiced as a result of such consolidati</w:t>
      </w:r>
      <w:r>
        <w:rPr>
          <w:szCs w:val="22"/>
        </w:rPr>
        <w:t>on through undue delay or otherwise.</w:t>
      </w:r>
    </w:p>
    <w:p w14:paraId="7DFF67B1" w14:textId="77777777" w:rsidR="00E1669C" w:rsidRDefault="00C758F9">
      <w:pPr>
        <w:pStyle w:val="Heading1"/>
        <w:widowControl/>
        <w:rPr>
          <w:rFonts w:ascii="Calibri" w:hAnsi="Calibri" w:cs="Calibri"/>
          <w:szCs w:val="22"/>
        </w:rPr>
      </w:pPr>
      <w:bookmarkStart w:id="100" w:name="_Ref491395391"/>
      <w:bookmarkStart w:id="101" w:name="_Toc503175535"/>
      <w:bookmarkStart w:id="102" w:name="_Toc503206738"/>
      <w:bookmarkStart w:id="103" w:name="_Ref491395370"/>
      <w:r>
        <w:rPr>
          <w:rFonts w:ascii="Calibri" w:hAnsi="Calibri" w:cs="Calibri"/>
          <w:szCs w:val="22"/>
        </w:rPr>
        <w:t>ANNOUNCEMENT AND Confidentiality</w:t>
      </w:r>
      <w:bookmarkEnd w:id="100"/>
      <w:bookmarkEnd w:id="101"/>
      <w:bookmarkEnd w:id="102"/>
      <w:bookmarkEnd w:id="103"/>
    </w:p>
    <w:p w14:paraId="4A39E2BE" w14:textId="77777777" w:rsidR="00E1669C" w:rsidRDefault="00C758F9">
      <w:pPr>
        <w:pStyle w:val="Heading2"/>
      </w:pPr>
      <w:bookmarkStart w:id="104" w:name="_Ref491395312"/>
      <w:r>
        <w:rPr>
          <w:rFonts w:cs="Calibri"/>
          <w:szCs w:val="22"/>
          <w:lang w:eastAsia="en-GB"/>
        </w:rPr>
        <w:t>Subject to the provisions of this Clause 7.1, before or after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14:paraId="29BC6D2A" w14:textId="77777777" w:rsidR="00E1669C" w:rsidRDefault="00C758F9">
      <w:pPr>
        <w:pStyle w:val="Heading2"/>
        <w:rPr>
          <w:rFonts w:cs="Calibri"/>
          <w:szCs w:val="22"/>
          <w:lang w:eastAsia="en-GB"/>
        </w:rPr>
      </w:pPr>
      <w:r>
        <w:rPr>
          <w:rFonts w:cs="Calibri"/>
          <w:szCs w:val="22"/>
          <w:lang w:eastAsia="en-GB"/>
        </w:rPr>
        <w:t>The contents of C</w:t>
      </w:r>
      <w:r>
        <w:rPr>
          <w:rFonts w:cs="Calibri"/>
          <w:szCs w:val="22"/>
          <w:lang w:eastAsia="en-GB"/>
        </w:rPr>
        <w:t>lause 7.1 shall not apply in respect of any Announcement, to the extent such information:</w:t>
      </w:r>
    </w:p>
    <w:p w14:paraId="3CB4AB71" w14:textId="77777777" w:rsidR="00E1669C" w:rsidRDefault="00C758F9">
      <w:pPr>
        <w:pStyle w:val="Heading3"/>
        <w:rPr>
          <w:rFonts w:cs="Calibri"/>
          <w:szCs w:val="22"/>
          <w:lang w:eastAsia="en-GB"/>
        </w:rPr>
      </w:pPr>
      <w:r>
        <w:rPr>
          <w:rFonts w:cs="Calibri"/>
          <w:szCs w:val="22"/>
          <w:lang w:eastAsia="en-GB"/>
        </w:rPr>
        <w:t xml:space="preserve">is acquired by the receiving Party from a third-party who is entitled to provide it; </w:t>
      </w:r>
    </w:p>
    <w:p w14:paraId="7A21D6F4" w14:textId="77777777" w:rsidR="00E1669C" w:rsidRDefault="00C758F9">
      <w:pPr>
        <w:pStyle w:val="Heading3"/>
      </w:pPr>
      <w:r>
        <w:rPr>
          <w:rFonts w:cs="Calibri"/>
          <w:szCs w:val="22"/>
          <w:lang w:eastAsia="en-GB"/>
        </w:rPr>
        <w:t>is or becomes public knowledge otherwise than by reason of breach of Clause 7 (</w:t>
      </w:r>
      <w:r>
        <w:rPr>
          <w:rFonts w:cs="Calibri"/>
          <w:i/>
          <w:szCs w:val="22"/>
          <w:lang w:eastAsia="en-GB"/>
        </w:rPr>
        <w:t>A</w:t>
      </w:r>
      <w:r>
        <w:rPr>
          <w:rFonts w:cs="Calibri"/>
          <w:i/>
          <w:szCs w:val="22"/>
          <w:lang w:eastAsia="en-GB"/>
        </w:rPr>
        <w:t>nnouncement and Confidentiality</w:t>
      </w:r>
      <w:r>
        <w:rPr>
          <w:rFonts w:cs="Calibri"/>
          <w:szCs w:val="22"/>
          <w:lang w:eastAsia="en-GB"/>
        </w:rPr>
        <w:t>);</w:t>
      </w:r>
    </w:p>
    <w:p w14:paraId="7F4044B9" w14:textId="77777777" w:rsidR="00E1669C" w:rsidRDefault="00C758F9">
      <w:pPr>
        <w:pStyle w:val="Heading3"/>
        <w:rPr>
          <w:rFonts w:cs="Calibri"/>
          <w:szCs w:val="22"/>
          <w:lang w:eastAsia="en-GB"/>
        </w:rPr>
      </w:pPr>
      <w:r>
        <w:rPr>
          <w:rFonts w:cs="Calibri"/>
          <w:szCs w:val="22"/>
          <w:lang w:eastAsia="en-GB"/>
        </w:rPr>
        <w:t xml:space="preserve">may be required to be disclosed by any Governmental Entity or any Applicable Law or regulation; </w:t>
      </w:r>
    </w:p>
    <w:p w14:paraId="5F997799" w14:textId="77777777" w:rsidR="00E1669C" w:rsidRDefault="00C758F9">
      <w:pPr>
        <w:pStyle w:val="Heading3"/>
        <w:rPr>
          <w:rFonts w:cs="Calibri"/>
          <w:szCs w:val="22"/>
          <w:lang w:eastAsia="en-GB"/>
        </w:rPr>
      </w:pPr>
      <w:r>
        <w:rPr>
          <w:rFonts w:cs="Calibri"/>
          <w:szCs w:val="22"/>
          <w:lang w:eastAsia="en-GB"/>
        </w:rPr>
        <w:t>may be required to be disclosed by the Buyer in relation to any potential Transfer of the Sale Shares; or</w:t>
      </w:r>
    </w:p>
    <w:p w14:paraId="1D8E154E" w14:textId="77777777" w:rsidR="00E1669C" w:rsidRDefault="00C758F9">
      <w:pPr>
        <w:pStyle w:val="Heading3"/>
        <w:rPr>
          <w:rFonts w:cs="Calibri"/>
          <w:szCs w:val="22"/>
          <w:lang w:eastAsia="en-GB"/>
        </w:rPr>
      </w:pPr>
      <w:r>
        <w:rPr>
          <w:rFonts w:cs="Calibri"/>
          <w:szCs w:val="22"/>
          <w:lang w:eastAsia="en-GB"/>
        </w:rPr>
        <w:lastRenderedPageBreak/>
        <w:t xml:space="preserve">is required to be </w:t>
      </w:r>
      <w:r>
        <w:rPr>
          <w:rFonts w:cs="Calibri"/>
          <w:szCs w:val="22"/>
          <w:lang w:eastAsia="en-GB"/>
        </w:rPr>
        <w:t>disclosed to any Governmental Entity in connection with the business of the Company or as is necessary in order to comply with any of the provisions of this Agreement;</w:t>
      </w:r>
    </w:p>
    <w:p w14:paraId="6ED41A50" w14:textId="77777777" w:rsidR="00E1669C" w:rsidRDefault="00C758F9">
      <w:pPr>
        <w:pStyle w:val="FWBL2"/>
        <w:widowControl w:val="0"/>
        <w:spacing w:before="120"/>
        <w:ind w:left="709"/>
        <w:rPr>
          <w:rFonts w:ascii="Calibri" w:hAnsi="Calibri" w:cs="Calibri"/>
          <w:sz w:val="22"/>
          <w:szCs w:val="22"/>
          <w:lang w:val="en-US"/>
        </w:rPr>
      </w:pPr>
      <w:r>
        <w:rPr>
          <w:rFonts w:ascii="Calibri" w:hAnsi="Calibri" w:cs="Calibri"/>
          <w:sz w:val="22"/>
          <w:szCs w:val="22"/>
          <w:lang w:val="en-US"/>
        </w:rPr>
        <w:t xml:space="preserve">provided that, any Announcement or other disclosure shall, so far as is practicable, be </w:t>
      </w:r>
      <w:r>
        <w:rPr>
          <w:rFonts w:ascii="Calibri" w:hAnsi="Calibri" w:cs="Calibri"/>
          <w:sz w:val="22"/>
          <w:szCs w:val="22"/>
          <w:lang w:val="en-US"/>
        </w:rPr>
        <w:t>made after consultation with the other Party and after taking into account such Party’s reasonable requirements regarding the content, timing and manner of dispatch of the Announcement in question.</w:t>
      </w:r>
    </w:p>
    <w:p w14:paraId="5A026C1E" w14:textId="77777777" w:rsidR="00E1669C" w:rsidRDefault="00C758F9">
      <w:pPr>
        <w:pStyle w:val="Heading1"/>
        <w:rPr>
          <w:rFonts w:ascii="Calibri" w:hAnsi="Calibri" w:cs="Calibri"/>
          <w:iCs/>
          <w:smallCaps/>
          <w:szCs w:val="22"/>
        </w:rPr>
      </w:pPr>
      <w:bookmarkStart w:id="105" w:name="_Ref433310961"/>
      <w:bookmarkStart w:id="106" w:name="_Toc433414209"/>
      <w:bookmarkStart w:id="107" w:name="_Toc503175536"/>
      <w:bookmarkStart w:id="108" w:name="_Toc503206739"/>
      <w:bookmarkStart w:id="109" w:name="_Toc432987132"/>
      <w:r>
        <w:rPr>
          <w:rFonts w:ascii="Calibri" w:hAnsi="Calibri" w:cs="Calibri"/>
          <w:iCs/>
          <w:smallCaps/>
          <w:szCs w:val="22"/>
        </w:rPr>
        <w:t>TERMINATION</w:t>
      </w:r>
      <w:bookmarkEnd w:id="105"/>
      <w:bookmarkEnd w:id="106"/>
      <w:bookmarkEnd w:id="107"/>
      <w:bookmarkEnd w:id="108"/>
      <w:bookmarkEnd w:id="109"/>
    </w:p>
    <w:p w14:paraId="29FA9AE2" w14:textId="77777777" w:rsidR="00E1669C" w:rsidRDefault="00C758F9">
      <w:pPr>
        <w:pStyle w:val="Heading2"/>
      </w:pPr>
      <w:bookmarkStart w:id="110" w:name="_Toc431911861"/>
      <w:bookmarkStart w:id="111" w:name="_Toc491421828"/>
      <w:bookmarkStart w:id="112" w:name="_Toc491421985"/>
      <w:bookmarkStart w:id="113" w:name="_Toc491393747"/>
      <w:bookmarkEnd w:id="110"/>
      <w:r>
        <w:rPr>
          <w:rFonts w:eastAsia="Times New Roman" w:cs="Calibri"/>
          <w:szCs w:val="22"/>
          <w:lang w:val="en-US"/>
        </w:rPr>
        <w:t>This Agreement may be mutually terminated in w</w:t>
      </w:r>
      <w:r>
        <w:rPr>
          <w:rFonts w:eastAsia="Times New Roman" w:cs="Calibri"/>
          <w:szCs w:val="22"/>
          <w:lang w:val="en-US"/>
        </w:rPr>
        <w:t>riting, at any time prior to the Completion Date, by the Buyer and the Seller.</w:t>
      </w:r>
      <w:bookmarkEnd w:id="111"/>
      <w:bookmarkEnd w:id="112"/>
      <w:bookmarkEnd w:id="113"/>
      <w:r>
        <w:rPr>
          <w:rFonts w:eastAsia="Times New Roman" w:cs="Calibri"/>
          <w:szCs w:val="22"/>
          <w:lang w:val="en-US"/>
        </w:rPr>
        <w:t xml:space="preserve"> </w:t>
      </w:r>
    </w:p>
    <w:p w14:paraId="0E149DBB" w14:textId="77777777" w:rsidR="00E1669C" w:rsidRDefault="00C758F9">
      <w:pPr>
        <w:pStyle w:val="Heading2"/>
        <w:rPr>
          <w:rFonts w:eastAsia="Times New Roman" w:cs="Calibri"/>
          <w:szCs w:val="22"/>
          <w:lang w:val="en-US"/>
        </w:rPr>
      </w:pPr>
      <w:bookmarkStart w:id="114" w:name="_Toc491393748"/>
      <w:bookmarkStart w:id="115" w:name="_Toc491421829"/>
      <w:bookmarkStart w:id="116" w:name="_Toc491421986"/>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14:paraId="47F3C94D" w14:textId="77777777" w:rsidR="00E1669C" w:rsidRDefault="00C758F9">
      <w:pPr>
        <w:pStyle w:val="Heading2"/>
        <w:rPr>
          <w:rFonts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w:t>
      </w:r>
      <w:r>
        <w:rPr>
          <w:rFonts w:eastAsia="Times New Roman" w:cs="Calibri"/>
          <w:szCs w:val="22"/>
          <w:lang w:val="en-US"/>
        </w:rPr>
        <w:t xml:space="preserve"> or for fraud.</w:t>
      </w:r>
    </w:p>
    <w:p w14:paraId="6E7E7BEA" w14:textId="77777777" w:rsidR="00E1669C" w:rsidRDefault="00C758F9">
      <w:pPr>
        <w:pStyle w:val="Heading2"/>
        <w:rPr>
          <w:rFonts w:cs="Calibri"/>
          <w:szCs w:val="22"/>
        </w:rPr>
      </w:pPr>
      <w:r>
        <w:rPr>
          <w:rFonts w:cs="Calibri"/>
          <w:szCs w:val="22"/>
        </w:rPr>
        <w:t xml:space="preserve">The Surviving Provisions shall survive the termination of this Agreement. </w:t>
      </w:r>
    </w:p>
    <w:p w14:paraId="0564C443" w14:textId="77777777" w:rsidR="00E1669C" w:rsidRDefault="00C758F9">
      <w:pPr>
        <w:pStyle w:val="Heading1"/>
        <w:rPr>
          <w:rFonts w:ascii="Calibri" w:hAnsi="Calibri" w:cs="Calibri"/>
          <w:smallCaps/>
          <w:szCs w:val="22"/>
        </w:rPr>
      </w:pPr>
      <w:bookmarkStart w:id="117" w:name="_Toc4913937481"/>
      <w:bookmarkStart w:id="118" w:name="_Toc4914218291"/>
      <w:bookmarkStart w:id="119" w:name="_Toc4914219861"/>
      <w:bookmarkStart w:id="120" w:name="_Toc4319118611"/>
      <w:bookmarkStart w:id="121" w:name="_Ref491395403"/>
      <w:bookmarkStart w:id="122" w:name="_Toc503175537"/>
      <w:bookmarkStart w:id="123" w:name="_Toc503206740"/>
      <w:bookmarkEnd w:id="117"/>
      <w:bookmarkEnd w:id="118"/>
      <w:bookmarkEnd w:id="119"/>
      <w:bookmarkEnd w:id="120"/>
      <w:r>
        <w:rPr>
          <w:rFonts w:ascii="Calibri" w:hAnsi="Calibri" w:cs="Calibri"/>
          <w:smallCaps/>
          <w:szCs w:val="22"/>
        </w:rPr>
        <w:t>MISCELLANEOUS</w:t>
      </w:r>
      <w:bookmarkEnd w:id="121"/>
      <w:bookmarkEnd w:id="122"/>
      <w:bookmarkEnd w:id="123"/>
    </w:p>
    <w:p w14:paraId="05C9E262" w14:textId="77777777" w:rsidR="00E1669C" w:rsidRDefault="00C758F9">
      <w:pPr>
        <w:pStyle w:val="Heading2"/>
        <w:rPr>
          <w:rFonts w:cs="Calibri"/>
          <w:b/>
          <w:color w:val="000000"/>
          <w:szCs w:val="22"/>
        </w:rPr>
      </w:pPr>
      <w:r>
        <w:rPr>
          <w:rFonts w:cs="Calibri"/>
          <w:b/>
          <w:color w:val="000000"/>
          <w:szCs w:val="22"/>
        </w:rPr>
        <w:t>Notices</w:t>
      </w:r>
    </w:p>
    <w:p w14:paraId="2CFE8B3E" w14:textId="77777777" w:rsidR="00E1669C" w:rsidRDefault="00C758F9">
      <w:pPr>
        <w:pStyle w:val="Heading3"/>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w:t>
      </w:r>
      <w:r>
        <w:rPr>
          <w:rFonts w:cs="Calibri"/>
          <w:color w:val="000000"/>
          <w:szCs w:val="22"/>
        </w:rPr>
        <w:t>telefax or email addressed to the intended recipient at its address set forth below, or to such other address or telex or telefax number or email as either Party may from time to time duly notify to the others:</w:t>
      </w:r>
    </w:p>
    <w:p w14:paraId="3C30817F" w14:textId="77777777" w:rsidR="00E1669C" w:rsidRDefault="00C758F9">
      <w:pPr>
        <w:pStyle w:val="Heading4"/>
        <w:spacing w:before="0" w:after="0"/>
      </w:pPr>
      <w:r>
        <w:rPr>
          <w:rFonts w:cs="Calibri"/>
          <w:szCs w:val="22"/>
        </w:rPr>
        <w:t xml:space="preserve">If to the </w:t>
      </w:r>
      <w:r>
        <w:rPr>
          <w:rFonts w:cs="Calibri"/>
          <w:b/>
          <w:szCs w:val="22"/>
        </w:rPr>
        <w:t>Seller</w:t>
      </w:r>
      <w:r>
        <w:rPr>
          <w:rFonts w:cs="Calibri"/>
          <w:szCs w:val="22"/>
        </w:rPr>
        <w:t>:</w:t>
      </w:r>
    </w:p>
    <w:p w14:paraId="2BE4B2EA" w14:textId="77777777" w:rsidR="00E1669C" w:rsidRDefault="00E1669C">
      <w:pPr>
        <w:pStyle w:val="Heading4"/>
        <w:numPr>
          <w:ilvl w:val="0"/>
          <w:numId w:val="0"/>
        </w:numPr>
        <w:spacing w:before="0" w:after="0"/>
        <w:ind w:left="2160"/>
        <w:rPr>
          <w:rFonts w:cs="Calibri"/>
          <w:szCs w:val="22"/>
        </w:rPr>
      </w:pPr>
    </w:p>
    <w:tbl>
      <w:tblPr>
        <w:tblW w:w="7579" w:type="dxa"/>
        <w:tblInd w:w="2153" w:type="dxa"/>
        <w:tblLayout w:type="fixed"/>
        <w:tblLook w:val="0000" w:firstRow="0" w:lastRow="0" w:firstColumn="0" w:lastColumn="0" w:noHBand="0" w:noVBand="0"/>
      </w:tblPr>
      <w:tblGrid>
        <w:gridCol w:w="1114"/>
        <w:gridCol w:w="288"/>
        <w:gridCol w:w="6177"/>
      </w:tblGrid>
      <w:tr w:rsidR="00E1669C" w14:paraId="20035C65" w14:textId="77777777">
        <w:tc>
          <w:tcPr>
            <w:tcW w:w="1114" w:type="dxa"/>
          </w:tcPr>
          <w:p w14:paraId="7FB0834F" w14:textId="77777777" w:rsidR="00E1669C" w:rsidRDefault="00C758F9">
            <w:pPr>
              <w:widowControl w:val="0"/>
              <w:tabs>
                <w:tab w:val="left" w:pos="2052"/>
              </w:tabs>
              <w:spacing w:after="0" w:line="240" w:lineRule="auto"/>
              <w:ind w:hanging="106"/>
              <w:jc w:val="both"/>
              <w:rPr>
                <w:bCs/>
                <w:color w:val="000000"/>
                <w:lang w:val="en-US" w:eastAsia="en-IN"/>
              </w:rPr>
            </w:pPr>
            <w:r>
              <w:rPr>
                <w:bCs/>
                <w:color w:val="000000"/>
                <w:lang w:val="en-US" w:eastAsia="en-IN"/>
              </w:rPr>
              <w:t>Address</w:t>
            </w:r>
          </w:p>
        </w:tc>
        <w:tc>
          <w:tcPr>
            <w:tcW w:w="288" w:type="dxa"/>
          </w:tcPr>
          <w:p w14:paraId="31AA78C4" w14:textId="77777777" w:rsidR="00E1669C" w:rsidRDefault="00E1669C">
            <w:pPr>
              <w:widowControl w:val="0"/>
              <w:spacing w:after="0" w:line="240" w:lineRule="auto"/>
              <w:jc w:val="both"/>
              <w:rPr>
                <w:rFonts w:cs="Calibri"/>
                <w:lang w:eastAsia="en-IN"/>
              </w:rPr>
            </w:pPr>
          </w:p>
        </w:tc>
        <w:tc>
          <w:tcPr>
            <w:tcW w:w="6177" w:type="dxa"/>
          </w:tcPr>
          <w:p w14:paraId="73E7D5D6" w14:textId="77777777" w:rsidR="00E1669C" w:rsidRDefault="00C758F9">
            <w:pPr>
              <w:widowControl w:val="0"/>
              <w:tabs>
                <w:tab w:val="left" w:pos="2052"/>
              </w:tabs>
              <w:spacing w:after="0" w:line="240" w:lineRule="auto"/>
              <w:jc w:val="both"/>
              <w:rPr>
                <w:lang w:eastAsia="en-IN"/>
              </w:rPr>
            </w:pPr>
            <w:r>
              <w:rPr>
                <w:bCs/>
                <w:color w:val="000000"/>
                <w:lang w:val="en-US" w:eastAsia="en-IN"/>
              </w:rPr>
              <w:t>: [SELLER_ADDRESS</w:t>
            </w:r>
            <w:r>
              <w:rPr>
                <w:bCs/>
                <w:color w:val="000000"/>
                <w:lang w:val="en-US" w:eastAsia="en-IN"/>
              </w:rPr>
              <w:t>]</w:t>
            </w:r>
          </w:p>
        </w:tc>
      </w:tr>
      <w:tr w:rsidR="00E1669C" w14:paraId="691FEA9B" w14:textId="77777777">
        <w:tc>
          <w:tcPr>
            <w:tcW w:w="1114" w:type="dxa"/>
          </w:tcPr>
          <w:p w14:paraId="3BFC46AA" w14:textId="77777777" w:rsidR="00E1669C" w:rsidRDefault="00C758F9">
            <w:pPr>
              <w:widowControl w:val="0"/>
              <w:tabs>
                <w:tab w:val="left" w:pos="2052"/>
              </w:tabs>
              <w:spacing w:after="0" w:line="240" w:lineRule="auto"/>
              <w:ind w:hanging="108"/>
              <w:jc w:val="both"/>
              <w:rPr>
                <w:bCs/>
                <w:color w:val="000000"/>
                <w:lang w:val="en-US" w:eastAsia="en-IN"/>
              </w:rPr>
            </w:pPr>
            <w:r>
              <w:rPr>
                <w:bCs/>
                <w:color w:val="000000"/>
                <w:lang w:val="en-US" w:eastAsia="en-IN"/>
              </w:rPr>
              <w:t>E-mail</w:t>
            </w:r>
          </w:p>
        </w:tc>
        <w:tc>
          <w:tcPr>
            <w:tcW w:w="288" w:type="dxa"/>
          </w:tcPr>
          <w:p w14:paraId="582FB588" w14:textId="77777777" w:rsidR="00E1669C" w:rsidRDefault="00E1669C">
            <w:pPr>
              <w:widowControl w:val="0"/>
              <w:spacing w:after="0" w:line="240" w:lineRule="auto"/>
              <w:jc w:val="both"/>
              <w:rPr>
                <w:rFonts w:cs="Calibri"/>
                <w:lang w:eastAsia="en-IN"/>
              </w:rPr>
            </w:pPr>
          </w:p>
        </w:tc>
        <w:tc>
          <w:tcPr>
            <w:tcW w:w="6177" w:type="dxa"/>
          </w:tcPr>
          <w:p w14:paraId="39541113" w14:textId="77777777" w:rsidR="00E1669C" w:rsidRDefault="00C758F9">
            <w:pPr>
              <w:widowControl w:val="0"/>
              <w:spacing w:after="0" w:line="240" w:lineRule="auto"/>
              <w:jc w:val="both"/>
              <w:rPr>
                <w:lang w:eastAsia="en-IN"/>
              </w:rPr>
            </w:pPr>
            <w:r>
              <w:rPr>
                <w:bCs/>
                <w:color w:val="000000"/>
                <w:lang w:val="en-US" w:eastAsia="en-IN"/>
              </w:rPr>
              <w:t>: [SELLER_EMAIL]</w:t>
            </w:r>
          </w:p>
        </w:tc>
      </w:tr>
      <w:tr w:rsidR="00E1669C" w14:paraId="2E396753" w14:textId="77777777">
        <w:tc>
          <w:tcPr>
            <w:tcW w:w="1114" w:type="dxa"/>
          </w:tcPr>
          <w:p w14:paraId="08781AF2" w14:textId="77777777" w:rsidR="00E1669C" w:rsidRDefault="00C758F9">
            <w:pPr>
              <w:widowControl w:val="0"/>
              <w:tabs>
                <w:tab w:val="left" w:pos="2052"/>
              </w:tabs>
              <w:spacing w:after="0" w:line="240" w:lineRule="auto"/>
              <w:ind w:hanging="108"/>
              <w:jc w:val="both"/>
              <w:rPr>
                <w:bCs/>
                <w:color w:val="000000"/>
                <w:lang w:val="en-US" w:eastAsia="en-IN"/>
              </w:rPr>
            </w:pPr>
            <w:r>
              <w:rPr>
                <w:bCs/>
                <w:color w:val="000000"/>
                <w:lang w:val="en-US" w:eastAsia="en-IN"/>
              </w:rPr>
              <w:t xml:space="preserve">Attention </w:t>
            </w:r>
          </w:p>
        </w:tc>
        <w:tc>
          <w:tcPr>
            <w:tcW w:w="288" w:type="dxa"/>
          </w:tcPr>
          <w:p w14:paraId="02AE7934" w14:textId="77777777" w:rsidR="00E1669C" w:rsidRDefault="00E1669C">
            <w:pPr>
              <w:widowControl w:val="0"/>
              <w:tabs>
                <w:tab w:val="left" w:pos="0"/>
              </w:tabs>
              <w:spacing w:after="0" w:line="240" w:lineRule="auto"/>
              <w:rPr>
                <w:rFonts w:cs="Calibri"/>
                <w:lang w:eastAsia="en-IN"/>
              </w:rPr>
            </w:pPr>
          </w:p>
        </w:tc>
        <w:tc>
          <w:tcPr>
            <w:tcW w:w="6177" w:type="dxa"/>
          </w:tcPr>
          <w:p w14:paraId="7A6C77B5" w14:textId="77777777" w:rsidR="00E1669C" w:rsidRDefault="00C758F9">
            <w:pPr>
              <w:widowControl w:val="0"/>
              <w:tabs>
                <w:tab w:val="left" w:pos="0"/>
              </w:tabs>
              <w:spacing w:after="0" w:line="240" w:lineRule="auto"/>
              <w:rPr>
                <w:lang w:eastAsia="en-IN"/>
              </w:rPr>
            </w:pPr>
            <w:r>
              <w:rPr>
                <w:bCs/>
                <w:color w:val="000000"/>
                <w:lang w:val="en-US" w:eastAsia="en-IN"/>
              </w:rPr>
              <w:t xml:space="preserve">: </w:t>
            </w:r>
            <w:r>
              <w:rPr>
                <w:bCs/>
                <w:color w:val="000000"/>
                <w:shd w:val="clear" w:color="auto" w:fill="FFFF00"/>
                <w:lang w:val="en-US" w:eastAsia="en-IN"/>
              </w:rPr>
              <w:t>[SELLER_NAME]</w:t>
            </w:r>
          </w:p>
        </w:tc>
      </w:tr>
    </w:tbl>
    <w:p w14:paraId="6B3D9C6A" w14:textId="77777777" w:rsidR="00E1669C" w:rsidRDefault="00C758F9">
      <w:pPr>
        <w:pStyle w:val="Heading4"/>
      </w:pPr>
      <w:r>
        <w:rPr>
          <w:rFonts w:cs="Calibri"/>
          <w:szCs w:val="22"/>
        </w:rPr>
        <w:t xml:space="preserve">If to the </w:t>
      </w:r>
      <w:r>
        <w:rPr>
          <w:rFonts w:cs="Calibri"/>
          <w:b/>
          <w:szCs w:val="22"/>
        </w:rPr>
        <w:t>Buyer</w:t>
      </w:r>
      <w:r>
        <w:rPr>
          <w:rFonts w:cs="Calibri"/>
          <w:szCs w:val="22"/>
        </w:rPr>
        <w:t xml:space="preserve">: </w:t>
      </w:r>
    </w:p>
    <w:tbl>
      <w:tblPr>
        <w:tblW w:w="7579" w:type="dxa"/>
        <w:tblInd w:w="2115" w:type="dxa"/>
        <w:tblLayout w:type="fixed"/>
        <w:tblLook w:val="0000" w:firstRow="0" w:lastRow="0" w:firstColumn="0" w:lastColumn="0" w:noHBand="0" w:noVBand="0"/>
      </w:tblPr>
      <w:tblGrid>
        <w:gridCol w:w="1183"/>
        <w:gridCol w:w="275"/>
        <w:gridCol w:w="6121"/>
      </w:tblGrid>
      <w:tr w:rsidR="00E1669C" w14:paraId="4EC026D1" w14:textId="77777777">
        <w:tc>
          <w:tcPr>
            <w:tcW w:w="1183" w:type="dxa"/>
          </w:tcPr>
          <w:p w14:paraId="35A6705D"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4D318251"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7F6131CB" w14:textId="77777777" w:rsidR="00E1669C" w:rsidRDefault="00C758F9">
            <w:pPr>
              <w:widowControl w:val="0"/>
              <w:spacing w:after="0" w:line="240" w:lineRule="auto"/>
              <w:jc w:val="both"/>
              <w:rPr>
                <w:lang w:eastAsia="en-IN"/>
              </w:rPr>
            </w:pPr>
            <w:r>
              <w:rPr>
                <w:lang w:eastAsia="en-IN"/>
              </w:rPr>
              <w:t>[BUYER_ADDRESS]</w:t>
            </w:r>
          </w:p>
        </w:tc>
      </w:tr>
      <w:tr w:rsidR="00E1669C" w14:paraId="614D4AFD" w14:textId="77777777">
        <w:tc>
          <w:tcPr>
            <w:tcW w:w="1183" w:type="dxa"/>
          </w:tcPr>
          <w:p w14:paraId="3C9DF352"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128C7100"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30D7C92B" w14:textId="77777777" w:rsidR="00E1669C" w:rsidRDefault="00C758F9">
            <w:pPr>
              <w:widowControl w:val="0"/>
              <w:spacing w:after="0" w:line="240" w:lineRule="auto"/>
              <w:jc w:val="both"/>
              <w:rPr>
                <w:lang w:eastAsia="en-IN"/>
              </w:rPr>
            </w:pPr>
            <w:r>
              <w:rPr>
                <w:lang w:eastAsia="en-IN"/>
              </w:rPr>
              <w:t>[BUYER_EMAIL]</w:t>
            </w:r>
          </w:p>
        </w:tc>
      </w:tr>
      <w:tr w:rsidR="00E1669C" w14:paraId="21B50F19" w14:textId="77777777">
        <w:tc>
          <w:tcPr>
            <w:tcW w:w="1183" w:type="dxa"/>
          </w:tcPr>
          <w:p w14:paraId="6D42B9FA"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33E5A581"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0C0B1F1B" w14:textId="77777777" w:rsidR="00E1669C" w:rsidRDefault="00C758F9">
            <w:pPr>
              <w:widowControl w:val="0"/>
              <w:spacing w:after="0" w:line="240" w:lineRule="auto"/>
              <w:jc w:val="both"/>
              <w:rPr>
                <w:rFonts w:cs="Calibri"/>
                <w:lang w:eastAsia="en-IN"/>
              </w:rPr>
            </w:pPr>
            <w:r>
              <w:rPr>
                <w:rFonts w:cs="Calibri"/>
                <w:lang w:eastAsia="en-IN"/>
              </w:rPr>
              <w:t>[BUYER_CONTACT]</w:t>
            </w:r>
          </w:p>
        </w:tc>
      </w:tr>
    </w:tbl>
    <w:p w14:paraId="3A110614" w14:textId="77777777" w:rsidR="00E1669C" w:rsidRDefault="00C758F9">
      <w:pPr>
        <w:pStyle w:val="Heading4"/>
      </w:pPr>
      <w:r>
        <w:t xml:space="preserve">If to the </w:t>
      </w:r>
      <w:r>
        <w:rPr>
          <w:b/>
        </w:rPr>
        <w:t>Company</w:t>
      </w:r>
      <w:r>
        <w:t xml:space="preserve">: </w:t>
      </w:r>
    </w:p>
    <w:tbl>
      <w:tblPr>
        <w:tblW w:w="7579" w:type="dxa"/>
        <w:tblInd w:w="2115" w:type="dxa"/>
        <w:tblLayout w:type="fixed"/>
        <w:tblLook w:val="0000" w:firstRow="0" w:lastRow="0" w:firstColumn="0" w:lastColumn="0" w:noHBand="0" w:noVBand="0"/>
      </w:tblPr>
      <w:tblGrid>
        <w:gridCol w:w="1183"/>
        <w:gridCol w:w="275"/>
        <w:gridCol w:w="6121"/>
      </w:tblGrid>
      <w:tr w:rsidR="00E1669C" w14:paraId="72895F96" w14:textId="77777777">
        <w:tc>
          <w:tcPr>
            <w:tcW w:w="1183" w:type="dxa"/>
          </w:tcPr>
          <w:p w14:paraId="3A22F87F"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6AA3E1B2"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2C166765"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r w:rsidR="00E1669C" w14:paraId="21905FC4" w14:textId="77777777">
        <w:tc>
          <w:tcPr>
            <w:tcW w:w="1183" w:type="dxa"/>
          </w:tcPr>
          <w:p w14:paraId="1B24EBCA"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7276663E"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433D4BC3"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r w:rsidR="00E1669C" w14:paraId="52E2291F" w14:textId="77777777">
        <w:tc>
          <w:tcPr>
            <w:tcW w:w="1183" w:type="dxa"/>
          </w:tcPr>
          <w:p w14:paraId="3AB6B992"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0EF9E7F0"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2443AA1F"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bl>
    <w:p w14:paraId="49507D80" w14:textId="77777777" w:rsidR="00E1669C" w:rsidRDefault="00E1669C">
      <w:pPr>
        <w:pStyle w:val="Heading3"/>
        <w:numPr>
          <w:ilvl w:val="0"/>
          <w:numId w:val="0"/>
        </w:numPr>
        <w:ind w:left="1440"/>
        <w:rPr>
          <w:rFonts w:cs="Calibri"/>
          <w:color w:val="000000"/>
          <w:szCs w:val="22"/>
        </w:rPr>
      </w:pPr>
    </w:p>
    <w:p w14:paraId="2FEB7F47" w14:textId="77777777" w:rsidR="00E1669C" w:rsidRDefault="00C758F9">
      <w:pPr>
        <w:pStyle w:val="Heading3"/>
        <w:rPr>
          <w:rFonts w:cs="Calibri"/>
          <w:color w:val="000000"/>
          <w:szCs w:val="22"/>
        </w:rPr>
      </w:pPr>
      <w:r>
        <w:rPr>
          <w:rFonts w:cs="Calibri"/>
          <w:color w:val="000000"/>
          <w:szCs w:val="22"/>
        </w:rPr>
        <w:t xml:space="preserve">All notices, demand or </w:t>
      </w:r>
      <w:r>
        <w:rPr>
          <w:rFonts w:cs="Calibri"/>
          <w:color w:val="000000"/>
          <w:szCs w:val="22"/>
        </w:rPr>
        <w:t xml:space="preserve">communication shall, unless the contrary is proved, be deemed </w:t>
      </w:r>
      <w:r>
        <w:rPr>
          <w:rFonts w:cs="Calibri"/>
          <w:color w:val="000000"/>
          <w:szCs w:val="22"/>
        </w:rPr>
        <w:lastRenderedPageBreak/>
        <w:t>to have been duly served at the time of delivery in the case of service by delivery in person or by post, and on receipt of transmission in the case of service by email.</w:t>
      </w:r>
    </w:p>
    <w:p w14:paraId="787E9038" w14:textId="77777777" w:rsidR="00E1669C" w:rsidRDefault="00C758F9">
      <w:pPr>
        <w:pStyle w:val="Heading2"/>
        <w:rPr>
          <w:rFonts w:cs="Calibri"/>
          <w:b/>
          <w:szCs w:val="22"/>
        </w:rPr>
      </w:pPr>
      <w:r>
        <w:rPr>
          <w:rFonts w:cs="Calibri"/>
          <w:b/>
          <w:szCs w:val="22"/>
        </w:rPr>
        <w:t>Further Assurances</w:t>
      </w:r>
    </w:p>
    <w:p w14:paraId="2A6FB4D9" w14:textId="77777777" w:rsidR="00E1669C" w:rsidRDefault="00C758F9">
      <w:pPr>
        <w:pStyle w:val="Heading3"/>
        <w:rPr>
          <w:rFonts w:cs="Calibri"/>
          <w:szCs w:val="22"/>
        </w:rPr>
      </w:pPr>
      <w:r>
        <w:rPr>
          <w:rFonts w:cs="Calibri"/>
          <w:szCs w:val="22"/>
        </w:rPr>
        <w:t>The P</w:t>
      </w:r>
      <w:r>
        <w:rPr>
          <w:rFonts w:cs="Calibri"/>
          <w:szCs w:val="22"/>
        </w:rPr>
        <w:t>arties shall cooperate fully and do all such acts and things and execute all documents as may be necessary and exercise all rights and powers available to them, so as to ensure the consummation of the Transaction and the carrying out of the full intent of,</w:t>
      </w:r>
      <w:r>
        <w:rPr>
          <w:rFonts w:cs="Calibri"/>
          <w:szCs w:val="22"/>
        </w:rPr>
        <w:t xml:space="preserve"> and to give full effect to this Agreement. </w:t>
      </w:r>
    </w:p>
    <w:p w14:paraId="1A79B017" w14:textId="77777777" w:rsidR="00E1669C" w:rsidRDefault="00C758F9">
      <w:pPr>
        <w:pStyle w:val="Heading3"/>
        <w:rPr>
          <w:rFonts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w:t>
      </w:r>
      <w:r>
        <w:rPr>
          <w:rFonts w:cs="Calibri"/>
          <w:szCs w:val="22"/>
        </w:rPr>
        <w:t>reement, the Seller shall promptly remit to the Buyer’s Bank Account, or shall cause to be remitted to the Buyer’s Bank Account, within 2 (two) Business Days from the date of receipt of such dividend or distribution, such amount or other distribution to th</w:t>
      </w:r>
      <w:r>
        <w:rPr>
          <w:rFonts w:cs="Calibri"/>
          <w:szCs w:val="22"/>
        </w:rPr>
        <w:t>e Buyer.</w:t>
      </w:r>
      <w:bookmarkStart w:id="124" w:name="_Toc488433092"/>
      <w:bookmarkEnd w:id="124"/>
    </w:p>
    <w:p w14:paraId="4965323B" w14:textId="77777777" w:rsidR="00E1669C" w:rsidRDefault="00C758F9">
      <w:pPr>
        <w:pStyle w:val="Heading2"/>
      </w:pPr>
      <w:bookmarkStart w:id="125" w:name="_Toc488433044"/>
      <w:bookmarkStart w:id="126" w:name="_Toc488433045"/>
      <w:bookmarkStart w:id="127" w:name="_Toc488433046"/>
      <w:bookmarkStart w:id="128" w:name="_Toc488433047"/>
      <w:bookmarkStart w:id="129" w:name="_Toc488433048"/>
      <w:bookmarkStart w:id="130" w:name="_Toc488433064"/>
      <w:bookmarkStart w:id="131" w:name="_Toc488433079"/>
      <w:bookmarkStart w:id="132" w:name="_Toc488433081"/>
      <w:bookmarkStart w:id="133" w:name="_Toc488433082"/>
      <w:bookmarkStart w:id="134" w:name="_Toc488433083"/>
      <w:bookmarkStart w:id="135" w:name="_Toc488433084"/>
      <w:bookmarkStart w:id="136" w:name="_Toc488433085"/>
      <w:bookmarkStart w:id="137" w:name="_Toc488433087"/>
      <w:bookmarkStart w:id="138" w:name="_Toc488433088"/>
      <w:bookmarkStart w:id="139" w:name="_Toc488433089"/>
      <w:bookmarkStart w:id="140" w:name="_Toc411945369"/>
      <w:bookmarkStart w:id="141" w:name="_Toc412552944"/>
      <w:bookmarkStart w:id="142" w:name="_Toc417478559"/>
      <w:bookmarkStart w:id="143" w:name="_Toc436742781"/>
      <w:bookmarkStart w:id="144" w:name="_Toc441073200"/>
      <w:bookmarkStart w:id="145" w:name="_Toc492962062"/>
      <w:bookmarkStart w:id="146" w:name="_Toc509910925"/>
      <w:bookmarkStart w:id="147" w:name="_Toc482699622"/>
      <w:bookmarkStart w:id="148" w:name="_Toc482699649"/>
      <w:bookmarkStart w:id="149" w:name="_Toc490073487"/>
      <w:bookmarkStart w:id="150" w:name="_Toc490395685"/>
      <w:bookmarkStart w:id="151" w:name="_Toc490837094"/>
      <w:bookmarkStart w:id="152" w:name="_Toc411870597"/>
      <w:bookmarkStart w:id="153" w:name="_Toc4119453681"/>
      <w:bookmarkStart w:id="154" w:name="_Toc4125529431"/>
      <w:bookmarkStart w:id="155" w:name="_Toc4174785581"/>
      <w:bookmarkStart w:id="156" w:name="_Toc4367427801"/>
      <w:bookmarkStart w:id="157" w:name="_Toc4410731991"/>
      <w:bookmarkStart w:id="158" w:name="_Toc4929620611"/>
      <w:bookmarkStart w:id="159" w:name="_Toc5099109241"/>
      <w:bookmarkStart w:id="160" w:name="_Ref5108414591"/>
      <w:bookmarkStart w:id="161" w:name="_Toc411870596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14:paraId="4A44CD09" w14:textId="77777777" w:rsidR="00E1669C" w:rsidRDefault="00C758F9">
      <w:pPr>
        <w:pStyle w:val="Heading2"/>
        <w:numPr>
          <w:ilvl w:val="0"/>
          <w:numId w:val="0"/>
        </w:numPr>
        <w:ind w:left="720"/>
      </w:pPr>
      <w:r>
        <w:rPr>
          <w:rFonts w:cs="Calibri"/>
          <w:szCs w:val="22"/>
        </w:rPr>
        <w:t xml:space="preserve">This Agreement may be executed in any number of counterparts, each of which when executed and delivered shall constitute a duplicate original, but all the counterparts shall together constitute 1 (one) agreement. Transmission of an executed counterpart of </w:t>
      </w:r>
      <w:r>
        <w:rPr>
          <w:rFonts w:cs="Calibri"/>
          <w:szCs w:val="22"/>
        </w:rPr>
        <w:t xml:space="preserve">this Agreement (and for the avoidance of doubt not just a signature page) or the executed signature page of a counterpart of this Agreement by </w:t>
      </w:r>
      <w:r>
        <w:rPr>
          <w:rFonts w:cs="Calibri"/>
          <w:color w:val="000000"/>
          <w:szCs w:val="22"/>
        </w:rPr>
        <w:t>email (</w:t>
      </w:r>
      <w:r>
        <w:rPr>
          <w:rFonts w:cs="Calibri"/>
          <w:szCs w:val="22"/>
        </w:rPr>
        <w:t>in “portable document format”, “joint photographic experts group” or other agreed format) shall be effecti</w:t>
      </w:r>
      <w:r>
        <w:rPr>
          <w:rFonts w:cs="Calibri"/>
          <w:szCs w:val="22"/>
        </w:rPr>
        <w:t>ve delivery of an executed counterpart of this Agreement.</w:t>
      </w:r>
    </w:p>
    <w:p w14:paraId="4C7AB6AC" w14:textId="77777777" w:rsidR="00E1669C" w:rsidRDefault="00C758F9">
      <w:pPr>
        <w:pStyle w:val="Heading2"/>
        <w:rPr>
          <w:rFonts w:cs="Calibri"/>
          <w:b/>
          <w:szCs w:val="22"/>
        </w:rPr>
      </w:pPr>
      <w:r>
        <w:rPr>
          <w:rFonts w:cs="Calibri"/>
          <w:b/>
          <w:szCs w:val="22"/>
        </w:rPr>
        <w:t>Severability</w:t>
      </w:r>
    </w:p>
    <w:p w14:paraId="1ABECD9D" w14:textId="77777777" w:rsidR="00E1669C" w:rsidRDefault="00C758F9">
      <w:pPr>
        <w:pStyle w:val="Heading2"/>
        <w:numPr>
          <w:ilvl w:val="0"/>
          <w:numId w:val="0"/>
        </w:numPr>
        <w:ind w:left="720"/>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 effect. The invalid, i</w:t>
      </w:r>
      <w:r>
        <w:rPr>
          <w:rFonts w:cs="Calibri"/>
          <w:szCs w:val="22"/>
        </w:rPr>
        <w:t>neffective or unenforceable provision will be deemed to be automatically amended and replaced without the necessity of further action by the Parties hereto by such form, substance, time, matter and jurisdiction as will be valid, effective and enforceable a</w:t>
      </w:r>
      <w:r>
        <w:rPr>
          <w:rFonts w:cs="Calibri"/>
          <w:szCs w:val="22"/>
        </w:rPr>
        <w:t>nd as will accomplish as far as possible the purpose and intent of the invalid, ineffective or unenforceable provision.</w:t>
      </w:r>
    </w:p>
    <w:p w14:paraId="24E2AD72" w14:textId="77777777" w:rsidR="00E1669C" w:rsidRDefault="00C758F9">
      <w:pPr>
        <w:pStyle w:val="Heading2"/>
        <w:rPr>
          <w:rFonts w:cs="Calibri"/>
          <w:b/>
          <w:szCs w:val="22"/>
        </w:rPr>
      </w:pPr>
      <w:r>
        <w:rPr>
          <w:rFonts w:cs="Calibri"/>
          <w:b/>
          <w:szCs w:val="22"/>
        </w:rPr>
        <w:t>Costs</w:t>
      </w:r>
    </w:p>
    <w:p w14:paraId="2724A4BD" w14:textId="77777777" w:rsidR="00E1669C" w:rsidRDefault="00C758F9">
      <w:pPr>
        <w:pStyle w:val="Heading2"/>
        <w:numPr>
          <w:ilvl w:val="0"/>
          <w:numId w:val="0"/>
        </w:numPr>
        <w:ind w:left="720"/>
      </w:pPr>
      <w:bookmarkStart w:id="162" w:name="_Toc411945372"/>
      <w:bookmarkStart w:id="163" w:name="_Toc412552947"/>
      <w:bookmarkStart w:id="164" w:name="_Toc417478562"/>
      <w:bookmarkStart w:id="165" w:name="_Toc436742784"/>
      <w:bookmarkStart w:id="166" w:name="_Toc441073203"/>
      <w:bookmarkStart w:id="167" w:name="_Toc492962065"/>
      <w:bookmarkStart w:id="168" w:name="_Toc509910928"/>
      <w:bookmarkStart w:id="169" w:name="_Toc411870601"/>
      <w:bookmarkStart w:id="170" w:name="_Toc4119453691"/>
      <w:bookmarkStart w:id="171" w:name="_Toc4125529441"/>
      <w:bookmarkStart w:id="172" w:name="_Toc4174785591"/>
      <w:bookmarkStart w:id="173" w:name="_Toc4367427811"/>
      <w:bookmarkStart w:id="174" w:name="_Toc4410732001"/>
      <w:bookmarkStart w:id="175" w:name="_Toc4929620621"/>
      <w:bookmarkStart w:id="176" w:name="_Toc5099109251"/>
      <w:bookmarkStart w:id="177" w:name="_Toc4826996221"/>
      <w:bookmarkStart w:id="178" w:name="_Toc4826996491"/>
      <w:bookmarkStart w:id="179" w:name="_Toc4900734871"/>
      <w:bookmarkStart w:id="180" w:name="_Toc4903956851"/>
      <w:bookmarkStart w:id="181" w:name="_Toc4908370941"/>
      <w:bookmarkStart w:id="182" w:name="_Toc4118705971"/>
      <w:bookmarkStart w:id="183" w:name="_Toc48269962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cs="Calibri"/>
          <w:szCs w:val="22"/>
        </w:rPr>
        <w:t xml:space="preserve">Except as expressly set forth hereunder, each Party shall pay its own costs and expenses relating to the negotiation, preparation </w:t>
      </w:r>
      <w:r>
        <w:rPr>
          <w:rFonts w:cs="Calibri"/>
          <w:szCs w:val="22"/>
        </w:rPr>
        <w:t>and execution of this Agreement and all other documents related to the Agreement. The stamp duty on this Agreement shall be borne equally by the Parties.</w:t>
      </w:r>
      <w:bookmarkEnd w:id="183"/>
      <w:r>
        <w:rPr>
          <w:rFonts w:cs="Calibri"/>
          <w:szCs w:val="22"/>
        </w:rPr>
        <w:t xml:space="preserve"> </w:t>
      </w:r>
    </w:p>
    <w:p w14:paraId="43D0B496" w14:textId="77777777" w:rsidR="00E1669C" w:rsidRDefault="00C758F9">
      <w:pPr>
        <w:pStyle w:val="Heading2"/>
      </w:pPr>
      <w:r>
        <w:rPr>
          <w:rFonts w:cs="Calibri"/>
          <w:b/>
          <w:szCs w:val="22"/>
        </w:rPr>
        <w:t>Amendment</w:t>
      </w:r>
      <w:r>
        <w:rPr>
          <w:rFonts w:cs="Calibri"/>
          <w:szCs w:val="22"/>
        </w:rPr>
        <w:t xml:space="preserve"> </w:t>
      </w:r>
    </w:p>
    <w:p w14:paraId="38ACB4BC" w14:textId="77777777" w:rsidR="00E1669C" w:rsidRDefault="00C758F9">
      <w:pPr>
        <w:pStyle w:val="Heading2"/>
        <w:numPr>
          <w:ilvl w:val="0"/>
          <w:numId w:val="0"/>
        </w:numPr>
        <w:ind w:left="720"/>
        <w:rPr>
          <w:rFonts w:cs="Calibri"/>
          <w:szCs w:val="22"/>
        </w:rPr>
      </w:pPr>
      <w:r>
        <w:rPr>
          <w:rFonts w:cs="Calibri"/>
          <w:szCs w:val="22"/>
        </w:rPr>
        <w:t xml:space="preserve">This Agreement may not be amended, modified, waived or supplemented except by a </w:t>
      </w:r>
      <w:r>
        <w:rPr>
          <w:rFonts w:cs="Calibri"/>
          <w:szCs w:val="22"/>
        </w:rPr>
        <w:t>written instrument executed by both the Parties.</w:t>
      </w:r>
    </w:p>
    <w:p w14:paraId="549E6CC2" w14:textId="77777777" w:rsidR="00E1669C" w:rsidRDefault="00C758F9">
      <w:pPr>
        <w:pStyle w:val="Heading2"/>
      </w:pPr>
      <w:r>
        <w:rPr>
          <w:rFonts w:cs="Calibri"/>
          <w:b/>
          <w:szCs w:val="22"/>
        </w:rPr>
        <w:t>Assignment</w:t>
      </w:r>
      <w:r>
        <w:rPr>
          <w:rFonts w:cs="Calibri"/>
          <w:szCs w:val="22"/>
        </w:rPr>
        <w:t xml:space="preserve"> </w:t>
      </w:r>
    </w:p>
    <w:p w14:paraId="5CBF2DDC" w14:textId="77777777" w:rsidR="00E1669C" w:rsidRDefault="00C758F9">
      <w:pPr>
        <w:pStyle w:val="Heading2"/>
        <w:numPr>
          <w:ilvl w:val="0"/>
          <w:numId w:val="0"/>
        </w:numPr>
        <w:ind w:left="720"/>
        <w:rPr>
          <w:rFonts w:cs="Calibri"/>
          <w:szCs w:val="22"/>
        </w:rPr>
      </w:pPr>
      <w:r>
        <w:rPr>
          <w:rFonts w:cs="Calibri"/>
          <w:szCs w:val="22"/>
        </w:rPr>
        <w:t>No Party shall be entitled to assign their rights, liabilities and obligations under this Agreement in any manner without the prior written consent of the other Party; provided that the Buyer sha</w:t>
      </w:r>
      <w:r>
        <w:rPr>
          <w:rFonts w:cs="Calibri"/>
          <w:szCs w:val="22"/>
        </w:rPr>
        <w:t xml:space="preserve">ll be entitled to assign its rights and obligations under this Agreement to 1 (one) or more </w:t>
      </w:r>
      <w:r>
        <w:rPr>
          <w:rFonts w:cs="Calibri"/>
          <w:szCs w:val="22"/>
        </w:rPr>
        <w:lastRenderedPageBreak/>
        <w:t xml:space="preserve">Affiliates or a third party purchasing all or part of the Sale Shares. </w:t>
      </w:r>
    </w:p>
    <w:p w14:paraId="2D4F3387" w14:textId="77777777" w:rsidR="00E1669C" w:rsidRDefault="00C758F9">
      <w:pPr>
        <w:pStyle w:val="Heading2"/>
        <w:rPr>
          <w:rFonts w:cs="Calibri"/>
          <w:b/>
          <w:szCs w:val="22"/>
        </w:rPr>
      </w:pPr>
      <w:r>
        <w:rPr>
          <w:rFonts w:cs="Calibri"/>
          <w:b/>
          <w:szCs w:val="22"/>
        </w:rPr>
        <w:t>No Partnership or agency</w:t>
      </w:r>
    </w:p>
    <w:p w14:paraId="52789D61" w14:textId="77777777" w:rsidR="00E1669C" w:rsidRDefault="00C758F9">
      <w:pPr>
        <w:pStyle w:val="Heading2"/>
        <w:numPr>
          <w:ilvl w:val="0"/>
          <w:numId w:val="0"/>
        </w:numPr>
        <w:ind w:left="720"/>
        <w:rPr>
          <w:rFonts w:cs="Calibri"/>
          <w:szCs w:val="22"/>
        </w:rPr>
      </w:pPr>
      <w:bookmarkStart w:id="184" w:name="_Toc509910929"/>
      <w:bookmarkStart w:id="185" w:name="_Toc385249198"/>
      <w:bookmarkStart w:id="186" w:name="_Toc482699628"/>
      <w:bookmarkStart w:id="187" w:name="_Toc482699654"/>
      <w:bookmarkStart w:id="188" w:name="_Toc492962066"/>
      <w:bookmarkStart w:id="189" w:name="_Toc4119453721"/>
      <w:bookmarkStart w:id="190" w:name="_Toc4125529471"/>
      <w:bookmarkStart w:id="191" w:name="_Toc4174785621"/>
      <w:bookmarkStart w:id="192" w:name="_Toc4367427841"/>
      <w:bookmarkStart w:id="193" w:name="_Toc4410732031"/>
      <w:bookmarkStart w:id="194" w:name="_Toc4929620651"/>
      <w:bookmarkStart w:id="195" w:name="_Toc5099109281"/>
      <w:bookmarkStart w:id="196" w:name="_Toc4118706011"/>
      <w:bookmarkStart w:id="197" w:name="_Toc200532647"/>
      <w:bookmarkStart w:id="198" w:name="_Toc205025107"/>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Calibri"/>
          <w:szCs w:val="22"/>
        </w:rPr>
        <w:t>No Party shall act as an agent of the other Party or have any autho</w:t>
      </w:r>
      <w:r>
        <w:rPr>
          <w:rFonts w:cs="Calibri"/>
          <w:szCs w:val="22"/>
        </w:rPr>
        <w:t xml:space="preserve">rity to act for or to bind the other Party. </w:t>
      </w:r>
      <w:bookmarkEnd w:id="197"/>
      <w:bookmarkEnd w:id="198"/>
    </w:p>
    <w:p w14:paraId="783A7C2F" w14:textId="77777777" w:rsidR="00E1669C" w:rsidRDefault="00C758F9">
      <w:pPr>
        <w:pStyle w:val="Heading2"/>
        <w:rPr>
          <w:rFonts w:cs="Calibri"/>
          <w:b/>
          <w:szCs w:val="22"/>
        </w:rPr>
      </w:pPr>
      <w:bookmarkStart w:id="199" w:name="_Toc411945373"/>
      <w:bookmarkStart w:id="200" w:name="_Toc412552948"/>
      <w:bookmarkStart w:id="201" w:name="_Toc417478563"/>
      <w:bookmarkStart w:id="202" w:name="_Toc436742785"/>
      <w:bookmarkStart w:id="203" w:name="_Toc441073204"/>
      <w:bookmarkStart w:id="204" w:name="_Toc492962067"/>
      <w:bookmarkStart w:id="205" w:name="_Toc509910930"/>
      <w:bookmarkStart w:id="206" w:name="_Toc482699629"/>
      <w:bookmarkStart w:id="207" w:name="_Toc482699655"/>
      <w:bookmarkStart w:id="208" w:name="_Toc490073495"/>
      <w:bookmarkStart w:id="209" w:name="_Toc490395693"/>
      <w:bookmarkStart w:id="210" w:name="_Toc490837102"/>
      <w:bookmarkStart w:id="211" w:name="_Toc411870603"/>
      <w:bookmarkStart w:id="212" w:name="_Toc5099109291"/>
      <w:bookmarkStart w:id="213" w:name="_Toc3852491981"/>
      <w:bookmarkStart w:id="214" w:name="_Toc4826996281"/>
      <w:bookmarkStart w:id="215" w:name="_Toc4826996541"/>
      <w:bookmarkStart w:id="216" w:name="_Toc492962066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14:paraId="76BB1121" w14:textId="77777777" w:rsidR="00E1669C" w:rsidRDefault="00C758F9">
      <w:pPr>
        <w:pStyle w:val="Heading2"/>
        <w:numPr>
          <w:ilvl w:val="0"/>
          <w:numId w:val="0"/>
        </w:numPr>
        <w:ind w:left="720"/>
        <w:rPr>
          <w:rFonts w:cs="Calibri"/>
          <w:szCs w:val="22"/>
        </w:rPr>
      </w:pPr>
      <w:r>
        <w:rPr>
          <w:rFonts w:cs="Calibri"/>
          <w:szCs w:val="22"/>
        </w:rPr>
        <w:t>No delay or omission on the part of either Party in exercising any right, power or remedy provided by Applicable Law or under this Agreement or any other documents referred to in it will impair such right</w:t>
      </w:r>
      <w:r>
        <w:rPr>
          <w:rFonts w:cs="Calibri"/>
          <w:szCs w:val="22"/>
        </w:rPr>
        <w:t>, power or remedy or operate as a waiver thereof. The single or partial exercise of any right, power or remedy provided by Applicable Law or under this Agreement will not preclude any other right or further exercise thereof or the exercise of any other rig</w:t>
      </w:r>
      <w:r>
        <w:rPr>
          <w:rFonts w:cs="Calibri"/>
          <w:szCs w:val="22"/>
        </w:rPr>
        <w:t>ht, power or remedy except where expressly stated therein.</w:t>
      </w:r>
    </w:p>
    <w:p w14:paraId="018D1B26" w14:textId="77777777" w:rsidR="00E1669C" w:rsidRDefault="00C758F9">
      <w:pPr>
        <w:pStyle w:val="Heading2"/>
        <w:rPr>
          <w:rFonts w:cs="Calibri"/>
          <w:b/>
          <w:szCs w:val="22"/>
        </w:rPr>
      </w:pPr>
      <w:bookmarkStart w:id="217" w:name="_Toc488433113"/>
      <w:bookmarkStart w:id="218" w:name="_Toc488433114"/>
      <w:bookmarkStart w:id="219" w:name="_Toc4119453731"/>
      <w:bookmarkStart w:id="220" w:name="_Toc4125529481"/>
      <w:bookmarkStart w:id="221" w:name="_Toc4174785631"/>
      <w:bookmarkStart w:id="222" w:name="_Toc4367427851"/>
      <w:bookmarkStart w:id="223" w:name="_Toc4410732041"/>
      <w:bookmarkStart w:id="224" w:name="_Toc4929620671"/>
      <w:bookmarkStart w:id="225" w:name="_Toc5099109301"/>
      <w:bookmarkStart w:id="226" w:name="_Toc4826996291"/>
      <w:bookmarkStart w:id="227" w:name="_Toc4826996551"/>
      <w:bookmarkStart w:id="228" w:name="_Toc4900734951"/>
      <w:bookmarkStart w:id="229" w:name="_Toc4903956931"/>
      <w:bookmarkStart w:id="230" w:name="_Toc4908371021"/>
      <w:bookmarkStart w:id="231" w:name="_Toc4118706031"/>
      <w:bookmarkStart w:id="232" w:name="_Toc490073501"/>
      <w:bookmarkStart w:id="233" w:name="_Toc490395699"/>
      <w:bookmarkStart w:id="234" w:name="_Toc49083710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cs="Calibri"/>
          <w:b/>
          <w:szCs w:val="22"/>
        </w:rPr>
        <w:t>Entire Agreement</w:t>
      </w:r>
      <w:bookmarkEnd w:id="232"/>
      <w:bookmarkEnd w:id="233"/>
      <w:bookmarkEnd w:id="234"/>
    </w:p>
    <w:p w14:paraId="1D573389" w14:textId="77777777" w:rsidR="00E1669C" w:rsidRDefault="00C758F9">
      <w:pPr>
        <w:pStyle w:val="Heading2"/>
        <w:numPr>
          <w:ilvl w:val="0"/>
          <w:numId w:val="0"/>
        </w:numPr>
        <w:ind w:left="720"/>
        <w:rPr>
          <w:rFonts w:cs="Calibri"/>
          <w:szCs w:val="22"/>
        </w:rPr>
      </w:pPr>
      <w:r>
        <w:rPr>
          <w:rFonts w:cs="Calibri"/>
          <w:szCs w:val="22"/>
        </w:rPr>
        <w:t>This Agreement and any other documents delivered pursuant to the terms of this Agreement, sets forth the entire agreement and understanding of the Parties with respect to the subje</w:t>
      </w:r>
      <w:r>
        <w:rPr>
          <w:rFonts w:cs="Calibri"/>
          <w:szCs w:val="22"/>
        </w:rPr>
        <w:t>ct matter of this Agreement and supersede all prior arrangements, agreements, promises, covenants, communications, representations or warranties, whether oral or written, with respect to the subject matter hereof.</w:t>
      </w:r>
    </w:p>
    <w:p w14:paraId="3560C120" w14:textId="77777777" w:rsidR="00E1669C" w:rsidRDefault="00C758F9">
      <w:pPr>
        <w:pStyle w:val="Heading2"/>
        <w:rPr>
          <w:rFonts w:cs="Calibri"/>
          <w:b/>
          <w:szCs w:val="22"/>
        </w:rPr>
      </w:pPr>
      <w:bookmarkStart w:id="235" w:name="_Toc490837111"/>
      <w:bookmarkStart w:id="236" w:name="_Toc490395702"/>
      <w:bookmarkStart w:id="237" w:name="_Toc200532648"/>
      <w:bookmarkEnd w:id="235"/>
      <w:bookmarkEnd w:id="236"/>
      <w:r>
        <w:rPr>
          <w:rFonts w:cs="Calibri"/>
          <w:b/>
          <w:szCs w:val="22"/>
        </w:rPr>
        <w:t>Independent Rights</w:t>
      </w:r>
      <w:bookmarkEnd w:id="237"/>
    </w:p>
    <w:p w14:paraId="5BDDAA00" w14:textId="77777777" w:rsidR="00E1669C" w:rsidRDefault="00C758F9">
      <w:pPr>
        <w:pStyle w:val="Heading2"/>
        <w:numPr>
          <w:ilvl w:val="0"/>
          <w:numId w:val="0"/>
        </w:numPr>
        <w:ind w:left="720"/>
        <w:rPr>
          <w:rFonts w:cs="Calibri"/>
          <w:szCs w:val="22"/>
        </w:rPr>
      </w:pPr>
      <w:bookmarkStart w:id="238" w:name="_Toc205025110"/>
      <w:bookmarkStart w:id="239" w:name="_Toc200532650"/>
      <w:r>
        <w:rPr>
          <w:rFonts w:cs="Calibri"/>
          <w:szCs w:val="22"/>
        </w:rPr>
        <w:t>Unless otherwise agreed</w:t>
      </w:r>
      <w:r>
        <w:rPr>
          <w:rFonts w:cs="Calibri"/>
          <w:szCs w:val="22"/>
        </w:rPr>
        <w:t xml:space="preserve"> in this Agreement, each of the rights of the Parties hereto under this Agreement are independent, cumulative and without prejudice to all other rights, powers, privileges or remedies available to them under this Agreement, under law or in equity. Provided</w:t>
      </w:r>
      <w:r>
        <w:rPr>
          <w:rFonts w:cs="Calibri"/>
          <w:szCs w:val="22"/>
        </w:rPr>
        <w:t xml:space="preserve"> that where different rights are created as a result of or on account of a single cause of action, where a Party has achieved a remedy by pursuing 1 (one) course of action, such Party shall not be entitled to pursue other courses of action to seek further </w:t>
      </w:r>
      <w:r>
        <w:rPr>
          <w:rFonts w:cs="Calibri"/>
          <w:szCs w:val="22"/>
        </w:rPr>
        <w:t>remedies for the same cause of action.</w:t>
      </w:r>
      <w:bookmarkEnd w:id="238"/>
      <w:bookmarkEnd w:id="239"/>
    </w:p>
    <w:p w14:paraId="61CF9B20" w14:textId="77777777" w:rsidR="00E1669C" w:rsidRDefault="00E1669C"/>
    <w:p w14:paraId="747F09F7" w14:textId="77777777" w:rsidR="00E1669C" w:rsidRDefault="00C758F9">
      <w:pPr>
        <w:spacing w:before="120" w:after="240"/>
        <w:jc w:val="center"/>
      </w:pPr>
      <w:r>
        <w:rPr>
          <w:rFonts w:cs="Calibri"/>
        </w:rPr>
        <w:t>[</w:t>
      </w:r>
      <w:r>
        <w:rPr>
          <w:rFonts w:cs="Calibri"/>
          <w:b/>
        </w:rPr>
        <w:t>SIGNATURE PAGES FOLLOW</w:t>
      </w:r>
      <w:r>
        <w:rPr>
          <w:rFonts w:cs="Calibri"/>
        </w:rPr>
        <w:t>]</w:t>
      </w:r>
      <w:r>
        <w:br w:type="page"/>
      </w:r>
    </w:p>
    <w:p w14:paraId="48AE45C9" w14:textId="77777777" w:rsidR="00E1669C" w:rsidRDefault="00C758F9">
      <w:pPr>
        <w:spacing w:before="120" w:after="240"/>
        <w:jc w:val="both"/>
        <w:rPr>
          <w:rFonts w:cs="Calibri"/>
          <w:b/>
          <w:lang w:eastAsia="en-IN"/>
        </w:rPr>
      </w:pPr>
      <w:bookmarkStart w:id="240" w:name="_DV_M295"/>
      <w:bookmarkStart w:id="241" w:name="_Toc4908371111"/>
      <w:bookmarkStart w:id="242" w:name="_Toc4903957021"/>
      <w:bookmarkEnd w:id="240"/>
      <w:bookmarkEnd w:id="241"/>
      <w:bookmarkEnd w:id="242"/>
      <w:r>
        <w:rPr>
          <w:rFonts w:cs="Calibri"/>
          <w:b/>
          <w:lang w:eastAsia="en-IN"/>
        </w:rPr>
        <w:lastRenderedPageBreak/>
        <w:t xml:space="preserve">IN WITNESS WHEREOF, THE PARTIES HERETO HAVE CAUSED THIS AGREEMENT TO BE DULY EXECUTED AND DELIVERED BY THEIR DULY AUTHORISED REPRESENTATIVES AS OF THE DAY AND YEAR HEREINABOVE WRITTEN </w:t>
      </w:r>
    </w:p>
    <w:tbl>
      <w:tblPr>
        <w:tblW w:w="9026" w:type="dxa"/>
        <w:tblLayout w:type="fixed"/>
        <w:tblLook w:val="0000" w:firstRow="0" w:lastRow="0" w:firstColumn="0" w:lastColumn="0" w:noHBand="0" w:noVBand="0"/>
      </w:tblPr>
      <w:tblGrid>
        <w:gridCol w:w="3984"/>
        <w:gridCol w:w="705"/>
        <w:gridCol w:w="4337"/>
      </w:tblGrid>
      <w:tr w:rsidR="00E1669C" w14:paraId="105DBD08" w14:textId="77777777">
        <w:tc>
          <w:tcPr>
            <w:tcW w:w="3984" w:type="dxa"/>
          </w:tcPr>
          <w:p w14:paraId="60B81000"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Signe</w:t>
            </w:r>
            <w:r>
              <w:rPr>
                <w:rFonts w:eastAsia="Times New Roman" w:cs="Calibri"/>
                <w:lang w:eastAsia="en-IN"/>
              </w:rPr>
              <w:t xml:space="preserve">d and delivered by </w:t>
            </w:r>
          </w:p>
          <w:p w14:paraId="104AC3FE" w14:textId="77777777" w:rsidR="00E1669C" w:rsidRDefault="00C758F9">
            <w:pPr>
              <w:widowControl w:val="0"/>
              <w:spacing w:before="120" w:after="720" w:line="240" w:lineRule="auto"/>
              <w:rPr>
                <w:rFonts w:eastAsia="Times New Roman" w:cs="Calibri"/>
                <w:b/>
                <w:lang w:eastAsia="en-IN"/>
              </w:rPr>
            </w:pPr>
            <w:r>
              <w:rPr>
                <w:rFonts w:eastAsia="Times New Roman" w:cs="Calibri"/>
                <w:b/>
                <w:lang w:eastAsia="en-IN"/>
              </w:rPr>
              <w:t>[SELLER_NAME]</w:t>
            </w:r>
          </w:p>
          <w:p w14:paraId="1F4DA1A5" w14:textId="77777777" w:rsidR="00E1669C" w:rsidRDefault="00E1669C">
            <w:pPr>
              <w:widowControl w:val="0"/>
              <w:spacing w:before="120" w:after="720" w:line="240" w:lineRule="auto"/>
              <w:rPr>
                <w:rFonts w:eastAsia="Times New Roman" w:cs="Calibri"/>
                <w:b/>
                <w:lang w:eastAsia="en-IN"/>
              </w:rPr>
            </w:pPr>
          </w:p>
          <w:p w14:paraId="003EFD87"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4B713A0A" wp14:editId="51CC7895">
                      <wp:extent cx="635" cy="19050"/>
                      <wp:effectExtent l="0" t="0" r="0" b="152400"/>
                      <wp:docPr id="1" name="Shape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0B90DB92"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 xml:space="preserve"> </w:t>
            </w:r>
          </w:p>
          <w:p w14:paraId="4F441401" w14:textId="77777777" w:rsidR="00E1669C" w:rsidRDefault="00E1669C">
            <w:pPr>
              <w:widowControl w:val="0"/>
              <w:spacing w:before="120" w:after="240" w:line="240" w:lineRule="auto"/>
              <w:rPr>
                <w:rFonts w:eastAsia="Times New Roman" w:cs="Calibri"/>
                <w:lang w:eastAsia="en-IN"/>
              </w:rPr>
            </w:pPr>
          </w:p>
        </w:tc>
        <w:tc>
          <w:tcPr>
            <w:tcW w:w="705" w:type="dxa"/>
          </w:tcPr>
          <w:p w14:paraId="01C059C7" w14:textId="77777777" w:rsidR="00E1669C" w:rsidRDefault="00E1669C">
            <w:pPr>
              <w:widowControl w:val="0"/>
              <w:spacing w:before="120" w:after="120" w:line="240" w:lineRule="auto"/>
              <w:rPr>
                <w:rFonts w:eastAsia="Times New Roman" w:cs="Calibri"/>
                <w:lang w:eastAsia="en-IN"/>
              </w:rPr>
            </w:pPr>
          </w:p>
        </w:tc>
        <w:tc>
          <w:tcPr>
            <w:tcW w:w="4337" w:type="dxa"/>
          </w:tcPr>
          <w:p w14:paraId="4B40CF4E" w14:textId="77777777" w:rsidR="00E1669C" w:rsidRDefault="00C758F9">
            <w:pPr>
              <w:widowControl w:val="0"/>
              <w:spacing w:before="120" w:after="120" w:line="240" w:lineRule="auto"/>
              <w:rPr>
                <w:rFonts w:eastAsia="Times New Roman" w:cs="Calibri"/>
                <w:lang w:eastAsia="en-IN"/>
              </w:rPr>
            </w:pPr>
            <w:r>
              <w:rPr>
                <w:rFonts w:eastAsia="Times New Roman" w:cs="Calibri"/>
                <w:noProof/>
                <w:lang w:eastAsia="en-IN"/>
              </w:rPr>
              <w:drawing>
                <wp:anchor distT="0" distB="0" distL="0" distR="0" simplePos="0" relativeHeight="5" behindDoc="0" locked="0" layoutInCell="1" allowOverlap="1" wp14:anchorId="2C3ADC00" wp14:editId="6916A6BE">
                  <wp:simplePos x="0" y="0"/>
                  <wp:positionH relativeFrom="column">
                    <wp:align>center</wp:align>
                  </wp:positionH>
                  <wp:positionV relativeFrom="paragraph">
                    <wp:posOffset>635</wp:posOffset>
                  </wp:positionV>
                  <wp:extent cx="2616835" cy="2616835"/>
                  <wp:effectExtent l="0" t="0" r="0" b="0"/>
                  <wp:wrapSquare wrapText="largest"/>
                  <wp:docPr id="2" name="sell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pic:cNvPicPr>
                            <a:picLocks noChangeAspect="1" noChangeArrowheads="1"/>
                          </pic:cNvPicPr>
                        </pic:nvPicPr>
                        <pic:blipFill>
                          <a:blip r:embed="rId5"/>
                          <a:stretch>
                            <a:fillRect/>
                          </a:stretch>
                        </pic:blipFill>
                        <pic:spPr bwMode="auto">
                          <a:xfrm>
                            <a:off x="0" y="0"/>
                            <a:ext cx="2616835" cy="2616835"/>
                          </a:xfrm>
                          <a:prstGeom prst="rect">
                            <a:avLst/>
                          </a:prstGeom>
                        </pic:spPr>
                      </pic:pic>
                    </a:graphicData>
                  </a:graphic>
                </wp:anchor>
              </w:drawing>
            </w:r>
          </w:p>
        </w:tc>
      </w:tr>
    </w:tbl>
    <w:p w14:paraId="77299047" w14:textId="77777777" w:rsidR="00E1669C" w:rsidRDefault="00C758F9">
      <w:pPr>
        <w:rPr>
          <w:rFonts w:cs="Calibri"/>
        </w:rPr>
      </w:pPr>
      <w:r>
        <w:br w:type="page"/>
      </w:r>
    </w:p>
    <w:tbl>
      <w:tblPr>
        <w:tblW w:w="9026" w:type="dxa"/>
        <w:tblLayout w:type="fixed"/>
        <w:tblLook w:val="0000" w:firstRow="0" w:lastRow="0" w:firstColumn="0" w:lastColumn="0" w:noHBand="0" w:noVBand="0"/>
      </w:tblPr>
      <w:tblGrid>
        <w:gridCol w:w="4012"/>
        <w:gridCol w:w="703"/>
        <w:gridCol w:w="4311"/>
      </w:tblGrid>
      <w:tr w:rsidR="00E1669C" w14:paraId="41F7C0EA" w14:textId="77777777">
        <w:tc>
          <w:tcPr>
            <w:tcW w:w="4012" w:type="dxa"/>
          </w:tcPr>
          <w:p w14:paraId="1090F2BA" w14:textId="77777777" w:rsidR="00E1669C" w:rsidRDefault="00C758F9">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23BC71A9" w14:textId="77777777" w:rsidR="00E1669C" w:rsidRDefault="00C758F9">
            <w:pPr>
              <w:widowControl w:val="0"/>
              <w:spacing w:before="120" w:after="720" w:line="240" w:lineRule="auto"/>
              <w:rPr>
                <w:rFonts w:eastAsia="Times New Roman" w:cs="Calibri"/>
                <w:b/>
                <w:lang w:eastAsia="en-IN"/>
              </w:rPr>
            </w:pPr>
            <w:r>
              <w:rPr>
                <w:rFonts w:eastAsia="Times New Roman" w:cs="Calibri"/>
                <w:b/>
                <w:lang w:eastAsia="en-IN"/>
              </w:rPr>
              <w:t>[BUYER_NAME]</w:t>
            </w:r>
          </w:p>
          <w:p w14:paraId="0F611AB1" w14:textId="77777777" w:rsidR="00E1669C" w:rsidRDefault="00E1669C">
            <w:pPr>
              <w:widowControl w:val="0"/>
              <w:spacing w:before="120" w:after="720" w:line="240" w:lineRule="auto"/>
              <w:rPr>
                <w:rFonts w:eastAsia="Times New Roman" w:cs="Calibri"/>
                <w:lang w:eastAsia="en-IN"/>
              </w:rPr>
            </w:pPr>
          </w:p>
          <w:p w14:paraId="1B49B7EB"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2507B073" wp14:editId="3308F50F">
                      <wp:extent cx="635" cy="19050"/>
                      <wp:effectExtent l="0" t="0" r="0" b="152400"/>
                      <wp:docPr id="3" name="Shape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76216E03"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7B865967"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Title:</w:t>
            </w:r>
          </w:p>
        </w:tc>
        <w:tc>
          <w:tcPr>
            <w:tcW w:w="703" w:type="dxa"/>
          </w:tcPr>
          <w:p w14:paraId="6C20CF68" w14:textId="77777777" w:rsidR="00E1669C" w:rsidRDefault="00E1669C">
            <w:pPr>
              <w:widowControl w:val="0"/>
              <w:spacing w:before="120" w:after="120" w:line="240" w:lineRule="auto"/>
              <w:rPr>
                <w:rFonts w:eastAsia="Times New Roman" w:cs="Calibri"/>
                <w:lang w:eastAsia="en-IN"/>
              </w:rPr>
            </w:pPr>
          </w:p>
        </w:tc>
        <w:tc>
          <w:tcPr>
            <w:tcW w:w="4311" w:type="dxa"/>
          </w:tcPr>
          <w:p w14:paraId="41C1C6E3" w14:textId="77777777" w:rsidR="00E1669C" w:rsidRDefault="00C758F9">
            <w:pPr>
              <w:widowControl w:val="0"/>
              <w:spacing w:before="120" w:after="240" w:line="240" w:lineRule="auto"/>
              <w:rPr>
                <w:rFonts w:eastAsia="Times New Roman" w:cs="Calibri"/>
                <w:lang w:eastAsia="en-IN"/>
              </w:rPr>
            </w:pPr>
            <w:r>
              <w:rPr>
                <w:rFonts w:eastAsia="Times New Roman" w:cs="Calibri"/>
                <w:noProof/>
                <w:lang w:eastAsia="en-IN"/>
              </w:rPr>
              <w:drawing>
                <wp:anchor distT="0" distB="0" distL="0" distR="0" simplePos="0" relativeHeight="6" behindDoc="0" locked="0" layoutInCell="1" allowOverlap="1" wp14:anchorId="79AE0CA6" wp14:editId="25283218">
                  <wp:simplePos x="0" y="0"/>
                  <wp:positionH relativeFrom="column">
                    <wp:align>center</wp:align>
                  </wp:positionH>
                  <wp:positionV relativeFrom="paragraph">
                    <wp:posOffset>635</wp:posOffset>
                  </wp:positionV>
                  <wp:extent cx="2600325" cy="2600325"/>
                  <wp:effectExtent l="0" t="0" r="0" b="0"/>
                  <wp:wrapSquare wrapText="largest"/>
                  <wp:docPr id="4" name="buy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pic:cNvPicPr>
                            <a:picLocks noChangeAspect="1" noChangeArrowheads="1"/>
                          </pic:cNvPicPr>
                        </pic:nvPicPr>
                        <pic:blipFill>
                          <a:blip r:embed="rId5"/>
                          <a:stretch>
                            <a:fillRect/>
                          </a:stretch>
                        </pic:blipFill>
                        <pic:spPr bwMode="auto">
                          <a:xfrm>
                            <a:off x="0" y="0"/>
                            <a:ext cx="2600325" cy="2600325"/>
                          </a:xfrm>
                          <a:prstGeom prst="rect">
                            <a:avLst/>
                          </a:prstGeom>
                        </pic:spPr>
                      </pic:pic>
                    </a:graphicData>
                  </a:graphic>
                </wp:anchor>
              </w:drawing>
            </w:r>
          </w:p>
        </w:tc>
      </w:tr>
    </w:tbl>
    <w:p w14:paraId="58B0B1AA" w14:textId="77777777" w:rsidR="00E1669C" w:rsidRDefault="00E1669C">
      <w:pPr>
        <w:widowControl w:val="0"/>
        <w:spacing w:before="120" w:after="240"/>
        <w:rPr>
          <w:rFonts w:cs="Calibri"/>
        </w:rPr>
      </w:pPr>
    </w:p>
    <w:p w14:paraId="0D9CACBD" w14:textId="77777777" w:rsidR="00E1669C" w:rsidRDefault="00C758F9">
      <w:pPr>
        <w:rPr>
          <w:rFonts w:cs="Calibri"/>
        </w:rPr>
      </w:pPr>
      <w:bookmarkStart w:id="243" w:name="_Toc482699634"/>
      <w:bookmarkStart w:id="244" w:name="_Toc482699660"/>
      <w:bookmarkStart w:id="245" w:name="_Toc488433117"/>
      <w:bookmarkStart w:id="246" w:name="_Toc490073503"/>
      <w:bookmarkEnd w:id="243"/>
      <w:bookmarkEnd w:id="244"/>
      <w:bookmarkEnd w:id="245"/>
      <w:bookmarkEnd w:id="246"/>
      <w:r>
        <w:br w:type="page"/>
      </w:r>
    </w:p>
    <w:tbl>
      <w:tblPr>
        <w:tblW w:w="9026" w:type="dxa"/>
        <w:tblLayout w:type="fixed"/>
        <w:tblLook w:val="0000" w:firstRow="0" w:lastRow="0" w:firstColumn="0" w:lastColumn="0" w:noHBand="0" w:noVBand="0"/>
      </w:tblPr>
      <w:tblGrid>
        <w:gridCol w:w="4012"/>
        <w:gridCol w:w="703"/>
        <w:gridCol w:w="4311"/>
      </w:tblGrid>
      <w:tr w:rsidR="00E1669C" w14:paraId="2861F3C6" w14:textId="77777777">
        <w:tc>
          <w:tcPr>
            <w:tcW w:w="4012" w:type="dxa"/>
          </w:tcPr>
          <w:p w14:paraId="4E9B8A4D" w14:textId="77777777" w:rsidR="00E1669C" w:rsidRDefault="00C758F9">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40159C4A" w14:textId="77777777" w:rsidR="00E1669C" w:rsidRDefault="00C758F9">
            <w:pPr>
              <w:widowControl w:val="0"/>
              <w:spacing w:before="120" w:after="720" w:line="240" w:lineRule="auto"/>
              <w:rPr>
                <w:rFonts w:eastAsia="Times New Roman"/>
                <w:b/>
                <w:bCs/>
                <w:shd w:val="clear" w:color="auto" w:fill="FFFF00"/>
                <w:lang w:eastAsia="en-IN"/>
              </w:rPr>
            </w:pPr>
            <w:r>
              <w:rPr>
                <w:rFonts w:eastAsia="Times New Roman"/>
                <w:b/>
                <w:bCs/>
                <w:shd w:val="clear" w:color="auto" w:fill="FFFF00"/>
                <w:lang w:eastAsia="en-IN"/>
              </w:rPr>
              <w:t>[COMPANY_NAME]</w:t>
            </w:r>
          </w:p>
          <w:p w14:paraId="1819A770" w14:textId="77777777" w:rsidR="00E1669C" w:rsidRDefault="00E1669C">
            <w:pPr>
              <w:widowControl w:val="0"/>
              <w:spacing w:before="120" w:after="720" w:line="240" w:lineRule="auto"/>
              <w:rPr>
                <w:rFonts w:eastAsia="Times New Roman" w:cs="Calibri"/>
                <w:lang w:eastAsia="en-IN"/>
              </w:rPr>
            </w:pPr>
          </w:p>
          <w:p w14:paraId="2B394463"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12168AE1" wp14:editId="05DA8A25">
                      <wp:extent cx="635" cy="19050"/>
                      <wp:effectExtent l="0" t="0" r="0" b="152400"/>
                      <wp:docPr id="5" name="Shape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4F01557E"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0139A037"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Title:</w:t>
            </w:r>
          </w:p>
          <w:p w14:paraId="1AC3FE80" w14:textId="77777777" w:rsidR="00E1669C" w:rsidRDefault="00E1669C">
            <w:pPr>
              <w:widowControl w:val="0"/>
              <w:spacing w:before="120" w:after="240" w:line="240" w:lineRule="auto"/>
              <w:rPr>
                <w:rFonts w:eastAsia="Times New Roman" w:cs="Calibri"/>
                <w:lang w:eastAsia="en-IN"/>
              </w:rPr>
            </w:pPr>
          </w:p>
        </w:tc>
        <w:tc>
          <w:tcPr>
            <w:tcW w:w="703" w:type="dxa"/>
          </w:tcPr>
          <w:p w14:paraId="6C0747E5" w14:textId="77777777" w:rsidR="00E1669C" w:rsidRDefault="00E1669C">
            <w:pPr>
              <w:widowControl w:val="0"/>
              <w:spacing w:before="120" w:after="120" w:line="240" w:lineRule="auto"/>
              <w:rPr>
                <w:rFonts w:eastAsia="Times New Roman" w:cs="Calibri"/>
                <w:lang w:eastAsia="en-IN"/>
              </w:rPr>
            </w:pPr>
          </w:p>
        </w:tc>
        <w:tc>
          <w:tcPr>
            <w:tcW w:w="4311" w:type="dxa"/>
          </w:tcPr>
          <w:p w14:paraId="6E5E07E6" w14:textId="77777777" w:rsidR="00E1669C" w:rsidRDefault="00E1669C">
            <w:pPr>
              <w:widowControl w:val="0"/>
              <w:spacing w:before="120" w:after="240" w:line="240" w:lineRule="auto"/>
              <w:rPr>
                <w:rFonts w:eastAsia="Times New Roman" w:cs="Calibri"/>
                <w:lang w:eastAsia="en-IN"/>
              </w:rPr>
            </w:pPr>
          </w:p>
        </w:tc>
      </w:tr>
    </w:tbl>
    <w:p w14:paraId="50D1B816" w14:textId="77777777" w:rsidR="00E1669C" w:rsidRDefault="00C758F9">
      <w:pPr>
        <w:rPr>
          <w:rFonts w:cs="Calibri"/>
          <w:b/>
          <w:caps/>
        </w:rPr>
      </w:pPr>
      <w:r>
        <w:br w:type="page"/>
      </w:r>
    </w:p>
    <w:p w14:paraId="189016EF" w14:textId="77777777" w:rsidR="00E1669C" w:rsidRDefault="00C758F9">
      <w:pPr>
        <w:pStyle w:val="Heading1"/>
        <w:numPr>
          <w:ilvl w:val="0"/>
          <w:numId w:val="0"/>
        </w:numPr>
        <w:tabs>
          <w:tab w:val="left" w:pos="0"/>
        </w:tabs>
        <w:jc w:val="center"/>
        <w:rPr>
          <w:rFonts w:ascii="Calibri" w:hAnsi="Calibri" w:cs="Calibri"/>
          <w:szCs w:val="22"/>
        </w:rPr>
      </w:pPr>
      <w:bookmarkStart w:id="247" w:name="_Toc503206741"/>
      <w:bookmarkStart w:id="248" w:name="_Toc503175538"/>
      <w:bookmarkStart w:id="249" w:name="_Toc490395703"/>
      <w:r>
        <w:rPr>
          <w:rFonts w:ascii="Calibri" w:hAnsi="Calibri" w:cs="Calibri"/>
          <w:szCs w:val="22"/>
        </w:rPr>
        <w:lastRenderedPageBreak/>
        <w:t>Schedule I</w:t>
      </w:r>
      <w:bookmarkEnd w:id="247"/>
      <w:bookmarkEnd w:id="248"/>
      <w:bookmarkEnd w:id="249"/>
    </w:p>
    <w:p w14:paraId="6ACC9AB9" w14:textId="77777777" w:rsidR="00E1669C" w:rsidRDefault="00C758F9">
      <w:pPr>
        <w:jc w:val="center"/>
        <w:rPr>
          <w:rFonts w:cs="Calibri"/>
          <w:b/>
        </w:rPr>
      </w:pPr>
      <w:r>
        <w:rPr>
          <w:rFonts w:cs="Calibri"/>
          <w:b/>
        </w:rPr>
        <w:t>DEFINED TERMS</w:t>
      </w:r>
    </w:p>
    <w:p w14:paraId="4658AB7C"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Affiliate</w:t>
      </w:r>
      <w:r>
        <w:rPr>
          <w:rFonts w:ascii="Calibri" w:hAnsi="Calibri" w:cs="Calibri"/>
          <w:sz w:val="22"/>
          <w:szCs w:val="22"/>
        </w:rPr>
        <w:t xml:space="preserve">” means any Person that directly or </w:t>
      </w:r>
      <w:r>
        <w:rPr>
          <w:rFonts w:ascii="Calibri" w:hAnsi="Calibri" w:cs="Calibri"/>
          <w:sz w:val="22"/>
          <w:szCs w:val="22"/>
        </w:rPr>
        <w:t>indirectly through one or more Persons, Controls, is Controlled by, or is under common Control with, the Person specified. In case of a Person being a natural person, “</w:t>
      </w:r>
      <w:r>
        <w:rPr>
          <w:rFonts w:ascii="Calibri" w:hAnsi="Calibri" w:cs="Calibri"/>
          <w:b/>
          <w:sz w:val="22"/>
          <w:szCs w:val="22"/>
        </w:rPr>
        <w:t>Affiliate</w:t>
      </w:r>
      <w:r>
        <w:rPr>
          <w:rFonts w:ascii="Calibri" w:hAnsi="Calibri" w:cs="Calibri"/>
          <w:sz w:val="22"/>
          <w:szCs w:val="22"/>
        </w:rPr>
        <w:t xml:space="preserve">” shall include </w:t>
      </w:r>
      <w:r>
        <w:rPr>
          <w:rFonts w:ascii="Calibri" w:hAnsi="Calibri"/>
          <w:sz w:val="22"/>
          <w:szCs w:val="22"/>
          <w:lang w:val="en-GB"/>
        </w:rPr>
        <w:t>the Relatives of such Person</w:t>
      </w:r>
      <w:r>
        <w:rPr>
          <w:rFonts w:ascii="Calibri" w:hAnsi="Calibri"/>
          <w:sz w:val="22"/>
          <w:szCs w:val="22"/>
        </w:rPr>
        <w:t>.</w:t>
      </w:r>
    </w:p>
    <w:p w14:paraId="52B78CB0" w14:textId="77777777" w:rsidR="00E1669C" w:rsidRDefault="00C758F9">
      <w:pPr>
        <w:pStyle w:val="ListParagraph"/>
        <w:widowControl w:val="0"/>
        <w:spacing w:before="120" w:after="240"/>
        <w:jc w:val="both"/>
        <w:rPr>
          <w:rFonts w:ascii="Calibri" w:hAnsi="Calibri" w:cs="Calibri"/>
          <w:sz w:val="22"/>
          <w:szCs w:val="22"/>
          <w:lang w:val="en-IN"/>
        </w:rPr>
      </w:pPr>
      <w:r>
        <w:rPr>
          <w:rFonts w:ascii="Calibri" w:hAnsi="Calibri" w:cs="Calibri"/>
          <w:sz w:val="22"/>
          <w:szCs w:val="22"/>
          <w:lang w:val="en-IN"/>
        </w:rPr>
        <w:t xml:space="preserve"> </w:t>
      </w:r>
    </w:p>
    <w:p w14:paraId="669D1134" w14:textId="77777777" w:rsidR="00E1669C" w:rsidRDefault="00C758F9">
      <w:pPr>
        <w:pStyle w:val="ListParagraph"/>
        <w:widowControl w:val="0"/>
        <w:numPr>
          <w:ilvl w:val="3"/>
          <w:numId w:val="3"/>
        </w:numPr>
        <w:spacing w:before="120" w:after="240"/>
        <w:ind w:left="720" w:hanging="720"/>
        <w:jc w:val="both"/>
      </w:pPr>
      <w:r>
        <w:rPr>
          <w:rFonts w:ascii="Calibri" w:eastAsia="SimSun" w:hAnsi="Calibri" w:cs="Calibri"/>
          <w:bCs/>
          <w:color w:val="000000"/>
          <w:sz w:val="22"/>
          <w:szCs w:val="22"/>
        </w:rPr>
        <w:t>“</w:t>
      </w:r>
      <w:r>
        <w:rPr>
          <w:rFonts w:ascii="Calibri" w:eastAsia="SimSun" w:hAnsi="Calibri" w:cs="Calibri"/>
          <w:b/>
          <w:color w:val="000000"/>
          <w:sz w:val="22"/>
          <w:szCs w:val="22"/>
        </w:rPr>
        <w:t>Agreement</w:t>
      </w:r>
      <w:r>
        <w:rPr>
          <w:rFonts w:ascii="Calibri" w:eastAsia="SimSun" w:hAnsi="Calibri" w:cs="Calibri"/>
          <w:bCs/>
          <w:color w:val="000000"/>
          <w:sz w:val="22"/>
          <w:szCs w:val="22"/>
        </w:rPr>
        <w:t>”</w:t>
      </w:r>
      <w:r>
        <w:rPr>
          <w:rFonts w:ascii="Calibri" w:hAnsi="Calibri" w:cs="Calibri"/>
          <w:b/>
          <w:i/>
          <w:sz w:val="22"/>
          <w:szCs w:val="22"/>
        </w:rPr>
        <w:t xml:space="preserve"> </w:t>
      </w:r>
      <w:r>
        <w:rPr>
          <w:rFonts w:ascii="Calibri" w:hAnsi="Calibri" w:cs="Calibri"/>
          <w:sz w:val="22"/>
          <w:szCs w:val="22"/>
        </w:rPr>
        <w:t xml:space="preserve">means this </w:t>
      </w:r>
      <w:r>
        <w:rPr>
          <w:rFonts w:ascii="Calibri" w:hAnsi="Calibri" w:cs="Calibri"/>
          <w:sz w:val="22"/>
          <w:szCs w:val="22"/>
        </w:rPr>
        <w:t>share purchase agreement and all attached schedules and instruments supplemental to or amending, modifying or confirming this Agreement in accordance with the provisions of this Agreement</w:t>
      </w:r>
      <w:r>
        <w:rPr>
          <w:rFonts w:ascii="Calibri" w:hAnsi="Calibri" w:cs="Calibri"/>
          <w:bCs/>
          <w:iCs/>
          <w:sz w:val="22"/>
          <w:szCs w:val="22"/>
        </w:rPr>
        <w:t>.</w:t>
      </w:r>
    </w:p>
    <w:p w14:paraId="32A9ECDB" w14:textId="77777777" w:rsidR="00E1669C" w:rsidRDefault="00E1669C">
      <w:pPr>
        <w:pStyle w:val="ListParagraph"/>
        <w:rPr>
          <w:rFonts w:ascii="Calibri" w:hAnsi="Calibri" w:cs="Calibri"/>
          <w:bCs/>
          <w:iCs/>
          <w:sz w:val="22"/>
          <w:szCs w:val="22"/>
        </w:rPr>
      </w:pPr>
    </w:p>
    <w:p w14:paraId="3BF055CA" w14:textId="77777777" w:rsidR="00E1669C" w:rsidRDefault="00C758F9">
      <w:pPr>
        <w:pStyle w:val="ListParagraph"/>
        <w:widowControl w:val="0"/>
        <w:numPr>
          <w:ilvl w:val="3"/>
          <w:numId w:val="3"/>
        </w:numPr>
        <w:spacing w:before="120" w:after="240"/>
        <w:ind w:left="720" w:hanging="720"/>
        <w:jc w:val="both"/>
      </w:pPr>
      <w:r>
        <w:rPr>
          <w:rFonts w:ascii="Calibri" w:hAnsi="Calibri" w:cs="Calibri"/>
          <w:bCs/>
          <w:iCs/>
          <w:sz w:val="22"/>
          <w:szCs w:val="22"/>
        </w:rPr>
        <w:t>“</w:t>
      </w:r>
      <w:r>
        <w:rPr>
          <w:rFonts w:ascii="Calibri" w:hAnsi="Calibri" w:cs="Calibri"/>
          <w:b/>
          <w:bCs/>
          <w:iCs/>
          <w:sz w:val="22"/>
          <w:szCs w:val="22"/>
        </w:rPr>
        <w:t>Applicable Law(s)</w:t>
      </w:r>
      <w:r>
        <w:rPr>
          <w:rFonts w:ascii="Calibri" w:hAnsi="Calibri" w:cs="Calibri"/>
          <w:color w:val="000000"/>
          <w:sz w:val="22"/>
          <w:szCs w:val="22"/>
        </w:rPr>
        <w:t>” means all applicable statutes, enactments, act</w:t>
      </w:r>
      <w:r>
        <w:rPr>
          <w:rFonts w:ascii="Calibri" w:hAnsi="Calibri" w:cs="Calibri"/>
          <w:color w:val="000000"/>
          <w:sz w:val="22"/>
          <w:szCs w:val="22"/>
        </w:rPr>
        <w:t>s of legislature or the parliament, laws, ordinances, rules, by-laws, regulations, notifications, guidelines, policies, directions, directives and orders of any governmental authority or person acting under the authority of any Governmental Entity and/or o</w:t>
      </w:r>
      <w:r>
        <w:rPr>
          <w:rFonts w:ascii="Calibri" w:hAnsi="Calibri" w:cs="Calibri"/>
          <w:color w:val="000000"/>
          <w:sz w:val="22"/>
          <w:szCs w:val="22"/>
        </w:rPr>
        <w:t>f any statutory authority, in effect on the Effective Date and on the Completion Date.</w:t>
      </w:r>
    </w:p>
    <w:p w14:paraId="0E18041F" w14:textId="77777777" w:rsidR="00E1669C" w:rsidRDefault="00E1669C">
      <w:pPr>
        <w:pStyle w:val="ListParagraph"/>
        <w:rPr>
          <w:rFonts w:ascii="Calibri" w:hAnsi="Calibri" w:cs="Calibri"/>
          <w:sz w:val="22"/>
          <w:szCs w:val="22"/>
        </w:rPr>
      </w:pPr>
    </w:p>
    <w:p w14:paraId="4A62D5A7"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w:t>
      </w:r>
      <w:r>
        <w:rPr>
          <w:rFonts w:ascii="Calibri" w:hAnsi="Calibri" w:cs="Calibri"/>
          <w:color w:val="000000"/>
          <w:sz w:val="22"/>
          <w:szCs w:val="22"/>
        </w:rPr>
        <w:t>” means the distribution of international premium and luxury branded products in India.</w:t>
      </w:r>
    </w:p>
    <w:p w14:paraId="4CAB50F1" w14:textId="77777777" w:rsidR="00E1669C" w:rsidRDefault="00E1669C">
      <w:pPr>
        <w:pStyle w:val="ListParagraph"/>
        <w:rPr>
          <w:rFonts w:ascii="Calibri" w:hAnsi="Calibri" w:cs="Calibri"/>
          <w:color w:val="000000"/>
          <w:sz w:val="22"/>
          <w:szCs w:val="22"/>
        </w:rPr>
      </w:pPr>
    </w:p>
    <w:p w14:paraId="634D0F41"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 Day</w:t>
      </w:r>
      <w:r>
        <w:rPr>
          <w:rFonts w:ascii="Calibri" w:hAnsi="Calibri" w:cs="Calibri"/>
          <w:color w:val="000000"/>
          <w:sz w:val="22"/>
          <w:szCs w:val="22"/>
        </w:rPr>
        <w:t xml:space="preserve">” means a day (excluding Saturdays and Sundays) on which </w:t>
      </w:r>
      <w:r>
        <w:rPr>
          <w:rFonts w:ascii="Calibri" w:hAnsi="Calibri" w:cs="Calibri"/>
          <w:color w:val="000000"/>
          <w:sz w:val="22"/>
          <w:szCs w:val="22"/>
        </w:rPr>
        <w:t xml:space="preserve">banks are generally open in </w:t>
      </w:r>
      <w:proofErr w:type="spellStart"/>
      <w:r>
        <w:rPr>
          <w:rFonts w:ascii="Calibri" w:hAnsi="Calibri" w:cs="Calibri"/>
          <w:color w:val="000000"/>
          <w:sz w:val="22"/>
          <w:szCs w:val="22"/>
        </w:rPr>
        <w:t>Bengalur</w:t>
      </w:r>
      <w:proofErr w:type="spellEnd"/>
      <w:r>
        <w:rPr>
          <w:rFonts w:ascii="Calibri" w:hAnsi="Calibri" w:cs="Calibri"/>
          <w:color w:val="000000"/>
          <w:sz w:val="22"/>
          <w:szCs w:val="22"/>
        </w:rPr>
        <w:t xml:space="preserve"> and Mumbai, India for the transaction of normal banking business.</w:t>
      </w:r>
    </w:p>
    <w:p w14:paraId="1E4F2B6C" w14:textId="77777777" w:rsidR="00E1669C" w:rsidRDefault="00E1669C">
      <w:pPr>
        <w:pStyle w:val="ListParagraph"/>
        <w:rPr>
          <w:rFonts w:ascii="Calibri" w:hAnsi="Calibri" w:cs="Calibri"/>
          <w:sz w:val="22"/>
          <w:szCs w:val="22"/>
        </w:rPr>
      </w:pPr>
    </w:p>
    <w:p w14:paraId="5E419CE8"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Completion Date</w:t>
      </w:r>
      <w:r>
        <w:rPr>
          <w:rFonts w:ascii="Calibri" w:hAnsi="Calibri" w:cs="Calibri"/>
          <w:sz w:val="22"/>
          <w:szCs w:val="22"/>
        </w:rPr>
        <w:t>” means the date on Completion is deemed to have occurred pursuant to the provisions of this Agreement.</w:t>
      </w:r>
    </w:p>
    <w:p w14:paraId="162D65D9" w14:textId="77777777" w:rsidR="00E1669C" w:rsidRDefault="00E1669C">
      <w:pPr>
        <w:pStyle w:val="ListParagraph"/>
        <w:rPr>
          <w:rFonts w:ascii="Calibri" w:hAnsi="Calibri" w:cs="Calibri"/>
          <w:sz w:val="22"/>
          <w:szCs w:val="22"/>
        </w:rPr>
      </w:pPr>
    </w:p>
    <w:p w14:paraId="66A8E915"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Control</w:t>
      </w:r>
      <w:r>
        <w:rPr>
          <w:rFonts w:ascii="Calibri" w:hAnsi="Calibri" w:cs="Calibri"/>
          <w:sz w:val="22"/>
          <w:szCs w:val="22"/>
        </w:rPr>
        <w:t xml:space="preserve">” </w:t>
      </w:r>
      <w:bookmarkStart w:id="250" w:name="_DV_C146"/>
      <w:r>
        <w:rPr>
          <w:rFonts w:ascii="Calibri" w:hAnsi="Calibri" w:cs="Calibri"/>
          <w:sz w:val="22"/>
          <w:szCs w:val="22"/>
        </w:rPr>
        <w:t xml:space="preserve">(including the terms </w:t>
      </w:r>
      <w:r>
        <w:rPr>
          <w:rFonts w:ascii="Calibri" w:hAnsi="Calibri" w:cs="Calibri"/>
          <w:sz w:val="22"/>
          <w:szCs w:val="22"/>
        </w:rPr>
        <w:t>“</w:t>
      </w:r>
      <w:r>
        <w:rPr>
          <w:rFonts w:ascii="Calibri" w:hAnsi="Calibri" w:cs="Calibri"/>
          <w:b/>
          <w:sz w:val="22"/>
          <w:szCs w:val="22"/>
        </w:rPr>
        <w:t>Controlled by</w:t>
      </w:r>
      <w:r>
        <w:rPr>
          <w:rFonts w:ascii="Calibri" w:hAnsi="Calibri" w:cs="Calibri"/>
          <w:sz w:val="22"/>
          <w:szCs w:val="22"/>
        </w:rPr>
        <w:t>” and “</w:t>
      </w:r>
      <w:r>
        <w:rPr>
          <w:rFonts w:ascii="Calibri" w:hAnsi="Calibri" w:cs="Calibri"/>
          <w:b/>
          <w:sz w:val="22"/>
          <w:szCs w:val="22"/>
        </w:rPr>
        <w:t>under common Control with</w:t>
      </w:r>
      <w:r>
        <w:rPr>
          <w:rFonts w:ascii="Calibri" w:hAnsi="Calibri" w:cs="Calibri"/>
          <w:sz w:val="22"/>
          <w:szCs w:val="22"/>
        </w:rPr>
        <w:t>”)</w:t>
      </w:r>
      <w:bookmarkStart w:id="251" w:name="_DV_M99"/>
      <w:bookmarkEnd w:id="250"/>
      <w:bookmarkEnd w:id="251"/>
      <w:r>
        <w:rPr>
          <w:rFonts w:ascii="Calibri" w:hAnsi="Calibri" w:cs="Calibri"/>
          <w:sz w:val="22"/>
          <w:szCs w:val="22"/>
        </w:rPr>
        <w:t xml:space="preserve"> means, in relation to a body corporate, the right to exercise, or control the exercise of, whether directly or indirectly, acting alone or together with another Person, more than 50% (fifty percent) of the t</w:t>
      </w:r>
      <w:r>
        <w:rPr>
          <w:rFonts w:ascii="Calibri" w:hAnsi="Calibri" w:cs="Calibri"/>
          <w:sz w:val="22"/>
          <w:szCs w:val="22"/>
        </w:rPr>
        <w:t>otal voting rights at a general meeting of that body corporate, or the right or power to direct, whether directly or indirectly, acting alone or together with another Person, the policy decisions or management of that body corporate, including the composit</w:t>
      </w:r>
      <w:r>
        <w:rPr>
          <w:rFonts w:ascii="Calibri" w:hAnsi="Calibri" w:cs="Calibri"/>
          <w:sz w:val="22"/>
          <w:szCs w:val="22"/>
        </w:rPr>
        <w:t>ion of any board of directors of that body corporate</w:t>
      </w:r>
      <w:bookmarkStart w:id="252" w:name="_DV_M346"/>
      <w:bookmarkStart w:id="253" w:name="_DV_M347"/>
      <w:bookmarkStart w:id="254" w:name="_DV_M348"/>
      <w:bookmarkStart w:id="255" w:name="_DV_M349"/>
      <w:bookmarkStart w:id="256" w:name="_DV_M350"/>
      <w:bookmarkStart w:id="257" w:name="_DV_M351"/>
      <w:bookmarkEnd w:id="252"/>
      <w:bookmarkEnd w:id="253"/>
      <w:bookmarkEnd w:id="254"/>
      <w:bookmarkEnd w:id="255"/>
      <w:bookmarkEnd w:id="256"/>
      <w:bookmarkEnd w:id="257"/>
      <w:r>
        <w:rPr>
          <w:rFonts w:ascii="Calibri" w:hAnsi="Calibri" w:cs="Calibri"/>
          <w:sz w:val="22"/>
          <w:szCs w:val="22"/>
        </w:rPr>
        <w:t>.</w:t>
      </w:r>
    </w:p>
    <w:p w14:paraId="7902ADC2" w14:textId="77777777" w:rsidR="00E1669C" w:rsidRDefault="00E1669C">
      <w:pPr>
        <w:pStyle w:val="ListParagraph"/>
        <w:rPr>
          <w:rFonts w:ascii="Calibri" w:hAnsi="Calibri" w:cs="Calibri"/>
          <w:sz w:val="22"/>
          <w:szCs w:val="22"/>
        </w:rPr>
      </w:pPr>
    </w:p>
    <w:p w14:paraId="76D0D13A"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Depository Participant</w:t>
      </w:r>
      <w:r>
        <w:rPr>
          <w:rFonts w:ascii="Calibri" w:hAnsi="Calibri" w:cs="Calibri"/>
          <w:sz w:val="22"/>
          <w:szCs w:val="22"/>
        </w:rPr>
        <w:t>”</w:t>
      </w:r>
      <w:r>
        <w:rPr>
          <w:rFonts w:ascii="Calibri" w:hAnsi="Calibri" w:cs="Calibri"/>
          <w:b/>
          <w:sz w:val="22"/>
          <w:szCs w:val="22"/>
        </w:rPr>
        <w:t xml:space="preserve"> </w:t>
      </w:r>
      <w:r>
        <w:rPr>
          <w:rFonts w:ascii="Calibri" w:hAnsi="Calibri" w:cs="Calibri"/>
          <w:sz w:val="22"/>
          <w:szCs w:val="22"/>
        </w:rPr>
        <w:t>means a depository participant within the meaning of the Depositories Act 1996, who has an agreement with the depository under Section 4(1) of the Depositories Act 1996.</w:t>
      </w:r>
    </w:p>
    <w:p w14:paraId="43F791AF" w14:textId="77777777" w:rsidR="00E1669C" w:rsidRDefault="00E1669C">
      <w:pPr>
        <w:pStyle w:val="ListParagraph"/>
        <w:rPr>
          <w:rFonts w:ascii="Calibri" w:hAnsi="Calibri" w:cs="Calibri"/>
          <w:color w:val="000000"/>
          <w:sz w:val="22"/>
          <w:szCs w:val="22"/>
        </w:rPr>
      </w:pPr>
    </w:p>
    <w:p w14:paraId="0B9CCAE8"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Encumbrance</w:t>
      </w:r>
      <w:r>
        <w:rPr>
          <w:rFonts w:ascii="Calibri" w:hAnsi="Calibri" w:cs="Calibri"/>
          <w:color w:val="000000"/>
          <w:sz w:val="22"/>
          <w:szCs w:val="22"/>
        </w:rPr>
        <w:t>” means any mortgage, pledge, equitable interest, assignment by way of security, hypothecation, right of other persons, security interest, title retention agreement, voting trust agreement, interest, option, drag right, lien, charge, commitment,</w:t>
      </w:r>
      <w:r>
        <w:rPr>
          <w:rFonts w:ascii="Calibri" w:hAnsi="Calibri" w:cs="Calibri"/>
          <w:color w:val="000000"/>
          <w:sz w:val="22"/>
          <w:szCs w:val="22"/>
        </w:rPr>
        <w:t xml:space="preserve"> restriction or limitation of any nature whatsoever </w:t>
      </w:r>
      <w:r>
        <w:rPr>
          <w:rFonts w:ascii="Calibri" w:hAnsi="Calibri" w:cs="Calibri"/>
          <w:sz w:val="22"/>
          <w:szCs w:val="22"/>
        </w:rPr>
        <w:t>whether arising by agreement, operation of law or otherwise</w:t>
      </w:r>
      <w:r>
        <w:rPr>
          <w:rFonts w:ascii="Calibri" w:hAnsi="Calibri" w:cs="Calibri"/>
          <w:color w:val="000000"/>
          <w:sz w:val="22"/>
          <w:szCs w:val="22"/>
        </w:rPr>
        <w:t>, including restriction on use or exercise of any other attribute of ownership, right of set-off, any arrangement (for the purpose of, or which h</w:t>
      </w:r>
      <w:r>
        <w:rPr>
          <w:rFonts w:ascii="Calibri" w:hAnsi="Calibri" w:cs="Calibri"/>
          <w:color w:val="000000"/>
          <w:sz w:val="22"/>
          <w:szCs w:val="22"/>
        </w:rPr>
        <w:t xml:space="preserve">as the effect of, granting security), or any other security interest of any kind whatsoever, or any agreement, whether conditional or otherwise, to create any of the same </w:t>
      </w:r>
      <w:r>
        <w:rPr>
          <w:rFonts w:ascii="Calibri" w:hAnsi="Calibri" w:cs="Calibri"/>
          <w:sz w:val="22"/>
          <w:szCs w:val="22"/>
        </w:rPr>
        <w:t>or any adverse claim as to clear title, possession or use, and the term “</w:t>
      </w:r>
      <w:r>
        <w:rPr>
          <w:rFonts w:ascii="Calibri" w:hAnsi="Calibri" w:cs="Calibri"/>
          <w:b/>
          <w:sz w:val="22"/>
          <w:szCs w:val="22"/>
        </w:rPr>
        <w:t>Encumber</w:t>
      </w:r>
      <w:r>
        <w:rPr>
          <w:rFonts w:ascii="Calibri" w:hAnsi="Calibri" w:cs="Calibri"/>
          <w:sz w:val="22"/>
          <w:szCs w:val="22"/>
        </w:rPr>
        <w:t>” sh</w:t>
      </w:r>
      <w:r>
        <w:rPr>
          <w:rFonts w:ascii="Calibri" w:hAnsi="Calibri" w:cs="Calibri"/>
          <w:sz w:val="22"/>
          <w:szCs w:val="22"/>
        </w:rPr>
        <w:t>all be construed accordingly</w:t>
      </w:r>
      <w:r>
        <w:rPr>
          <w:rFonts w:ascii="Calibri" w:hAnsi="Calibri" w:cs="Calibri"/>
          <w:color w:val="000000"/>
          <w:sz w:val="22"/>
          <w:szCs w:val="22"/>
        </w:rPr>
        <w:t>.</w:t>
      </w:r>
    </w:p>
    <w:p w14:paraId="1920E214" w14:textId="77777777" w:rsidR="00E1669C" w:rsidRDefault="00E1669C">
      <w:pPr>
        <w:pStyle w:val="ListParagraph"/>
        <w:rPr>
          <w:rFonts w:ascii="Calibri" w:hAnsi="Calibri" w:cs="Calibri"/>
          <w:sz w:val="22"/>
          <w:szCs w:val="22"/>
        </w:rPr>
      </w:pPr>
    </w:p>
    <w:p w14:paraId="1D8DCACC"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Equity Shares</w:t>
      </w:r>
      <w:r>
        <w:rPr>
          <w:rFonts w:ascii="Calibri" w:hAnsi="Calibri" w:cs="Calibri"/>
          <w:sz w:val="22"/>
          <w:szCs w:val="22"/>
        </w:rPr>
        <w:t>” means equity shares of the Company having a face value of INR 10 (Indian Rupees Ten) each.</w:t>
      </w:r>
    </w:p>
    <w:p w14:paraId="63A9AA0E" w14:textId="77777777" w:rsidR="00E1669C" w:rsidRDefault="00E1669C">
      <w:pPr>
        <w:pStyle w:val="ListParagraph"/>
        <w:rPr>
          <w:rFonts w:ascii="Calibri" w:hAnsi="Calibri" w:cs="Calibri"/>
          <w:sz w:val="22"/>
          <w:szCs w:val="22"/>
        </w:rPr>
      </w:pPr>
    </w:p>
    <w:p w14:paraId="7EEDD2E5"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Fully Diluted Basis</w:t>
      </w:r>
      <w:r>
        <w:rPr>
          <w:rFonts w:ascii="Calibri" w:hAnsi="Calibri" w:cs="Calibri"/>
          <w:sz w:val="22"/>
          <w:szCs w:val="22"/>
        </w:rPr>
        <w:t>”</w:t>
      </w:r>
      <w:r>
        <w:rPr>
          <w:rFonts w:ascii="Calibri" w:hAnsi="Calibri" w:cs="Calibri"/>
          <w:b/>
          <w:i/>
          <w:sz w:val="22"/>
          <w:szCs w:val="22"/>
        </w:rPr>
        <w:t xml:space="preserve"> </w:t>
      </w:r>
      <w:r>
        <w:rPr>
          <w:rFonts w:ascii="Calibri" w:hAnsi="Calibri" w:cs="Calibri"/>
          <w:sz w:val="22"/>
          <w:szCs w:val="22"/>
        </w:rPr>
        <w:t>means that the calculation is to be made assuming that all outstanding equity securities, inclu</w:t>
      </w:r>
      <w:r>
        <w:rPr>
          <w:rFonts w:ascii="Calibri" w:hAnsi="Calibri" w:cs="Calibri"/>
          <w:sz w:val="22"/>
          <w:szCs w:val="22"/>
        </w:rPr>
        <w:t xml:space="preserve">ding a binding commitment of the company to issue an equity security (which are convertible or exercisable </w:t>
      </w:r>
      <w:r>
        <w:rPr>
          <w:rFonts w:ascii="Calibri" w:hAnsi="Calibri" w:cs="Calibri"/>
          <w:sz w:val="22"/>
          <w:szCs w:val="22"/>
          <w:lang w:val="en-IN"/>
        </w:rPr>
        <w:t>into or entitle the holder to acquire or receive any equity shares</w:t>
      </w:r>
      <w:r>
        <w:rPr>
          <w:rFonts w:ascii="Calibri" w:hAnsi="Calibri" w:cs="Calibri"/>
          <w:sz w:val="22"/>
          <w:szCs w:val="22"/>
        </w:rPr>
        <w:t>) whether or not due to the occurrence of an event or otherwise, have been converte</w:t>
      </w:r>
      <w:r>
        <w:rPr>
          <w:rFonts w:ascii="Calibri" w:hAnsi="Calibri" w:cs="Calibri"/>
          <w:sz w:val="22"/>
          <w:szCs w:val="22"/>
        </w:rPr>
        <w:t>d, exercised or exchanged into the maximum number of equity shares issuable upon such conversion, exercise and exchange, as the case may be.</w:t>
      </w:r>
    </w:p>
    <w:p w14:paraId="04C0860B" w14:textId="77777777" w:rsidR="00E1669C" w:rsidRDefault="00E1669C">
      <w:pPr>
        <w:pStyle w:val="ListParagraph"/>
        <w:rPr>
          <w:rFonts w:ascii="Calibri" w:hAnsi="Calibri" w:cs="Calibri"/>
          <w:color w:val="000000"/>
          <w:sz w:val="22"/>
          <w:szCs w:val="22"/>
        </w:rPr>
      </w:pPr>
    </w:p>
    <w:p w14:paraId="68E3085E"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Governmental Entity</w:t>
      </w:r>
      <w:r>
        <w:rPr>
          <w:rFonts w:ascii="Calibri" w:hAnsi="Calibri" w:cs="Calibri"/>
          <w:color w:val="000000"/>
          <w:sz w:val="22"/>
          <w:szCs w:val="22"/>
        </w:rPr>
        <w:t xml:space="preserve">” means any court, arbitrational tribunal, administrative agency or commission or other </w:t>
      </w:r>
      <w:r>
        <w:rPr>
          <w:rFonts w:ascii="Calibri" w:hAnsi="Calibri" w:cs="Calibri"/>
          <w:color w:val="000000"/>
          <w:sz w:val="22"/>
          <w:szCs w:val="22"/>
        </w:rPr>
        <w:t>governmental or regulatory authority or agency, including any tax authority.</w:t>
      </w:r>
    </w:p>
    <w:p w14:paraId="68C4FD13" w14:textId="77777777" w:rsidR="00E1669C" w:rsidRDefault="00E1669C">
      <w:pPr>
        <w:pStyle w:val="ListParagraph"/>
        <w:rPr>
          <w:rFonts w:ascii="Calibri" w:hAnsi="Calibri" w:cs="Calibri"/>
          <w:sz w:val="22"/>
          <w:szCs w:val="22"/>
        </w:rPr>
      </w:pPr>
    </w:p>
    <w:p w14:paraId="682DB69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INR</w:t>
      </w:r>
      <w:r>
        <w:rPr>
          <w:rFonts w:ascii="Calibri" w:hAnsi="Calibri" w:cs="Calibri"/>
          <w:sz w:val="22"/>
          <w:szCs w:val="22"/>
        </w:rPr>
        <w:t>” means the lawful currency of the Republic of India.</w:t>
      </w:r>
    </w:p>
    <w:p w14:paraId="3CC1AB66" w14:textId="77777777" w:rsidR="00E1669C" w:rsidRDefault="00E1669C">
      <w:pPr>
        <w:pStyle w:val="ListParagraph"/>
        <w:rPr>
          <w:rFonts w:ascii="Calibri" w:hAnsi="Calibri" w:cs="Calibri"/>
          <w:sz w:val="22"/>
          <w:szCs w:val="22"/>
          <w:lang w:val="en-IN"/>
        </w:rPr>
      </w:pPr>
    </w:p>
    <w:p w14:paraId="6CD92FE9"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Long Stop Date</w:t>
      </w:r>
      <w:r>
        <w:rPr>
          <w:rFonts w:ascii="Calibri" w:hAnsi="Calibri" w:cs="Calibri"/>
          <w:sz w:val="22"/>
          <w:szCs w:val="22"/>
        </w:rPr>
        <w:t>” means [•] or any other extended date, as the Parties may mutually agree in writing.</w:t>
      </w:r>
    </w:p>
    <w:p w14:paraId="630FDEE6" w14:textId="77777777" w:rsidR="00E1669C" w:rsidRDefault="00E1669C">
      <w:pPr>
        <w:pStyle w:val="ListParagraph"/>
        <w:rPr>
          <w:rFonts w:ascii="Calibri" w:hAnsi="Calibri" w:cs="Calibri"/>
          <w:sz w:val="22"/>
          <w:szCs w:val="22"/>
        </w:rPr>
      </w:pPr>
    </w:p>
    <w:p w14:paraId="72E7151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bCs/>
          <w:sz w:val="22"/>
          <w:szCs w:val="22"/>
        </w:rPr>
        <w:t>Loss</w:t>
      </w:r>
      <w:r>
        <w:rPr>
          <w:rFonts w:ascii="Calibri" w:hAnsi="Calibri" w:cs="Calibri"/>
          <w:sz w:val="22"/>
          <w:szCs w:val="22"/>
        </w:rPr>
        <w:t>” or “</w:t>
      </w:r>
      <w:r>
        <w:rPr>
          <w:rFonts w:ascii="Calibri" w:hAnsi="Calibri" w:cs="Calibri"/>
          <w:b/>
          <w:bCs/>
          <w:sz w:val="22"/>
          <w:szCs w:val="22"/>
        </w:rPr>
        <w:t>Losses</w:t>
      </w:r>
      <w:r>
        <w:rPr>
          <w:rFonts w:ascii="Calibri" w:hAnsi="Calibri" w:cs="Calibri"/>
          <w:sz w:val="22"/>
          <w:szCs w:val="22"/>
        </w:rPr>
        <w:t>” means any and all liabilities, claims, damage, losses, interest, fines, penalties, fees, settlements and proceedings, expenses, damages (whether or not resulting from claims from third parties), charges, costs (including costs of investigation, rem</w:t>
      </w:r>
      <w:r>
        <w:rPr>
          <w:rFonts w:ascii="Calibri" w:hAnsi="Calibri" w:cs="Calibri"/>
          <w:sz w:val="22"/>
          <w:szCs w:val="22"/>
        </w:rPr>
        <w:t>ediation or other response actions), reasonable attorneys’ and accountants’ fees and disbursements.</w:t>
      </w:r>
    </w:p>
    <w:p w14:paraId="261FFC27" w14:textId="77777777" w:rsidR="00E1669C" w:rsidRDefault="00E1669C">
      <w:pPr>
        <w:pStyle w:val="ListParagraph"/>
        <w:rPr>
          <w:rFonts w:ascii="Calibri" w:hAnsi="Calibri" w:cs="Calibri"/>
          <w:sz w:val="22"/>
          <w:szCs w:val="22"/>
        </w:rPr>
      </w:pPr>
    </w:p>
    <w:p w14:paraId="34192907"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Person</w:t>
      </w:r>
      <w:r>
        <w:rPr>
          <w:rFonts w:ascii="Calibri" w:hAnsi="Calibri" w:cs="Calibri"/>
          <w:sz w:val="22"/>
          <w:szCs w:val="22"/>
        </w:rPr>
        <w:t xml:space="preserve">” means any individual or entity, whether a corporation, firm, company, joint venture, trust, association, </w:t>
      </w:r>
      <w:proofErr w:type="spellStart"/>
      <w:r>
        <w:rPr>
          <w:rFonts w:ascii="Calibri" w:hAnsi="Calibri" w:cs="Calibri"/>
          <w:sz w:val="22"/>
          <w:szCs w:val="22"/>
        </w:rPr>
        <w:t>organisation</w:t>
      </w:r>
      <w:proofErr w:type="spellEnd"/>
      <w:r>
        <w:rPr>
          <w:rFonts w:ascii="Calibri" w:hAnsi="Calibri" w:cs="Calibri"/>
          <w:sz w:val="22"/>
          <w:szCs w:val="22"/>
        </w:rPr>
        <w:t>, partnership or proprietorsh</w:t>
      </w:r>
      <w:r>
        <w:rPr>
          <w:rFonts w:ascii="Calibri" w:hAnsi="Calibri" w:cs="Calibri"/>
          <w:sz w:val="22"/>
          <w:szCs w:val="22"/>
        </w:rPr>
        <w:t>ip, including any Governmental Entity and “</w:t>
      </w:r>
      <w:r>
        <w:rPr>
          <w:rFonts w:ascii="Calibri" w:hAnsi="Calibri" w:cs="Calibri"/>
          <w:b/>
          <w:sz w:val="22"/>
          <w:szCs w:val="22"/>
        </w:rPr>
        <w:t>Persons</w:t>
      </w:r>
      <w:r>
        <w:rPr>
          <w:rFonts w:ascii="Calibri" w:hAnsi="Calibri" w:cs="Calibri"/>
          <w:sz w:val="22"/>
          <w:szCs w:val="22"/>
        </w:rPr>
        <w:t>” shall be construed accordingly.</w:t>
      </w:r>
    </w:p>
    <w:p w14:paraId="4447C89C" w14:textId="77777777" w:rsidR="00E1669C" w:rsidRDefault="00E1669C">
      <w:pPr>
        <w:pStyle w:val="ListParagraph"/>
        <w:rPr>
          <w:rFonts w:ascii="Calibri" w:hAnsi="Calibri" w:cs="Calibri"/>
          <w:sz w:val="22"/>
          <w:szCs w:val="22"/>
        </w:rPr>
      </w:pPr>
    </w:p>
    <w:p w14:paraId="10E7E51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Purchase Consideration</w:t>
      </w:r>
      <w:r>
        <w:rPr>
          <w:rFonts w:ascii="Calibri" w:hAnsi="Calibri" w:cs="Calibri"/>
          <w:sz w:val="22"/>
          <w:szCs w:val="22"/>
        </w:rPr>
        <w:t>” means INR [•] payable by the Buyer to the Seller pursuant to the terms of this Agreement, for Transfer of the Sale Shares by the Seller to the Buy</w:t>
      </w:r>
      <w:r>
        <w:rPr>
          <w:rFonts w:ascii="Calibri" w:hAnsi="Calibri" w:cs="Calibri"/>
          <w:sz w:val="22"/>
          <w:szCs w:val="22"/>
        </w:rPr>
        <w:t>er on the Completion Date.</w:t>
      </w:r>
    </w:p>
    <w:p w14:paraId="2B4B48DE" w14:textId="77777777" w:rsidR="00E1669C" w:rsidRDefault="00E1669C">
      <w:pPr>
        <w:pStyle w:val="ListParagraph"/>
        <w:rPr>
          <w:rFonts w:ascii="Calibri" w:hAnsi="Calibri" w:cs="Calibri"/>
          <w:sz w:val="22"/>
          <w:szCs w:val="22"/>
        </w:rPr>
      </w:pPr>
    </w:p>
    <w:p w14:paraId="02372D04"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Buyer’s Bank Account</w:t>
      </w:r>
      <w:r>
        <w:rPr>
          <w:rFonts w:ascii="Calibri" w:hAnsi="Calibri" w:cs="Calibri"/>
          <w:sz w:val="22"/>
          <w:szCs w:val="22"/>
        </w:rPr>
        <w:t xml:space="preserve">” means the bank account of the Buyer maintained [BUYER_IFSCCODE] , with the Fort Mumbai branch, bearing account number </w:t>
      </w:r>
      <w:r>
        <w:rPr>
          <w:rFonts w:ascii="Calibri" w:hAnsi="Calibri" w:cs="Calibri"/>
          <w:color w:val="000000"/>
          <w:sz w:val="22"/>
          <w:szCs w:val="22"/>
          <w:shd w:val="clear" w:color="auto" w:fill="FFFF00"/>
          <w:lang w:val="en-IN"/>
        </w:rPr>
        <w:t>[BUYER_BANK_ACCOUNT]</w:t>
      </w:r>
      <w:r>
        <w:rPr>
          <w:rFonts w:ascii="Calibri" w:hAnsi="Calibri"/>
          <w:color w:val="000000"/>
          <w:sz w:val="22"/>
          <w:szCs w:val="22"/>
          <w:lang w:val="en-IN"/>
        </w:rPr>
        <w:t>.</w:t>
      </w:r>
    </w:p>
    <w:p w14:paraId="19C6A70E" w14:textId="77777777" w:rsidR="00E1669C" w:rsidRDefault="00E1669C">
      <w:pPr>
        <w:pStyle w:val="ListParagraph"/>
        <w:rPr>
          <w:rFonts w:ascii="Calibri" w:hAnsi="Calibri" w:cs="Calibri"/>
          <w:sz w:val="22"/>
          <w:szCs w:val="22"/>
        </w:rPr>
      </w:pPr>
    </w:p>
    <w:p w14:paraId="75038B31"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 xml:space="preserve">Buyer’s </w:t>
      </w:r>
      <w:proofErr w:type="spellStart"/>
      <w:r>
        <w:rPr>
          <w:rFonts w:ascii="Calibri" w:hAnsi="Calibri" w:cs="Calibri"/>
          <w:b/>
          <w:sz w:val="22"/>
          <w:szCs w:val="22"/>
        </w:rPr>
        <w:t>Demat</w:t>
      </w:r>
      <w:proofErr w:type="spellEnd"/>
      <w:r>
        <w:rPr>
          <w:rFonts w:ascii="Calibri" w:hAnsi="Calibri" w:cs="Calibri"/>
          <w:b/>
          <w:sz w:val="22"/>
          <w:szCs w:val="22"/>
        </w:rPr>
        <w:t xml:space="preserve"> Account</w:t>
      </w:r>
      <w:r>
        <w:rPr>
          <w:rFonts w:ascii="Calibri" w:hAnsi="Calibri" w:cs="Calibri"/>
          <w:sz w:val="22"/>
          <w:szCs w:val="22"/>
        </w:rPr>
        <w:t xml:space="preserve">” means the </w:t>
      </w:r>
      <w:proofErr w:type="spellStart"/>
      <w:r>
        <w:rPr>
          <w:rFonts w:ascii="Calibri" w:hAnsi="Calibri" w:cs="Calibri"/>
          <w:sz w:val="22"/>
          <w:szCs w:val="22"/>
        </w:rPr>
        <w:t>demat</w:t>
      </w:r>
      <w:proofErr w:type="spellEnd"/>
      <w:r>
        <w:rPr>
          <w:rFonts w:ascii="Calibri" w:hAnsi="Calibri" w:cs="Calibri"/>
          <w:sz w:val="22"/>
          <w:szCs w:val="22"/>
        </w:rPr>
        <w:t xml:space="preserve"> account of the Buyer in </w:t>
      </w:r>
      <w:r>
        <w:rPr>
          <w:rFonts w:ascii="Calibri" w:hAnsi="Calibri" w:cs="Calibri"/>
          <w:sz w:val="22"/>
          <w:szCs w:val="22"/>
        </w:rPr>
        <w:t xml:space="preserve">which the Sale Shares are to be received, details of which are as follows: </w:t>
      </w:r>
    </w:p>
    <w:p w14:paraId="23FFD61B" w14:textId="77777777" w:rsidR="00E1669C" w:rsidRDefault="00C758F9">
      <w:pPr>
        <w:pStyle w:val="ListParagraph"/>
        <w:widowControl w:val="0"/>
        <w:numPr>
          <w:ilvl w:val="3"/>
          <w:numId w:val="3"/>
        </w:numPr>
        <w:spacing w:before="120" w:after="240"/>
        <w:ind w:left="720" w:hanging="720"/>
        <w:jc w:val="both"/>
      </w:pPr>
      <w:r>
        <w:rPr>
          <w:rFonts w:ascii="Calibri" w:hAnsi="Calibri"/>
          <w:sz w:val="22"/>
          <w:szCs w:val="22"/>
        </w:rPr>
        <w:t>“</w:t>
      </w:r>
      <w:r>
        <w:rPr>
          <w:rFonts w:ascii="Calibri" w:hAnsi="Calibri"/>
          <w:b/>
          <w:sz w:val="22"/>
          <w:szCs w:val="22"/>
        </w:rPr>
        <w:t>Relative</w:t>
      </w:r>
      <w:r>
        <w:rPr>
          <w:rFonts w:ascii="Calibri" w:hAnsi="Calibri"/>
          <w:sz w:val="22"/>
          <w:szCs w:val="22"/>
        </w:rPr>
        <w:t>” shall have the meaning ascribed to the term under Companies Act 2013.</w:t>
      </w:r>
    </w:p>
    <w:p w14:paraId="28C594AA" w14:textId="77777777" w:rsidR="00E1669C" w:rsidRDefault="00E1669C">
      <w:pPr>
        <w:pStyle w:val="ListParagraph"/>
        <w:widowControl w:val="0"/>
        <w:spacing w:before="120" w:after="240"/>
        <w:jc w:val="both"/>
        <w:rPr>
          <w:rFonts w:ascii="Calibri" w:hAnsi="Calibri" w:cs="Calibri"/>
          <w:sz w:val="22"/>
          <w:szCs w:val="22"/>
        </w:rPr>
      </w:pPr>
    </w:p>
    <w:p w14:paraId="3EE502D8"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Sale Shares</w:t>
      </w:r>
      <w:r>
        <w:rPr>
          <w:rFonts w:ascii="Calibri" w:hAnsi="Calibri" w:cs="Calibri"/>
          <w:sz w:val="22"/>
          <w:szCs w:val="22"/>
        </w:rPr>
        <w:t xml:space="preserve">” means </w:t>
      </w:r>
      <w:r>
        <w:rPr>
          <w:rFonts w:ascii="Calibri" w:eastAsia="SimSun" w:hAnsi="Calibri" w:cs="Calibri"/>
          <w:sz w:val="22"/>
          <w:szCs w:val="22"/>
        </w:rPr>
        <w:t>[</w:t>
      </w:r>
      <w:proofErr w:type="spellStart"/>
      <w:r>
        <w:rPr>
          <w:rFonts w:ascii="Calibri" w:eastAsia="SimSun" w:hAnsi="Calibri" w:cs="Calibri"/>
          <w:sz w:val="22"/>
          <w:szCs w:val="22"/>
          <w:shd w:val="clear" w:color="auto" w:fill="FFFF00"/>
        </w:rPr>
        <w:t>sale_shares</w:t>
      </w:r>
      <w:proofErr w:type="spellEnd"/>
      <w:r>
        <w:rPr>
          <w:rFonts w:ascii="Calibri" w:eastAsia="SimSun" w:hAnsi="Calibri" w:cs="Calibri"/>
          <w:sz w:val="22"/>
          <w:szCs w:val="22"/>
        </w:rPr>
        <w:t>] Equity Shares</w:t>
      </w:r>
      <w:r>
        <w:rPr>
          <w:rFonts w:ascii="Calibri" w:hAnsi="Calibri" w:cs="Calibri"/>
          <w:sz w:val="22"/>
          <w:szCs w:val="22"/>
        </w:rPr>
        <w:t>.</w:t>
      </w:r>
    </w:p>
    <w:p w14:paraId="72AADE13" w14:textId="77777777" w:rsidR="00E1669C" w:rsidRDefault="00E1669C">
      <w:pPr>
        <w:pStyle w:val="ListParagraph"/>
        <w:rPr>
          <w:rFonts w:ascii="Calibri" w:hAnsi="Calibri" w:cs="Calibri"/>
          <w:sz w:val="22"/>
          <w:szCs w:val="22"/>
        </w:rPr>
      </w:pPr>
    </w:p>
    <w:p w14:paraId="2016754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Seller’s Bank Account</w:t>
      </w:r>
      <w:r>
        <w:rPr>
          <w:rFonts w:ascii="Calibri" w:hAnsi="Calibri" w:cs="Calibri"/>
          <w:sz w:val="22"/>
          <w:szCs w:val="22"/>
        </w:rPr>
        <w:t xml:space="preserve">” means the bank account of the Seller in which the Purchase Consideration is to be received, details of which are set out below: </w:t>
      </w:r>
    </w:p>
    <w:tbl>
      <w:tblPr>
        <w:tblW w:w="4600" w:type="pct"/>
        <w:tblInd w:w="720" w:type="dxa"/>
        <w:tblLayout w:type="fixed"/>
        <w:tblLook w:val="0000" w:firstRow="0" w:lastRow="0" w:firstColumn="0" w:lastColumn="0" w:noHBand="0" w:noVBand="0"/>
      </w:tblPr>
      <w:tblGrid>
        <w:gridCol w:w="3934"/>
        <w:gridCol w:w="4370"/>
      </w:tblGrid>
      <w:tr w:rsidR="00E1669C" w14:paraId="611EC490" w14:textId="77777777">
        <w:tc>
          <w:tcPr>
            <w:tcW w:w="3933" w:type="dxa"/>
          </w:tcPr>
          <w:p w14:paraId="189E716D" w14:textId="77777777" w:rsidR="00E1669C" w:rsidRDefault="00C758F9">
            <w:pPr>
              <w:widowControl w:val="0"/>
            </w:pPr>
            <w:bookmarkStart w:id="258" w:name="_DV_C567"/>
            <w:r>
              <w:rPr>
                <w:rStyle w:val="DeltaViewDeletion"/>
                <w:rFonts w:cs="Calibri"/>
                <w:strike w:val="0"/>
                <w:color w:val="auto"/>
                <w:lang w:val="en-US"/>
              </w:rPr>
              <w:t>Account Name</w:t>
            </w:r>
            <w:bookmarkEnd w:id="258"/>
            <w:r>
              <w:rPr>
                <w:rStyle w:val="DeltaViewDeletion"/>
                <w:rFonts w:cs="Calibri"/>
                <w:strike w:val="0"/>
                <w:color w:val="auto"/>
                <w:lang w:val="en-US"/>
              </w:rPr>
              <w:t>:</w:t>
            </w:r>
          </w:p>
        </w:tc>
        <w:tc>
          <w:tcPr>
            <w:tcW w:w="4369" w:type="dxa"/>
            <w:tcMar>
              <w:left w:w="0" w:type="dxa"/>
              <w:right w:w="0" w:type="dxa"/>
            </w:tcMar>
          </w:tcPr>
          <w:p w14:paraId="11721866" w14:textId="77777777" w:rsidR="00E1669C" w:rsidRDefault="00C758F9">
            <w:pPr>
              <w:widowControl w:val="0"/>
              <w:ind w:left="84"/>
            </w:pPr>
            <w:r>
              <w:t>[</w:t>
            </w:r>
            <w:r>
              <w:rPr>
                <w:shd w:val="clear" w:color="auto" w:fill="FFFF00"/>
              </w:rPr>
              <w:t>Seller number</w:t>
            </w:r>
            <w:r>
              <w:t>]</w:t>
            </w:r>
          </w:p>
        </w:tc>
      </w:tr>
      <w:tr w:rsidR="00E1669C" w14:paraId="26B40DBA" w14:textId="77777777">
        <w:tc>
          <w:tcPr>
            <w:tcW w:w="3933" w:type="dxa"/>
          </w:tcPr>
          <w:p w14:paraId="7467BB66" w14:textId="77777777" w:rsidR="00E1669C" w:rsidRDefault="00C758F9">
            <w:pPr>
              <w:widowControl w:val="0"/>
            </w:pPr>
            <w:bookmarkStart w:id="259" w:name="_DV_C569"/>
            <w:r>
              <w:rPr>
                <w:rStyle w:val="DeltaViewDeletion"/>
                <w:rFonts w:cs="Calibri"/>
                <w:strike w:val="0"/>
                <w:color w:val="auto"/>
                <w:lang w:val="en-US"/>
              </w:rPr>
              <w:t>Account No</w:t>
            </w:r>
            <w:bookmarkEnd w:id="259"/>
            <w:r>
              <w:rPr>
                <w:rStyle w:val="DeltaViewDeletion"/>
                <w:rFonts w:cs="Calibri"/>
                <w:strike w:val="0"/>
                <w:color w:val="auto"/>
                <w:lang w:val="en-US"/>
              </w:rPr>
              <w:t>:</w:t>
            </w:r>
          </w:p>
        </w:tc>
        <w:tc>
          <w:tcPr>
            <w:tcW w:w="4369" w:type="dxa"/>
            <w:tcMar>
              <w:left w:w="0" w:type="dxa"/>
              <w:right w:w="0" w:type="dxa"/>
            </w:tcMar>
          </w:tcPr>
          <w:p w14:paraId="4A8D3842" w14:textId="77777777" w:rsidR="00E1669C" w:rsidRDefault="00C758F9">
            <w:pPr>
              <w:widowControl w:val="0"/>
              <w:ind w:left="84"/>
            </w:pPr>
            <w:r>
              <w:t>[SELLER_BANK_ACCOUNT]</w:t>
            </w:r>
          </w:p>
        </w:tc>
      </w:tr>
      <w:tr w:rsidR="00E1669C" w14:paraId="2BCE1AC9" w14:textId="77777777">
        <w:tc>
          <w:tcPr>
            <w:tcW w:w="3933" w:type="dxa"/>
          </w:tcPr>
          <w:p w14:paraId="647F5290" w14:textId="77777777" w:rsidR="00E1669C" w:rsidRDefault="00C758F9">
            <w:pPr>
              <w:widowControl w:val="0"/>
            </w:pPr>
            <w:bookmarkStart w:id="260" w:name="_DV_C571"/>
            <w:r>
              <w:rPr>
                <w:rStyle w:val="DeltaViewDeletion"/>
                <w:rFonts w:cs="Calibri"/>
                <w:strike w:val="0"/>
                <w:color w:val="auto"/>
                <w:lang w:val="en-US"/>
              </w:rPr>
              <w:t>Bank (w/address)</w:t>
            </w:r>
            <w:bookmarkEnd w:id="260"/>
            <w:r>
              <w:rPr>
                <w:rStyle w:val="DeltaViewDeletion"/>
                <w:rFonts w:cs="Calibri"/>
                <w:strike w:val="0"/>
                <w:color w:val="auto"/>
                <w:lang w:val="en-US"/>
              </w:rPr>
              <w:t>:</w:t>
            </w:r>
          </w:p>
        </w:tc>
        <w:tc>
          <w:tcPr>
            <w:tcW w:w="4369" w:type="dxa"/>
            <w:tcMar>
              <w:left w:w="0" w:type="dxa"/>
              <w:right w:w="0" w:type="dxa"/>
            </w:tcMar>
          </w:tcPr>
          <w:p w14:paraId="038F4EC9" w14:textId="77777777" w:rsidR="00E1669C" w:rsidRDefault="00C758F9">
            <w:pPr>
              <w:widowControl w:val="0"/>
              <w:ind w:left="84"/>
            </w:pPr>
            <w:r>
              <w:t>[</w:t>
            </w:r>
            <w:r>
              <w:rPr>
                <w:shd w:val="clear" w:color="auto" w:fill="FFFF00"/>
              </w:rPr>
              <w:t>Bank Name</w:t>
            </w:r>
            <w:r>
              <w:t>]</w:t>
            </w:r>
          </w:p>
        </w:tc>
      </w:tr>
      <w:tr w:rsidR="00E1669C" w14:paraId="39F6E8FA" w14:textId="77777777">
        <w:tc>
          <w:tcPr>
            <w:tcW w:w="3933" w:type="dxa"/>
          </w:tcPr>
          <w:p w14:paraId="1CE6597A" w14:textId="77777777" w:rsidR="00E1669C" w:rsidRDefault="00C758F9">
            <w:pPr>
              <w:widowControl w:val="0"/>
              <w:jc w:val="both"/>
            </w:pPr>
            <w:r>
              <w:rPr>
                <w:rStyle w:val="DeltaViewDeletion"/>
                <w:rFonts w:cs="Calibri"/>
                <w:strike w:val="0"/>
                <w:color w:val="auto"/>
                <w:lang w:val="en-US"/>
              </w:rPr>
              <w:t>IFSC:</w:t>
            </w:r>
          </w:p>
        </w:tc>
        <w:tc>
          <w:tcPr>
            <w:tcW w:w="4369" w:type="dxa"/>
            <w:tcMar>
              <w:left w:w="0" w:type="dxa"/>
              <w:right w:w="0" w:type="dxa"/>
            </w:tcMar>
          </w:tcPr>
          <w:p w14:paraId="4C036999" w14:textId="77777777" w:rsidR="00E1669C" w:rsidRDefault="00C758F9">
            <w:pPr>
              <w:widowControl w:val="0"/>
              <w:ind w:left="84"/>
              <w:jc w:val="both"/>
            </w:pPr>
            <w:r>
              <w:t>[SELLER_IFSC_CODE]</w:t>
            </w:r>
          </w:p>
        </w:tc>
      </w:tr>
    </w:tbl>
    <w:p w14:paraId="505482D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 xml:space="preserve">Seller’s </w:t>
      </w:r>
      <w:proofErr w:type="spellStart"/>
      <w:r>
        <w:rPr>
          <w:rFonts w:ascii="Calibri" w:hAnsi="Calibri" w:cs="Calibri"/>
          <w:b/>
          <w:sz w:val="22"/>
          <w:szCs w:val="22"/>
        </w:rPr>
        <w:t>Demat</w:t>
      </w:r>
      <w:proofErr w:type="spellEnd"/>
      <w:r>
        <w:rPr>
          <w:rFonts w:ascii="Calibri" w:hAnsi="Calibri" w:cs="Calibri"/>
          <w:b/>
          <w:sz w:val="22"/>
          <w:szCs w:val="22"/>
        </w:rPr>
        <w:t xml:space="preserve"> Account</w:t>
      </w:r>
      <w:r>
        <w:rPr>
          <w:rFonts w:ascii="Calibri" w:hAnsi="Calibri" w:cs="Calibri"/>
          <w:sz w:val="22"/>
          <w:szCs w:val="22"/>
        </w:rPr>
        <w:t xml:space="preserve">” shall mean the </w:t>
      </w:r>
      <w:proofErr w:type="spellStart"/>
      <w:r>
        <w:rPr>
          <w:rFonts w:ascii="Calibri" w:hAnsi="Calibri" w:cs="Calibri"/>
          <w:sz w:val="22"/>
          <w:szCs w:val="22"/>
        </w:rPr>
        <w:t>demat</w:t>
      </w:r>
      <w:proofErr w:type="spellEnd"/>
      <w:r>
        <w:rPr>
          <w:rFonts w:ascii="Calibri" w:hAnsi="Calibri" w:cs="Calibri"/>
          <w:sz w:val="22"/>
          <w:szCs w:val="22"/>
        </w:rPr>
        <w:t xml:space="preserve"> account of the Seller from which the Sale Shares are to be transferred, details of which are as follows:</w:t>
      </w:r>
    </w:p>
    <w:tbl>
      <w:tblPr>
        <w:tblW w:w="4550" w:type="pct"/>
        <w:tblInd w:w="715" w:type="dxa"/>
        <w:tblLayout w:type="fixed"/>
        <w:tblLook w:val="0000" w:firstRow="0" w:lastRow="0" w:firstColumn="0" w:lastColumn="0" w:noHBand="0" w:noVBand="0"/>
      </w:tblPr>
      <w:tblGrid>
        <w:gridCol w:w="1529"/>
        <w:gridCol w:w="2676"/>
        <w:gridCol w:w="1953"/>
        <w:gridCol w:w="2047"/>
      </w:tblGrid>
      <w:tr w:rsidR="00E1669C" w14:paraId="3B6957B0" w14:textId="77777777">
        <w:tc>
          <w:tcPr>
            <w:tcW w:w="1530" w:type="dxa"/>
            <w:tcBorders>
              <w:top w:val="single" w:sz="4" w:space="0" w:color="808080"/>
              <w:left w:val="single" w:sz="4" w:space="0" w:color="808080"/>
              <w:bottom w:val="single" w:sz="4" w:space="0" w:color="808080"/>
              <w:right w:val="single" w:sz="4" w:space="0" w:color="808080"/>
            </w:tcBorders>
            <w:shd w:val="clear" w:color="auto" w:fill="D9D9D9"/>
          </w:tcPr>
          <w:p w14:paraId="552CE2B3" w14:textId="77777777" w:rsidR="00E1669C" w:rsidRDefault="00C758F9">
            <w:pPr>
              <w:widowControl w:val="0"/>
              <w:spacing w:before="120" w:after="240"/>
              <w:jc w:val="center"/>
            </w:pPr>
            <w:r>
              <w:rPr>
                <w:rStyle w:val="DeltaViewDeletion"/>
                <w:rFonts w:cs="Calibri"/>
                <w:strike w:val="0"/>
                <w:color w:val="auto"/>
              </w:rPr>
              <w:lastRenderedPageBreak/>
              <w:t>NAME</w:t>
            </w:r>
          </w:p>
        </w:tc>
        <w:tc>
          <w:tcPr>
            <w:tcW w:w="2678" w:type="dxa"/>
            <w:tcBorders>
              <w:top w:val="single" w:sz="4" w:space="0" w:color="808080"/>
              <w:left w:val="single" w:sz="4" w:space="0" w:color="808080"/>
              <w:bottom w:val="single" w:sz="4" w:space="0" w:color="808080"/>
              <w:right w:val="single" w:sz="4" w:space="0" w:color="808080"/>
            </w:tcBorders>
            <w:shd w:val="clear" w:color="auto" w:fill="D9D9D9"/>
          </w:tcPr>
          <w:p w14:paraId="3601D062" w14:textId="77777777" w:rsidR="00E1669C" w:rsidRDefault="00C758F9">
            <w:pPr>
              <w:widowControl w:val="0"/>
              <w:spacing w:before="120" w:after="240"/>
              <w:jc w:val="center"/>
            </w:pPr>
            <w:r>
              <w:rPr>
                <w:rStyle w:val="DeltaViewDeletion"/>
                <w:rFonts w:cs="Calibri"/>
                <w:strike w:val="0"/>
                <w:color w:val="auto"/>
              </w:rPr>
              <w:t>DEPOSITORY PARTICIPANT</w:t>
            </w:r>
          </w:p>
        </w:tc>
        <w:tc>
          <w:tcPr>
            <w:tcW w:w="1955" w:type="dxa"/>
            <w:tcBorders>
              <w:top w:val="single" w:sz="4" w:space="0" w:color="808080"/>
              <w:left w:val="single" w:sz="4" w:space="0" w:color="808080"/>
              <w:bottom w:val="single" w:sz="4" w:space="0" w:color="808080"/>
              <w:right w:val="single" w:sz="4" w:space="0" w:color="808080"/>
            </w:tcBorders>
            <w:shd w:val="clear" w:color="auto" w:fill="D9D9D9"/>
          </w:tcPr>
          <w:p w14:paraId="7EA413E4" w14:textId="77777777" w:rsidR="00E1669C" w:rsidRDefault="00C758F9">
            <w:pPr>
              <w:widowControl w:val="0"/>
              <w:spacing w:before="120" w:after="240"/>
              <w:jc w:val="center"/>
            </w:pPr>
            <w:r>
              <w:rPr>
                <w:rStyle w:val="DeltaViewDeletion"/>
                <w:rFonts w:cs="Calibri"/>
                <w:strike w:val="0"/>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val="clear" w:color="auto" w:fill="D9D9D9"/>
          </w:tcPr>
          <w:p w14:paraId="779C1F4A" w14:textId="77777777" w:rsidR="00E1669C" w:rsidRDefault="00C758F9">
            <w:pPr>
              <w:widowControl w:val="0"/>
              <w:spacing w:before="120" w:after="240"/>
              <w:jc w:val="center"/>
            </w:pPr>
            <w:r>
              <w:rPr>
                <w:rStyle w:val="DeltaViewDeletion"/>
                <w:rFonts w:cs="Calibri"/>
                <w:strike w:val="0"/>
                <w:color w:val="auto"/>
              </w:rPr>
              <w:t xml:space="preserve">CLIENT </w:t>
            </w:r>
            <w:r>
              <w:rPr>
                <w:rStyle w:val="DeltaViewDeletion"/>
                <w:rFonts w:cs="Calibri"/>
                <w:strike w:val="0"/>
                <w:color w:val="auto"/>
              </w:rPr>
              <w:t>IDENTITY NUMBER</w:t>
            </w:r>
          </w:p>
        </w:tc>
      </w:tr>
      <w:tr w:rsidR="00E1669C" w14:paraId="06D8FDBD" w14:textId="77777777">
        <w:tc>
          <w:tcPr>
            <w:tcW w:w="1530" w:type="dxa"/>
            <w:tcBorders>
              <w:top w:val="single" w:sz="4" w:space="0" w:color="808080"/>
              <w:left w:val="single" w:sz="4" w:space="0" w:color="808080"/>
              <w:bottom w:val="single" w:sz="4" w:space="0" w:color="000000"/>
              <w:right w:val="single" w:sz="4" w:space="0" w:color="808080"/>
            </w:tcBorders>
          </w:tcPr>
          <w:p w14:paraId="5355D3E0" w14:textId="77777777" w:rsidR="00E1669C" w:rsidRDefault="00C758F9">
            <w:pPr>
              <w:widowControl w:val="0"/>
              <w:spacing w:before="120" w:after="240"/>
              <w:ind w:left="-22"/>
              <w:jc w:val="both"/>
              <w:rPr>
                <w:shd w:val="clear" w:color="auto" w:fill="FFFF00"/>
              </w:rPr>
            </w:pPr>
            <w:r>
              <w:rPr>
                <w:shd w:val="clear" w:color="auto" w:fill="FFFF00"/>
              </w:rPr>
              <w:t>[SELLER_NAME]</w:t>
            </w:r>
          </w:p>
        </w:tc>
        <w:tc>
          <w:tcPr>
            <w:tcW w:w="2678" w:type="dxa"/>
            <w:tcBorders>
              <w:top w:val="single" w:sz="4" w:space="0" w:color="808080"/>
              <w:left w:val="single" w:sz="4" w:space="0" w:color="808080"/>
              <w:bottom w:val="single" w:sz="4" w:space="0" w:color="808080"/>
              <w:right w:val="single" w:sz="4" w:space="0" w:color="808080"/>
            </w:tcBorders>
          </w:tcPr>
          <w:p w14:paraId="1EAE2985" w14:textId="77777777" w:rsidR="00E1669C" w:rsidRDefault="00C758F9">
            <w:pPr>
              <w:widowControl w:val="0"/>
              <w:spacing w:before="120" w:after="240"/>
              <w:ind w:left="-22"/>
              <w:jc w:val="both"/>
              <w:rPr>
                <w:shd w:val="clear" w:color="auto" w:fill="FFFF00"/>
              </w:rPr>
            </w:pPr>
            <w:r>
              <w:rPr>
                <w:shd w:val="clear" w:color="auto" w:fill="FFFF00"/>
              </w:rPr>
              <w:t>[Seller DP]</w:t>
            </w:r>
          </w:p>
        </w:tc>
        <w:tc>
          <w:tcPr>
            <w:tcW w:w="1955" w:type="dxa"/>
            <w:tcBorders>
              <w:top w:val="single" w:sz="4" w:space="0" w:color="808080"/>
              <w:left w:val="single" w:sz="4" w:space="0" w:color="808080"/>
              <w:bottom w:val="single" w:sz="4" w:space="0" w:color="808080"/>
              <w:right w:val="single" w:sz="4" w:space="0" w:color="808080"/>
            </w:tcBorders>
          </w:tcPr>
          <w:p w14:paraId="1A7B916F" w14:textId="77777777" w:rsidR="00E1669C" w:rsidRDefault="00C758F9">
            <w:pPr>
              <w:widowControl w:val="0"/>
              <w:spacing w:before="120" w:after="240"/>
              <w:ind w:left="-22"/>
              <w:jc w:val="both"/>
              <w:rPr>
                <w:shd w:val="clear" w:color="auto" w:fill="FFFF00"/>
              </w:rPr>
            </w:pPr>
            <w:r>
              <w:rPr>
                <w:shd w:val="clear" w:color="auto" w:fill="FFFF00"/>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14:paraId="1187190F" w14:textId="77777777" w:rsidR="00E1669C" w:rsidRDefault="00C758F9">
            <w:pPr>
              <w:widowControl w:val="0"/>
              <w:spacing w:before="120" w:after="240"/>
              <w:ind w:left="-22"/>
              <w:jc w:val="both"/>
              <w:rPr>
                <w:shd w:val="clear" w:color="auto" w:fill="FFFF00"/>
              </w:rPr>
            </w:pPr>
            <w:r>
              <w:rPr>
                <w:shd w:val="clear" w:color="auto" w:fill="FFFF00"/>
              </w:rPr>
              <w:t>[Seller CIN]</w:t>
            </w:r>
          </w:p>
        </w:tc>
      </w:tr>
    </w:tbl>
    <w:p w14:paraId="4D8AF25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Share Capital</w:t>
      </w:r>
      <w:r>
        <w:rPr>
          <w:rFonts w:ascii="Calibri" w:hAnsi="Calibri" w:cs="Calibri"/>
          <w:sz w:val="22"/>
          <w:szCs w:val="22"/>
        </w:rPr>
        <w:t>” means the total issued, subscribed and paid-up equity share capital of the Company on a Fully Diluted Basis.</w:t>
      </w:r>
    </w:p>
    <w:p w14:paraId="66807DD3" w14:textId="77777777" w:rsidR="00E1669C" w:rsidRDefault="00E1669C">
      <w:pPr>
        <w:pStyle w:val="ListParagraph"/>
        <w:widowControl w:val="0"/>
        <w:spacing w:before="120" w:after="240"/>
        <w:jc w:val="both"/>
        <w:rPr>
          <w:rFonts w:ascii="Calibri" w:hAnsi="Calibri" w:cs="Calibri"/>
          <w:sz w:val="22"/>
          <w:szCs w:val="22"/>
        </w:rPr>
      </w:pPr>
    </w:p>
    <w:p w14:paraId="6A67EFA7"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Surviving Provisions</w:t>
      </w:r>
      <w:r>
        <w:rPr>
          <w:rFonts w:ascii="Calibri" w:hAnsi="Calibri" w:cs="Calibri"/>
          <w:sz w:val="22"/>
          <w:szCs w:val="22"/>
        </w:rPr>
        <w:t xml:space="preserve">” means Clause </w:t>
      </w:r>
      <w:r>
        <w:rPr>
          <w:rFonts w:ascii="Calibri" w:hAnsi="Calibri" w:cs="Calibri"/>
          <w:sz w:val="22"/>
          <w:szCs w:val="22"/>
        </w:rPr>
        <w:fldChar w:fldCharType="begin"/>
      </w:r>
      <w:r>
        <w:rPr>
          <w:rFonts w:ascii="Calibri" w:hAnsi="Calibri" w:cs="Calibri"/>
          <w:sz w:val="22"/>
          <w:szCs w:val="22"/>
        </w:rPr>
        <w:instrText xml:space="preserve"> REF _Ref491597798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1</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Definitions and Interpretation</w:t>
      </w:r>
      <w:r>
        <w:rPr>
          <w:rFonts w:ascii="Calibri" w:hAnsi="Calibri" w:cs="Calibri"/>
          <w:sz w:val="22"/>
          <w:szCs w:val="22"/>
        </w:rPr>
        <w:t xml:space="preserve">), Clause </w:t>
      </w:r>
      <w:r>
        <w:rPr>
          <w:rFonts w:ascii="Calibri" w:hAnsi="Calibri" w:cs="Calibri"/>
          <w:sz w:val="22"/>
          <w:szCs w:val="22"/>
        </w:rPr>
        <w:fldChar w:fldCharType="begin"/>
      </w:r>
      <w:r>
        <w:rPr>
          <w:rFonts w:ascii="Calibri" w:hAnsi="Calibri" w:cs="Calibri"/>
          <w:sz w:val="22"/>
          <w:szCs w:val="22"/>
        </w:rPr>
        <w:instrText xml:space="preserve"> REF _Ref491395383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6</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 xml:space="preserve">Governing Law and Dispute </w:t>
      </w:r>
      <w:r>
        <w:rPr>
          <w:rFonts w:ascii="Calibri" w:hAnsi="Calibri" w:cs="Calibri"/>
          <w:sz w:val="22"/>
          <w:szCs w:val="22"/>
        </w:rPr>
        <w:t xml:space="preserve">Resolution), Clause </w:t>
      </w:r>
      <w:r>
        <w:rPr>
          <w:rFonts w:ascii="Calibri" w:hAnsi="Calibri" w:cs="Calibri"/>
          <w:sz w:val="22"/>
          <w:szCs w:val="22"/>
        </w:rPr>
        <w:fldChar w:fldCharType="begin"/>
      </w:r>
      <w:r>
        <w:rPr>
          <w:rFonts w:ascii="Calibri" w:hAnsi="Calibri" w:cs="Calibri"/>
          <w:sz w:val="22"/>
          <w:szCs w:val="22"/>
        </w:rPr>
        <w:instrText xml:space="preserve"> REF _Ref491395391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7</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Announcement and Confidentiality</w:t>
      </w:r>
      <w:r>
        <w:rPr>
          <w:rFonts w:ascii="Calibri" w:hAnsi="Calibri" w:cs="Calibri"/>
          <w:sz w:val="22"/>
          <w:szCs w:val="22"/>
        </w:rPr>
        <w:t xml:space="preserve">) and Clause </w:t>
      </w:r>
      <w:r>
        <w:rPr>
          <w:rFonts w:ascii="Calibri" w:hAnsi="Calibri" w:cs="Calibri"/>
          <w:sz w:val="22"/>
          <w:szCs w:val="22"/>
        </w:rPr>
        <w:fldChar w:fldCharType="begin"/>
      </w:r>
      <w:r>
        <w:rPr>
          <w:rFonts w:ascii="Calibri" w:hAnsi="Calibri" w:cs="Calibri"/>
          <w:sz w:val="22"/>
          <w:szCs w:val="22"/>
        </w:rPr>
        <w:instrText xml:space="preserve"> RE</w:instrText>
      </w:r>
      <w:r>
        <w:rPr>
          <w:rFonts w:ascii="Calibri" w:hAnsi="Calibri" w:cs="Calibri"/>
          <w:sz w:val="22"/>
          <w:szCs w:val="22"/>
        </w:rPr>
        <w:instrText xml:space="preserve">F _Ref491395403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9</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Miscellaneous</w:t>
      </w:r>
      <w:r>
        <w:rPr>
          <w:rFonts w:ascii="Calibri" w:hAnsi="Calibri" w:cs="Calibri"/>
          <w:sz w:val="22"/>
          <w:szCs w:val="22"/>
        </w:rPr>
        <w:t>).</w:t>
      </w:r>
    </w:p>
    <w:p w14:paraId="3061B801" w14:textId="77777777" w:rsidR="00E1669C" w:rsidRDefault="00E1669C">
      <w:pPr>
        <w:pStyle w:val="ListParagraph"/>
        <w:rPr>
          <w:rFonts w:ascii="Calibri" w:hAnsi="Calibri" w:cs="Calibri"/>
          <w:sz w:val="22"/>
          <w:szCs w:val="22"/>
        </w:rPr>
      </w:pPr>
    </w:p>
    <w:p w14:paraId="2FDCCC24"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Transfer</w:t>
      </w:r>
      <w:r>
        <w:rPr>
          <w:rFonts w:ascii="Calibri" w:hAnsi="Calibri" w:cs="Calibri"/>
          <w:sz w:val="22"/>
          <w:szCs w:val="22"/>
        </w:rPr>
        <w:t>” shall mean to transfer, sell or assign by operation of Applicable Law or in any other way, dispose of, whether or not voluntarily; and “</w:t>
      </w:r>
      <w:r>
        <w:rPr>
          <w:rFonts w:ascii="Calibri" w:hAnsi="Calibri" w:cs="Calibri"/>
          <w:b/>
          <w:sz w:val="22"/>
          <w:szCs w:val="22"/>
        </w:rPr>
        <w:t>Transferred</w:t>
      </w:r>
      <w:r>
        <w:rPr>
          <w:rFonts w:ascii="Calibri" w:hAnsi="Calibri" w:cs="Calibri"/>
          <w:sz w:val="22"/>
          <w:szCs w:val="22"/>
        </w:rPr>
        <w:t>” shall be construed accordingly.</w:t>
      </w:r>
    </w:p>
    <w:p w14:paraId="44904962" w14:textId="77777777" w:rsidR="00E1669C" w:rsidRDefault="00E1669C">
      <w:pPr>
        <w:pStyle w:val="ListParagraph"/>
        <w:rPr>
          <w:rFonts w:ascii="Calibri" w:hAnsi="Calibri" w:cs="Calibri"/>
          <w:sz w:val="22"/>
          <w:szCs w:val="22"/>
        </w:rPr>
      </w:pPr>
    </w:p>
    <w:p w14:paraId="6E5C194D"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Warranties</w:t>
      </w:r>
      <w:r>
        <w:rPr>
          <w:rFonts w:ascii="Calibri" w:hAnsi="Calibri" w:cs="Calibri"/>
          <w:sz w:val="22"/>
          <w:szCs w:val="22"/>
        </w:rPr>
        <w:t>” shall mean collectively, the Seller Warranties and the Buyer Warranties.</w:t>
      </w:r>
    </w:p>
    <w:p w14:paraId="5E43A3F8" w14:textId="77777777" w:rsidR="00E1669C" w:rsidRDefault="00E1669C">
      <w:pPr>
        <w:widowControl w:val="0"/>
        <w:spacing w:before="120" w:after="240"/>
        <w:ind w:left="720"/>
        <w:jc w:val="both"/>
        <w:rPr>
          <w:rFonts w:cs="Calibri"/>
          <w:b/>
          <w:lang w:val="en-US"/>
        </w:rPr>
      </w:pPr>
      <w:bookmarkStart w:id="261" w:name="_Toc4826996341"/>
      <w:bookmarkStart w:id="262" w:name="_Toc4826996601"/>
      <w:bookmarkStart w:id="263" w:name="_Toc4884331171"/>
      <w:bookmarkStart w:id="264" w:name="_Toc4900735031"/>
      <w:bookmarkEnd w:id="261"/>
      <w:bookmarkEnd w:id="262"/>
      <w:bookmarkEnd w:id="263"/>
      <w:bookmarkEnd w:id="264"/>
    </w:p>
    <w:p w14:paraId="63F64AD1" w14:textId="77777777" w:rsidR="00E1669C" w:rsidRDefault="00E1669C">
      <w:pPr>
        <w:pStyle w:val="Heading1"/>
        <w:numPr>
          <w:ilvl w:val="0"/>
          <w:numId w:val="0"/>
        </w:numPr>
        <w:tabs>
          <w:tab w:val="left" w:pos="0"/>
        </w:tabs>
        <w:jc w:val="center"/>
        <w:rPr>
          <w:rFonts w:ascii="Calibri" w:hAnsi="Calibri" w:cs="Calibri"/>
          <w:szCs w:val="22"/>
        </w:rPr>
      </w:pPr>
    </w:p>
    <w:p w14:paraId="7AA11913" w14:textId="77777777" w:rsidR="00E1669C" w:rsidRDefault="00C758F9">
      <w:pPr>
        <w:rPr>
          <w:rFonts w:cs="Calibri"/>
          <w:b/>
          <w:caps/>
        </w:rPr>
      </w:pPr>
      <w:r>
        <w:br w:type="page"/>
      </w:r>
    </w:p>
    <w:p w14:paraId="114BF65A" w14:textId="77777777" w:rsidR="00E1669C" w:rsidRDefault="00C758F9">
      <w:pPr>
        <w:pStyle w:val="Heading1"/>
        <w:numPr>
          <w:ilvl w:val="0"/>
          <w:numId w:val="0"/>
        </w:numPr>
        <w:tabs>
          <w:tab w:val="left" w:pos="0"/>
        </w:tabs>
        <w:jc w:val="center"/>
        <w:rPr>
          <w:rFonts w:ascii="Calibri" w:hAnsi="Calibri" w:cs="Calibri"/>
          <w:szCs w:val="22"/>
        </w:rPr>
      </w:pPr>
      <w:bookmarkStart w:id="265" w:name="_Toc503206742"/>
      <w:bookmarkStart w:id="266" w:name="_Toc503175539"/>
      <w:r>
        <w:rPr>
          <w:rFonts w:ascii="Calibri" w:hAnsi="Calibri" w:cs="Calibri"/>
          <w:szCs w:val="22"/>
        </w:rPr>
        <w:lastRenderedPageBreak/>
        <w:t>SCHEDULE II</w:t>
      </w:r>
      <w:bookmarkEnd w:id="265"/>
      <w:bookmarkEnd w:id="266"/>
    </w:p>
    <w:p w14:paraId="2A368555" w14:textId="77777777" w:rsidR="00E1669C" w:rsidRDefault="00C758F9">
      <w:pPr>
        <w:jc w:val="center"/>
        <w:rPr>
          <w:b/>
        </w:rPr>
      </w:pPr>
      <w:bookmarkStart w:id="267" w:name="_Toc503175540"/>
      <w:bookmarkStart w:id="268" w:name="_Toc503173976"/>
      <w:r>
        <w:rPr>
          <w:b/>
        </w:rPr>
        <w:t>INTERPRETATION</w:t>
      </w:r>
      <w:bookmarkEnd w:id="267"/>
      <w:bookmarkEnd w:id="268"/>
    </w:p>
    <w:p w14:paraId="08A5CEEC" w14:textId="77777777" w:rsidR="00E1669C" w:rsidRDefault="00C758F9">
      <w:pPr>
        <w:pStyle w:val="Heading3"/>
        <w:numPr>
          <w:ilvl w:val="2"/>
          <w:numId w:val="8"/>
        </w:numPr>
        <w:tabs>
          <w:tab w:val="left" w:pos="360"/>
        </w:tabs>
        <w:ind w:left="720"/>
        <w:textAlignment w:val="baseline"/>
        <w:rPr>
          <w:rFonts w:cs="Calibri"/>
          <w:szCs w:val="22"/>
        </w:rPr>
      </w:pPr>
      <w:bookmarkStart w:id="269" w:name="_Toc205024713"/>
      <w:bookmarkStart w:id="270" w:name="_Toc201665341"/>
      <w:bookmarkEnd w:id="269"/>
      <w:bookmarkEnd w:id="270"/>
      <w:r>
        <w:rPr>
          <w:rFonts w:cs="Calibri"/>
          <w:szCs w:val="22"/>
        </w:rPr>
        <w:t xml:space="preserve">The terms referred to in this Agreement shall, unless defined otherwise or </w:t>
      </w:r>
      <w:r>
        <w:rPr>
          <w:rFonts w:cs="Calibri"/>
          <w:szCs w:val="22"/>
        </w:rPr>
        <w:t>inconsistent with the context or meaning thereof, bear the meanings ascribed to them under the relevant statute/legislation.</w:t>
      </w:r>
    </w:p>
    <w:p w14:paraId="5BFFDA52" w14:textId="77777777" w:rsidR="00E1669C" w:rsidRDefault="00C758F9">
      <w:pPr>
        <w:pStyle w:val="Heading3"/>
        <w:numPr>
          <w:ilvl w:val="2"/>
          <w:numId w:val="9"/>
        </w:numPr>
        <w:tabs>
          <w:tab w:val="left" w:pos="360"/>
        </w:tabs>
        <w:ind w:left="720"/>
        <w:textAlignment w:val="baseline"/>
        <w:rPr>
          <w:rFonts w:cs="Calibri"/>
          <w:szCs w:val="22"/>
        </w:rPr>
      </w:pPr>
      <w:r>
        <w:rPr>
          <w:rFonts w:cs="Calibri"/>
          <w:szCs w:val="22"/>
        </w:rPr>
        <w:t>Reference to statutory provisions shall be construed as meaning and including references also to any amendment or re-enactment (whe</w:t>
      </w:r>
      <w:r>
        <w:rPr>
          <w:rFonts w:cs="Calibri"/>
          <w:szCs w:val="22"/>
        </w:rPr>
        <w:t>ther before or after the Execution Date) for the time being in force and to all statutory instruments or orders made pursuant to such statutory provisions.</w:t>
      </w:r>
    </w:p>
    <w:p w14:paraId="01676A8A" w14:textId="77777777" w:rsidR="00E1669C" w:rsidRDefault="00C758F9">
      <w:pPr>
        <w:pStyle w:val="Heading3"/>
        <w:numPr>
          <w:ilvl w:val="2"/>
          <w:numId w:val="10"/>
        </w:numPr>
        <w:tabs>
          <w:tab w:val="left" w:pos="360"/>
        </w:tabs>
        <w:ind w:left="720"/>
        <w:textAlignment w:val="baseline"/>
        <w:rPr>
          <w:rFonts w:cs="Calibri"/>
          <w:szCs w:val="22"/>
        </w:rPr>
      </w:pPr>
      <w:r>
        <w:rPr>
          <w:rFonts w:cs="Calibri"/>
          <w:szCs w:val="22"/>
        </w:rPr>
        <w:t>Words denoting the singular shall include the plural and words denoting any gender (including neutra</w:t>
      </w:r>
      <w:r>
        <w:rPr>
          <w:rFonts w:cs="Calibri"/>
          <w:szCs w:val="22"/>
        </w:rPr>
        <w:t>l gender) shall include all genders (including neutral gender).</w:t>
      </w:r>
    </w:p>
    <w:p w14:paraId="776ECF13" w14:textId="77777777" w:rsidR="00E1669C" w:rsidRDefault="00C758F9">
      <w:pPr>
        <w:pStyle w:val="Heading3"/>
        <w:numPr>
          <w:ilvl w:val="2"/>
          <w:numId w:val="11"/>
        </w:numPr>
        <w:tabs>
          <w:tab w:val="left" w:pos="360"/>
        </w:tabs>
        <w:ind w:left="720"/>
        <w:textAlignment w:val="baseline"/>
        <w:rPr>
          <w:rFonts w:cs="Calibri"/>
          <w:szCs w:val="22"/>
        </w:rPr>
      </w:pPr>
      <w:r>
        <w:rPr>
          <w:rFonts w:cs="Calibri"/>
          <w:szCs w:val="22"/>
        </w:rPr>
        <w:t xml:space="preserve">Headings, subheadings, titles, subtitles to clauses, sub-clauses and paragraphs are for information only and shall not form part of the operative provisions of this Agreement or the schedules </w:t>
      </w:r>
      <w:r>
        <w:rPr>
          <w:rFonts w:cs="Calibri"/>
          <w:szCs w:val="22"/>
        </w:rPr>
        <w:t>hereto and shall be ignored in construing the same.</w:t>
      </w:r>
    </w:p>
    <w:p w14:paraId="710B0CC7" w14:textId="77777777" w:rsidR="00E1669C" w:rsidRDefault="00C758F9">
      <w:pPr>
        <w:pStyle w:val="Heading3"/>
        <w:numPr>
          <w:ilvl w:val="2"/>
          <w:numId w:val="12"/>
        </w:numPr>
        <w:tabs>
          <w:tab w:val="left" w:pos="360"/>
        </w:tabs>
        <w:ind w:left="720"/>
        <w:textAlignment w:val="baseline"/>
        <w:rPr>
          <w:rFonts w:cs="Calibri"/>
          <w:szCs w:val="22"/>
        </w:rPr>
      </w:pPr>
      <w:r>
        <w:rPr>
          <w:rFonts w:cs="Calibri"/>
          <w:szCs w:val="22"/>
        </w:rPr>
        <w:t>The schedules and recitals hereto shall constitute an integral part of this Agreement.</w:t>
      </w:r>
    </w:p>
    <w:p w14:paraId="4FF623DB" w14:textId="77777777" w:rsidR="00E1669C" w:rsidRDefault="00C758F9">
      <w:pPr>
        <w:pStyle w:val="Heading3"/>
        <w:numPr>
          <w:ilvl w:val="2"/>
          <w:numId w:val="13"/>
        </w:numPr>
        <w:tabs>
          <w:tab w:val="left" w:pos="360"/>
        </w:tabs>
        <w:ind w:left="720"/>
        <w:textAlignment w:val="baseline"/>
        <w:rPr>
          <w:rFonts w:cs="Calibri"/>
          <w:szCs w:val="22"/>
        </w:rPr>
      </w:pPr>
      <w:r>
        <w:rPr>
          <w:rFonts w:cs="Calibri"/>
          <w:szCs w:val="22"/>
        </w:rPr>
        <w:t>References to days, months and years are to calendar days, calendar months and calendar years, respectively.</w:t>
      </w:r>
    </w:p>
    <w:p w14:paraId="30CA6240" w14:textId="77777777" w:rsidR="00E1669C" w:rsidRDefault="00C758F9">
      <w:pPr>
        <w:pStyle w:val="Heading3"/>
        <w:numPr>
          <w:ilvl w:val="2"/>
          <w:numId w:val="14"/>
        </w:numPr>
        <w:tabs>
          <w:tab w:val="left" w:pos="360"/>
        </w:tabs>
        <w:ind w:left="720"/>
        <w:textAlignment w:val="baseline"/>
        <w:rPr>
          <w:rFonts w:cs="Calibri"/>
          <w:szCs w:val="22"/>
        </w:rPr>
      </w:pPr>
      <w:r>
        <w:rPr>
          <w:rFonts w:cs="Calibri"/>
          <w:szCs w:val="22"/>
        </w:rPr>
        <w:t>The word</w:t>
      </w:r>
      <w:r>
        <w:rPr>
          <w:rFonts w:cs="Calibri"/>
          <w:szCs w:val="22"/>
        </w:rPr>
        <w:t>s “directly or indirectly” shall mean directly or indirectly through one or more intermediary persons or through contractual or other legal arrangements, and the words “direct or indirect” shall have correlative meanings.</w:t>
      </w:r>
    </w:p>
    <w:p w14:paraId="5F27F4FC" w14:textId="77777777" w:rsidR="00E1669C" w:rsidRDefault="00C758F9">
      <w:pPr>
        <w:pStyle w:val="Heading3"/>
        <w:numPr>
          <w:ilvl w:val="2"/>
          <w:numId w:val="15"/>
        </w:numPr>
        <w:tabs>
          <w:tab w:val="left" w:pos="360"/>
        </w:tabs>
        <w:ind w:left="720"/>
        <w:textAlignment w:val="baseline"/>
        <w:rPr>
          <w:rFonts w:cs="Calibri"/>
          <w:szCs w:val="22"/>
        </w:rPr>
      </w:pPr>
      <w:r>
        <w:rPr>
          <w:rFonts w:cs="Calibri"/>
          <w:szCs w:val="22"/>
        </w:rPr>
        <w:t>Any reference to “writing” shall i</w:t>
      </w:r>
      <w:r>
        <w:rPr>
          <w:rFonts w:cs="Calibri"/>
          <w:szCs w:val="22"/>
        </w:rPr>
        <w:t>nclude printing, typing, lithography, transmissions by facsimile or in electronic form (including email) and other means of reproducing words in visible form but shall exclude any form of text messages via mobile phones.</w:t>
      </w:r>
    </w:p>
    <w:p w14:paraId="1AEE492E" w14:textId="77777777" w:rsidR="00E1669C" w:rsidRDefault="00C758F9">
      <w:pPr>
        <w:pStyle w:val="Heading3"/>
        <w:numPr>
          <w:ilvl w:val="2"/>
          <w:numId w:val="16"/>
        </w:numPr>
        <w:tabs>
          <w:tab w:val="left" w:pos="360"/>
        </w:tabs>
        <w:ind w:left="720"/>
        <w:textAlignment w:val="baseline"/>
        <w:rPr>
          <w:rFonts w:cs="Calibri"/>
          <w:szCs w:val="22"/>
        </w:rPr>
      </w:pPr>
      <w:r>
        <w:rPr>
          <w:rFonts w:cs="Calibri"/>
          <w:szCs w:val="22"/>
        </w:rPr>
        <w:t>The words “include” and “including”</w:t>
      </w:r>
      <w:r>
        <w:rPr>
          <w:rFonts w:cs="Calibri"/>
          <w:szCs w:val="22"/>
        </w:rPr>
        <w:t xml:space="preserve"> are to be construed without limitation unless the context otherwise requires or unless otherwise specified. </w:t>
      </w:r>
    </w:p>
    <w:p w14:paraId="427A3730" w14:textId="77777777" w:rsidR="00E1669C" w:rsidRDefault="00C758F9">
      <w:pPr>
        <w:pStyle w:val="Heading3"/>
        <w:numPr>
          <w:ilvl w:val="2"/>
          <w:numId w:val="17"/>
        </w:numPr>
        <w:tabs>
          <w:tab w:val="left" w:pos="360"/>
        </w:tabs>
        <w:ind w:left="720"/>
        <w:textAlignment w:val="baseline"/>
        <w:rPr>
          <w:rFonts w:cs="Calibri"/>
          <w:szCs w:val="22"/>
        </w:rPr>
      </w:pPr>
      <w:r>
        <w:rPr>
          <w:rFonts w:cs="Calibri"/>
          <w:szCs w:val="22"/>
        </w:rPr>
        <w:t xml:space="preserve">No provisions shall be interpreted in favour of, or against, any Party by reason of the extent to which such Party or its counsel participated in </w:t>
      </w:r>
      <w:r>
        <w:rPr>
          <w:rFonts w:cs="Calibri"/>
          <w:szCs w:val="22"/>
        </w:rPr>
        <w:t>the drafting hereof or by reason of the extent to which any such provision is inconsistent with any prior draft hereof.</w:t>
      </w:r>
    </w:p>
    <w:p w14:paraId="65A3FF3B" w14:textId="77777777" w:rsidR="00E1669C" w:rsidRDefault="00C758F9">
      <w:pPr>
        <w:pStyle w:val="Heading3"/>
        <w:numPr>
          <w:ilvl w:val="2"/>
          <w:numId w:val="18"/>
        </w:numPr>
        <w:tabs>
          <w:tab w:val="left" w:pos="360"/>
        </w:tabs>
        <w:ind w:left="720"/>
        <w:textAlignment w:val="baseline"/>
        <w:rPr>
          <w:rFonts w:cs="Calibri"/>
          <w:szCs w:val="22"/>
        </w:rPr>
      </w:pPr>
      <w:r>
        <w:rPr>
          <w:rFonts w:cs="Calibri"/>
          <w:szCs w:val="22"/>
        </w:rPr>
        <w:t xml:space="preserve">If there is any conflict or inconsistency between a term in the body of this Agreement and a term in any of the schedules or any </w:t>
      </w:r>
      <w:r>
        <w:rPr>
          <w:rFonts w:cs="Calibri"/>
          <w:szCs w:val="22"/>
        </w:rPr>
        <w:t>other document referred to or otherwise incorporated in this Agreement, the term in the body of this Agreement shall take precedence.</w:t>
      </w:r>
    </w:p>
    <w:p w14:paraId="5F836F9F" w14:textId="77777777" w:rsidR="00E1669C" w:rsidRDefault="00C758F9">
      <w:pPr>
        <w:pStyle w:val="Heading3"/>
        <w:numPr>
          <w:ilvl w:val="2"/>
          <w:numId w:val="19"/>
        </w:numPr>
        <w:tabs>
          <w:tab w:val="left" w:pos="360"/>
        </w:tabs>
        <w:ind w:left="720"/>
        <w:textAlignment w:val="baseline"/>
      </w:pPr>
      <w:r>
        <w:rPr>
          <w:rFonts w:cs="Calibri"/>
          <w:szCs w:val="22"/>
        </w:rPr>
        <w:t>Reference to any document includes any amendment or supplement to, or replacement or novation of, that document, but disre</w:t>
      </w:r>
      <w:r>
        <w:rPr>
          <w:rFonts w:cs="Calibri"/>
          <w:szCs w:val="22"/>
        </w:rPr>
        <w:t>garding any amendment, supplement, replacement or novation made in breach of this Agreement.</w:t>
      </w:r>
    </w:p>
    <w:p w14:paraId="505E03E6" w14:textId="77777777" w:rsidR="00E1669C" w:rsidRDefault="00C758F9">
      <w:pPr>
        <w:pStyle w:val="Heading3"/>
        <w:numPr>
          <w:ilvl w:val="2"/>
          <w:numId w:val="20"/>
        </w:numPr>
        <w:tabs>
          <w:tab w:val="left" w:pos="360"/>
        </w:tabs>
        <w:ind w:left="720"/>
        <w:textAlignment w:val="baseline"/>
        <w:rPr>
          <w:rFonts w:cs="Calibri"/>
          <w:szCs w:val="22"/>
        </w:rPr>
      </w:pPr>
      <w:r>
        <w:rPr>
          <w:rFonts w:cs="Calibri"/>
          <w:szCs w:val="22"/>
        </w:rPr>
        <w:t xml:space="preserve">Reference to an “amendment” includes a supplement, modification, novation, replacement or re-enactment, and “amended” shall be construed accordingly. reference to </w:t>
      </w:r>
      <w:r>
        <w:rPr>
          <w:rFonts w:cs="Calibri"/>
          <w:szCs w:val="22"/>
        </w:rPr>
        <w:t>the word “include” shall be construed without limitation.</w:t>
      </w:r>
    </w:p>
    <w:p w14:paraId="41C85FED" w14:textId="77777777" w:rsidR="00E1669C" w:rsidRDefault="00E1669C">
      <w:pPr>
        <w:pStyle w:val="ListParagraph"/>
        <w:widowControl w:val="0"/>
        <w:tabs>
          <w:tab w:val="left" w:pos="720"/>
        </w:tabs>
        <w:spacing w:before="120" w:after="240"/>
        <w:ind w:left="1260" w:hanging="540"/>
        <w:jc w:val="both"/>
        <w:rPr>
          <w:rFonts w:ascii="Calibri" w:hAnsi="Calibri" w:cs="Calibri"/>
          <w:sz w:val="22"/>
          <w:szCs w:val="22"/>
        </w:rPr>
      </w:pPr>
    </w:p>
    <w:p w14:paraId="3F14EAFA" w14:textId="77777777" w:rsidR="00E1669C" w:rsidRDefault="00C758F9">
      <w:pPr>
        <w:pStyle w:val="Heading1"/>
        <w:numPr>
          <w:ilvl w:val="0"/>
          <w:numId w:val="0"/>
        </w:numPr>
        <w:tabs>
          <w:tab w:val="left" w:pos="0"/>
        </w:tabs>
        <w:jc w:val="center"/>
      </w:pPr>
      <w:bookmarkStart w:id="271" w:name="_Toc2050247131"/>
      <w:bookmarkStart w:id="272" w:name="_Toc2016653411"/>
      <w:bookmarkStart w:id="273" w:name="_Toc396217679"/>
      <w:bookmarkStart w:id="274" w:name="_Toc458718783"/>
      <w:bookmarkStart w:id="275" w:name="_Toc471427443"/>
      <w:bookmarkStart w:id="276" w:name="_Toc503175541"/>
      <w:bookmarkStart w:id="277" w:name="_Toc503206743"/>
      <w:bookmarkEnd w:id="271"/>
      <w:bookmarkEnd w:id="272"/>
      <w:r>
        <w:rPr>
          <w:rFonts w:ascii="Calibri" w:eastAsia="SimSun" w:hAnsi="Calibri"/>
          <w:bCs/>
          <w:szCs w:val="22"/>
          <w:lang w:val="en-IN" w:eastAsia="en-IN"/>
        </w:rPr>
        <w:lastRenderedPageBreak/>
        <w:t>SCHEDULE II</w:t>
      </w:r>
      <w:bookmarkEnd w:id="273"/>
      <w:bookmarkEnd w:id="274"/>
      <w:bookmarkEnd w:id="275"/>
      <w:r>
        <w:rPr>
          <w:rFonts w:ascii="Calibri" w:eastAsia="SimSun" w:hAnsi="Calibri"/>
          <w:bCs/>
          <w:szCs w:val="22"/>
          <w:lang w:val="en-IN" w:eastAsia="en-IN"/>
        </w:rPr>
        <w:t>I</w:t>
      </w:r>
      <w:bookmarkEnd w:id="276"/>
      <w:bookmarkEnd w:id="277"/>
    </w:p>
    <w:p w14:paraId="20875788" w14:textId="77777777" w:rsidR="00E1669C" w:rsidRDefault="00C758F9">
      <w:pPr>
        <w:widowControl w:val="0"/>
        <w:spacing w:before="120" w:after="240"/>
        <w:jc w:val="center"/>
      </w:pPr>
      <w:bookmarkStart w:id="278" w:name="_Toc200527991"/>
      <w:bookmarkStart w:id="279" w:name="_Toc200532670"/>
      <w:bookmarkStart w:id="280" w:name="_Toc201665667"/>
      <w:bookmarkStart w:id="281" w:name="_Toc205025129"/>
      <w:bookmarkStart w:id="282" w:name="_Toc205091888"/>
      <w:bookmarkStart w:id="283" w:name="_Toc351574808"/>
      <w:bookmarkStart w:id="284" w:name="_Toc351640804"/>
      <w:bookmarkStart w:id="285" w:name="_Toc200475264"/>
      <w:r>
        <w:rPr>
          <w:rFonts w:eastAsia="SimSun" w:cs="Arial"/>
          <w:b/>
          <w:lang w:eastAsia="en-IN"/>
        </w:rPr>
        <w:t xml:space="preserve">PART A – </w:t>
      </w:r>
      <w:bookmarkStart w:id="286" w:name="_Toc205025130"/>
      <w:bookmarkStart w:id="287" w:name="_Toc201665668"/>
      <w:bookmarkStart w:id="288" w:name="_Toc200532671"/>
      <w:bookmarkStart w:id="289" w:name="_Toc200527992"/>
      <w:bookmarkStart w:id="290" w:name="_Toc200475265"/>
      <w:bookmarkEnd w:id="278"/>
      <w:bookmarkEnd w:id="279"/>
      <w:bookmarkEnd w:id="280"/>
      <w:bookmarkEnd w:id="281"/>
      <w:bookmarkEnd w:id="282"/>
      <w:bookmarkEnd w:id="283"/>
      <w:bookmarkEnd w:id="284"/>
      <w:bookmarkEnd w:id="285"/>
      <w:r>
        <w:rPr>
          <w:rFonts w:eastAsia="SimSun" w:cs="Arial"/>
          <w:b/>
          <w:lang w:eastAsia="en-IN"/>
        </w:rPr>
        <w:t xml:space="preserve">SHAREHOLDING PATTERN </w:t>
      </w:r>
      <w:bookmarkEnd w:id="286"/>
      <w:bookmarkEnd w:id="287"/>
      <w:bookmarkEnd w:id="288"/>
      <w:bookmarkEnd w:id="289"/>
      <w:bookmarkEnd w:id="290"/>
      <w:r>
        <w:rPr>
          <w:rFonts w:eastAsia="SimSun" w:cs="Arial"/>
          <w:b/>
          <w:lang w:eastAsia="en-IN"/>
        </w:rPr>
        <w:t>PRIOR TO COMPLETION</w:t>
      </w:r>
    </w:p>
    <w:tbl>
      <w:tblPr>
        <w:tblW w:w="5000" w:type="pct"/>
        <w:tblLayout w:type="fixed"/>
        <w:tblLook w:val="0000" w:firstRow="0" w:lastRow="0" w:firstColumn="0" w:lastColumn="0" w:noHBand="0" w:noVBand="0"/>
      </w:tblPr>
      <w:tblGrid>
        <w:gridCol w:w="883"/>
        <w:gridCol w:w="3433"/>
        <w:gridCol w:w="1857"/>
        <w:gridCol w:w="2843"/>
      </w:tblGrid>
      <w:tr w:rsidR="00E1669C" w14:paraId="589F0CAD" w14:textId="77777777">
        <w:tc>
          <w:tcPr>
            <w:tcW w:w="883" w:type="dxa"/>
            <w:tcBorders>
              <w:top w:val="single" w:sz="4" w:space="0" w:color="808080"/>
              <w:left w:val="single" w:sz="4" w:space="0" w:color="808080"/>
              <w:bottom w:val="single" w:sz="4" w:space="0" w:color="808080"/>
              <w:right w:val="single" w:sz="4" w:space="0" w:color="808080"/>
            </w:tcBorders>
            <w:shd w:val="clear" w:color="auto" w:fill="D9D9D9"/>
          </w:tcPr>
          <w:p w14:paraId="0335C6AA" w14:textId="77777777" w:rsidR="00E1669C" w:rsidRDefault="00C758F9">
            <w:pPr>
              <w:widowControl w:val="0"/>
              <w:spacing w:before="120" w:after="120"/>
              <w:rPr>
                <w:rFonts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val="clear" w:color="auto" w:fill="D9D9D9"/>
          </w:tcPr>
          <w:p w14:paraId="41131B75" w14:textId="77777777" w:rsidR="00E1669C" w:rsidRDefault="00C758F9">
            <w:pPr>
              <w:widowControl w:val="0"/>
              <w:spacing w:before="120" w:after="120"/>
              <w:rPr>
                <w:rFonts w:eastAsia="SimSun" w:cs="Arial"/>
                <w:lang w:eastAsia="en-IN"/>
              </w:rPr>
            </w:pPr>
            <w:r>
              <w:rPr>
                <w:rFonts w:eastAsia="SimSun" w:cs="Arial"/>
                <w:lang w:eastAsia="en-IN"/>
              </w:rPr>
              <w:t>NAME OF SHAREHOLDER</w:t>
            </w:r>
          </w:p>
        </w:tc>
        <w:tc>
          <w:tcPr>
            <w:tcW w:w="1859" w:type="dxa"/>
            <w:tcBorders>
              <w:top w:val="single" w:sz="4" w:space="0" w:color="808080"/>
              <w:left w:val="single" w:sz="4" w:space="0" w:color="808080"/>
              <w:bottom w:val="single" w:sz="4" w:space="0" w:color="808080"/>
              <w:right w:val="single" w:sz="4" w:space="0" w:color="808080"/>
            </w:tcBorders>
            <w:shd w:val="clear" w:color="auto" w:fill="D9D9D9"/>
          </w:tcPr>
          <w:p w14:paraId="15113E16" w14:textId="77777777" w:rsidR="00E1669C" w:rsidRDefault="00C758F9">
            <w:pPr>
              <w:widowControl w:val="0"/>
              <w:spacing w:before="120" w:after="120"/>
              <w:rPr>
                <w:rFonts w:eastAsia="SimSun" w:cs="Arial"/>
                <w:lang w:eastAsia="en-IN"/>
              </w:rPr>
            </w:pPr>
            <w:r>
              <w:rPr>
                <w:rFonts w:eastAsia="SimSun" w:cs="Arial"/>
                <w:lang w:eastAsia="en-IN"/>
              </w:rPr>
              <w:t>NUMBER OF SHARES HELD</w:t>
            </w:r>
          </w:p>
        </w:tc>
        <w:tc>
          <w:tcPr>
            <w:tcW w:w="2846" w:type="dxa"/>
            <w:tcBorders>
              <w:top w:val="single" w:sz="4" w:space="0" w:color="808080"/>
              <w:left w:val="single" w:sz="4" w:space="0" w:color="808080"/>
              <w:bottom w:val="single" w:sz="4" w:space="0" w:color="808080"/>
              <w:right w:val="single" w:sz="4" w:space="0" w:color="808080"/>
            </w:tcBorders>
            <w:shd w:val="clear" w:color="auto" w:fill="D9D9D9"/>
          </w:tcPr>
          <w:p w14:paraId="51878FA8" w14:textId="77777777" w:rsidR="00E1669C" w:rsidRDefault="00C758F9">
            <w:pPr>
              <w:widowControl w:val="0"/>
              <w:spacing w:before="120" w:after="120"/>
              <w:rPr>
                <w:rFonts w:eastAsia="SimSun" w:cs="Arial"/>
                <w:lang w:eastAsia="en-IN"/>
              </w:rPr>
            </w:pPr>
            <w:r>
              <w:rPr>
                <w:rFonts w:eastAsia="SimSun" w:cs="Arial"/>
                <w:lang w:eastAsia="en-IN"/>
              </w:rPr>
              <w:t>PERCENTAGE OF SHAREHOLDING</w:t>
            </w:r>
          </w:p>
        </w:tc>
      </w:tr>
      <w:tr w:rsidR="00E1669C" w14:paraId="18DEA5F9" w14:textId="77777777">
        <w:trPr>
          <w:trHeight w:val="450"/>
        </w:trPr>
        <w:tc>
          <w:tcPr>
            <w:tcW w:w="883" w:type="dxa"/>
            <w:tcBorders>
              <w:top w:val="single" w:sz="4" w:space="0" w:color="808080"/>
              <w:left w:val="single" w:sz="4" w:space="0" w:color="808080"/>
              <w:bottom w:val="single" w:sz="4" w:space="0" w:color="808080"/>
              <w:right w:val="single" w:sz="4" w:space="0" w:color="808080"/>
            </w:tcBorders>
          </w:tcPr>
          <w:p w14:paraId="68B63138" w14:textId="77777777" w:rsidR="00E1669C" w:rsidRDefault="00C758F9">
            <w:pPr>
              <w:widowControl w:val="0"/>
              <w:spacing w:before="120" w:after="120"/>
              <w:jc w:val="both"/>
              <w:rPr>
                <w:rFonts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14:paraId="308B3285" w14:textId="77777777" w:rsidR="00E1669C" w:rsidRDefault="00C758F9">
            <w:pPr>
              <w:widowControl w:val="0"/>
              <w:spacing w:before="120" w:after="120"/>
              <w:jc w:val="both"/>
              <w:rPr>
                <w:rFonts w:eastAsia="SimSun" w:cs="Arial"/>
                <w:lang w:eastAsia="en-IN"/>
              </w:rPr>
            </w:pPr>
            <w:r>
              <w:rPr>
                <w:rFonts w:eastAsia="SimSun" w:cs="Arial"/>
                <w:lang w:eastAsia="en-IN"/>
              </w:rPr>
              <w:t>[•]</w:t>
            </w:r>
          </w:p>
        </w:tc>
        <w:tc>
          <w:tcPr>
            <w:tcW w:w="1859" w:type="dxa"/>
            <w:tcBorders>
              <w:top w:val="single" w:sz="4" w:space="0" w:color="808080"/>
              <w:left w:val="single" w:sz="4" w:space="0" w:color="808080"/>
              <w:bottom w:val="single" w:sz="4" w:space="0" w:color="808080"/>
              <w:right w:val="single" w:sz="4" w:space="0" w:color="808080"/>
            </w:tcBorders>
          </w:tcPr>
          <w:p w14:paraId="671DF7D9" w14:textId="77777777" w:rsidR="00E1669C" w:rsidRDefault="00C758F9">
            <w:pPr>
              <w:widowControl w:val="0"/>
              <w:spacing w:before="120" w:after="120"/>
              <w:jc w:val="center"/>
              <w:rPr>
                <w:rFonts w:eastAsia="SimSun" w:cs="Arial"/>
                <w:lang w:eastAsia="en-IN"/>
              </w:rPr>
            </w:pPr>
            <w:r>
              <w:rPr>
                <w:rFonts w:eastAsia="SimSun" w:cs="Arial"/>
                <w:lang w:eastAsia="en-IN"/>
              </w:rPr>
              <w:t>[•]</w:t>
            </w:r>
          </w:p>
        </w:tc>
        <w:tc>
          <w:tcPr>
            <w:tcW w:w="2846" w:type="dxa"/>
            <w:tcBorders>
              <w:top w:val="single" w:sz="4" w:space="0" w:color="808080"/>
              <w:left w:val="single" w:sz="4" w:space="0" w:color="808080"/>
              <w:bottom w:val="single" w:sz="4" w:space="0" w:color="808080"/>
              <w:right w:val="single" w:sz="4" w:space="0" w:color="808080"/>
            </w:tcBorders>
          </w:tcPr>
          <w:p w14:paraId="03BA3061" w14:textId="77777777" w:rsidR="00E1669C" w:rsidRDefault="00C758F9">
            <w:pPr>
              <w:widowControl w:val="0"/>
              <w:spacing w:before="120" w:after="120"/>
              <w:jc w:val="center"/>
              <w:rPr>
                <w:rFonts w:eastAsia="SimSun" w:cs="Arial"/>
                <w:lang w:eastAsia="en-IN"/>
              </w:rPr>
            </w:pPr>
            <w:r>
              <w:rPr>
                <w:rFonts w:eastAsia="SimSun" w:cs="Arial"/>
                <w:lang w:eastAsia="en-IN"/>
              </w:rPr>
              <w:t>[•]</w:t>
            </w:r>
          </w:p>
        </w:tc>
      </w:tr>
    </w:tbl>
    <w:p w14:paraId="309205CB" w14:textId="77777777" w:rsidR="00E1669C" w:rsidRDefault="00E1669C"/>
    <w:p w14:paraId="6CF50965" w14:textId="77777777" w:rsidR="00E1669C" w:rsidRDefault="00C758F9">
      <w:r>
        <w:t>[NET_ALLOCATION_AMOUNT]</w:t>
      </w:r>
    </w:p>
    <w:p w14:paraId="0F7660EE" w14:textId="77777777" w:rsidR="00E1669C" w:rsidRDefault="00C758F9">
      <w:r>
        <w:t>[SELLER_FEES]</w:t>
      </w:r>
    </w:p>
    <w:sectPr w:rsidR="00E1669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Bold">
    <w:panose1 w:val="020F0702030404030204"/>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582"/>
    <w:multiLevelType w:val="multilevel"/>
    <w:tmpl w:val="CFE0416A"/>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C2C3241"/>
    <w:multiLevelType w:val="multilevel"/>
    <w:tmpl w:val="4E70AC94"/>
    <w:lvl w:ilvl="0">
      <w:start w:val="1"/>
      <w:numFmt w:val="upperLetter"/>
      <w:lvlText w:val="%1."/>
      <w:lvlJc w:val="left"/>
      <w:pPr>
        <w:tabs>
          <w:tab w:val="num" w:pos="720"/>
        </w:tabs>
        <w:ind w:left="720" w:hanging="360"/>
      </w:pPr>
      <w:rPr>
        <w:b w:val="0"/>
      </w:rPr>
    </w:lvl>
    <w:lvl w:ilvl="1">
      <w:start w:val="1"/>
      <w:numFmt w:val="decimal"/>
      <w:pStyle w:val="TLAltHead2"/>
      <w:lvlText w:val="%2."/>
      <w:lvlJc w:val="left"/>
      <w:pPr>
        <w:tabs>
          <w:tab w:val="num" w:pos="1800"/>
        </w:tabs>
        <w:ind w:left="1800" w:hanging="720"/>
      </w:pPr>
      <w:rPr>
        <w:rFonts w:ascii="Calibri" w:hAnsi="Calibri" w:cs="Tahoma"/>
        <w:b w:val="0"/>
        <w:sz w:val="22"/>
        <w:szCs w:val="22"/>
      </w:rPr>
    </w:lvl>
    <w:lvl w:ilvl="2">
      <w:start w:val="1"/>
      <w:numFmt w:val="lowerLetter"/>
      <w:lvlText w:val="(%3)"/>
      <w:lvlJc w:val="left"/>
      <w:pPr>
        <w:tabs>
          <w:tab w:val="num" w:pos="3420"/>
        </w:tabs>
        <w:ind w:left="3420" w:hanging="1440"/>
      </w:pPr>
      <w:rPr>
        <w:rFonts w:cs="Times New Roman"/>
      </w:rPr>
    </w:lvl>
    <w:lvl w:ilvl="3">
      <w:start w:val="1"/>
      <w:numFmt w:val="decimal"/>
      <w:pStyle w:val="TLAltHead4"/>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0134D43"/>
    <w:multiLevelType w:val="multilevel"/>
    <w:tmpl w:val="A3CEABB4"/>
    <w:lvl w:ilvl="0">
      <w:start w:val="1"/>
      <w:numFmt w:val="upperLetter"/>
      <w:lvlText w:val="%1."/>
      <w:lvlJc w:val="left"/>
      <w:pPr>
        <w:tabs>
          <w:tab w:val="num" w:pos="720"/>
        </w:tabs>
        <w:ind w:left="720" w:hanging="720"/>
      </w:pPr>
      <w:rPr>
        <w:b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DA15FB4"/>
    <w:multiLevelType w:val="multilevel"/>
    <w:tmpl w:val="92C2B5E4"/>
    <w:lvl w:ilvl="0">
      <w:start w:val="1"/>
      <w:numFmt w:val="decimal"/>
      <w:pStyle w:val="Heading1"/>
      <w:lvlText w:val="%1."/>
      <w:lvlJc w:val="left"/>
      <w:pPr>
        <w:tabs>
          <w:tab w:val="num" w:pos="0"/>
        </w:tabs>
        <w:ind w:left="720" w:hanging="720"/>
      </w:pPr>
      <w:rPr>
        <w:rFonts w:ascii="Calibri Bold" w:hAnsi="Calibri Bold"/>
        <w:b/>
        <w:i w:val="0"/>
        <w:caps/>
        <w:color w:val="auto"/>
        <w:spacing w:val="0"/>
        <w:w w:val="100"/>
        <w:kern w:val="0"/>
        <w:sz w:val="22"/>
        <w:szCs w:val="22"/>
        <w:u w:val="none"/>
      </w:rPr>
    </w:lvl>
    <w:lvl w:ilvl="1">
      <w:start w:val="1"/>
      <w:numFmt w:val="decimal"/>
      <w:pStyle w:val="Heading2"/>
      <w:lvlText w:val="%1.%2"/>
      <w:lvlJc w:val="left"/>
      <w:pPr>
        <w:tabs>
          <w:tab w:val="num" w:pos="0"/>
        </w:tabs>
        <w:ind w:left="720" w:hanging="720"/>
      </w:pPr>
      <w:rPr>
        <w:rFonts w:ascii="Calibri" w:hAnsi="Calibri"/>
        <w:b w:val="0"/>
        <w:i w:val="0"/>
        <w:caps w:val="0"/>
        <w:smallCaps w:val="0"/>
        <w:color w:val="auto"/>
        <w:sz w:val="22"/>
        <w:szCs w:val="22"/>
        <w:u w:val="none"/>
      </w:rPr>
    </w:lvl>
    <w:lvl w:ilvl="2">
      <w:start w:val="1"/>
      <w:numFmt w:val="decimal"/>
      <w:pStyle w:val="Heading3"/>
      <w:lvlText w:val="%1.%2.%3"/>
      <w:lvlJc w:val="left"/>
      <w:pPr>
        <w:tabs>
          <w:tab w:val="num" w:pos="0"/>
        </w:tabs>
        <w:ind w:left="1440" w:hanging="720"/>
      </w:pPr>
      <w:rPr>
        <w:rFonts w:ascii="Calibri" w:hAnsi="Calibri"/>
        <w:b w:val="0"/>
        <w:i w:val="0"/>
        <w:caps w:val="0"/>
        <w:smallCaps w:val="0"/>
        <w:color w:val="auto"/>
        <w:sz w:val="22"/>
        <w:u w:val="none"/>
      </w:rPr>
    </w:lvl>
    <w:lvl w:ilvl="3">
      <w:start w:val="1"/>
      <w:numFmt w:val="lowerLetter"/>
      <w:pStyle w:val="Heading4"/>
      <w:lvlText w:val="(%4)"/>
      <w:lvlJc w:val="left"/>
      <w:pPr>
        <w:tabs>
          <w:tab w:val="num" w:pos="0"/>
        </w:tabs>
        <w:ind w:left="2160" w:hanging="720"/>
      </w:pPr>
      <w:rPr>
        <w:rFonts w:ascii="Calibri" w:hAnsi="Calibri"/>
        <w:b w:val="0"/>
        <w:i w:val="0"/>
        <w:caps w:val="0"/>
        <w:smallCaps w:val="0"/>
        <w:color w:val="auto"/>
        <w:sz w:val="22"/>
        <w:u w:val="none"/>
      </w:rPr>
    </w:lvl>
    <w:lvl w:ilvl="4">
      <w:start w:val="1"/>
      <w:numFmt w:val="lowerRoman"/>
      <w:pStyle w:val="Heading5"/>
      <w:lvlText w:val="(%5)"/>
      <w:lvlJc w:val="left"/>
      <w:pPr>
        <w:tabs>
          <w:tab w:val="num" w:pos="0"/>
        </w:tabs>
        <w:ind w:left="2880" w:hanging="720"/>
      </w:pPr>
      <w:rPr>
        <w:rFonts w:ascii="Calibri" w:hAnsi="Calibri"/>
        <w:b w:val="0"/>
        <w:i w:val="0"/>
        <w:caps w:val="0"/>
        <w:smallCaps w:val="0"/>
        <w:color w:val="auto"/>
        <w:sz w:val="22"/>
        <w:u w:val="none"/>
      </w:rPr>
    </w:lvl>
    <w:lvl w:ilvl="5">
      <w:start w:val="1"/>
      <w:numFmt w:val="decimal"/>
      <w:pStyle w:val="Heading6"/>
      <w:lvlText w:val="%1.%2.%3.%4.%5.%6"/>
      <w:lvlJc w:val="left"/>
      <w:pPr>
        <w:tabs>
          <w:tab w:val="num" w:pos="0"/>
        </w:tabs>
        <w:ind w:left="1152" w:hanging="1152"/>
      </w:pPr>
      <w:rPr>
        <w:b w:val="0"/>
        <w:i w:val="0"/>
        <w:caps w:val="0"/>
        <w:smallCaps w:val="0"/>
        <w:color w:val="auto"/>
        <w:u w:val="none"/>
      </w:rPr>
    </w:lvl>
    <w:lvl w:ilvl="6">
      <w:start w:val="1"/>
      <w:numFmt w:val="decimal"/>
      <w:pStyle w:val="Heading7"/>
      <w:lvlText w:val="%1.%2.%3.%4.%5.%6.%7"/>
      <w:lvlJc w:val="left"/>
      <w:pPr>
        <w:tabs>
          <w:tab w:val="num" w:pos="0"/>
        </w:tabs>
        <w:ind w:left="1296" w:hanging="1296"/>
      </w:pPr>
      <w:rPr>
        <w:b w:val="0"/>
        <w:i w:val="0"/>
        <w:caps w:val="0"/>
        <w:smallCaps w:val="0"/>
        <w:color w:val="auto"/>
        <w:u w:val="none"/>
      </w:rPr>
    </w:lvl>
    <w:lvl w:ilvl="7">
      <w:start w:val="1"/>
      <w:numFmt w:val="decimal"/>
      <w:pStyle w:val="Heading8"/>
      <w:lvlText w:val="%1.%2.%3.%4.%5.%6.%7.%8"/>
      <w:lvlJc w:val="left"/>
      <w:pPr>
        <w:tabs>
          <w:tab w:val="num" w:pos="0"/>
        </w:tabs>
        <w:ind w:left="1440" w:hanging="1440"/>
      </w:pPr>
      <w:rPr>
        <w:b w:val="0"/>
        <w:i w:val="0"/>
        <w:caps w:val="0"/>
        <w:smallCaps w:val="0"/>
        <w:color w:val="auto"/>
        <w:u w:val="none"/>
      </w:rPr>
    </w:lvl>
    <w:lvl w:ilvl="8">
      <w:start w:val="1"/>
      <w:numFmt w:val="decimal"/>
      <w:pStyle w:val="Heading9"/>
      <w:lvlText w:val="%1.%2.%3.%4.%5.%6.%7.%8.%9"/>
      <w:lvlJc w:val="left"/>
      <w:pPr>
        <w:tabs>
          <w:tab w:val="num" w:pos="0"/>
        </w:tabs>
        <w:ind w:left="1584" w:hanging="1584"/>
      </w:pPr>
      <w:rPr>
        <w:b w:val="0"/>
        <w:i w:val="0"/>
        <w:caps w:val="0"/>
        <w:smallCaps w:val="0"/>
        <w:color w:val="auto"/>
        <w:u w:val="none"/>
      </w:rPr>
    </w:lvl>
  </w:abstractNum>
  <w:abstractNum w:abstractNumId="4" w15:restartNumberingAfterBreak="0">
    <w:nsid w:val="50157B58"/>
    <w:multiLevelType w:val="multilevel"/>
    <w:tmpl w:val="5ABEAC6C"/>
    <w:lvl w:ilvl="0">
      <w:start w:val="1"/>
      <w:numFmt w:val="decimal"/>
      <w:lvlText w:val="3.%1"/>
      <w:lvlJc w:val="left"/>
      <w:pPr>
        <w:tabs>
          <w:tab w:val="num" w:pos="0"/>
        </w:tabs>
        <w:ind w:left="1440" w:hanging="360"/>
      </w:pPr>
    </w:lvl>
    <w:lvl w:ilvl="1">
      <w:start w:val="1"/>
      <w:numFmt w:val="decimal"/>
      <w:lvlText w:val="3.%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B5F3066"/>
    <w:multiLevelType w:val="multilevel"/>
    <w:tmpl w:val="C58E4B88"/>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7E3E56BF"/>
    <w:multiLevelType w:val="multilevel"/>
    <w:tmpl w:val="54A2643A"/>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527673263">
    <w:abstractNumId w:val="3"/>
  </w:num>
  <w:num w:numId="2" w16cid:durableId="1504122584">
    <w:abstractNumId w:val="1"/>
  </w:num>
  <w:num w:numId="3" w16cid:durableId="1932469294">
    <w:abstractNumId w:val="4"/>
  </w:num>
  <w:num w:numId="4" w16cid:durableId="454297036">
    <w:abstractNumId w:val="2"/>
  </w:num>
  <w:num w:numId="5" w16cid:durableId="714474102">
    <w:abstractNumId w:val="5"/>
  </w:num>
  <w:num w:numId="6" w16cid:durableId="946549395">
    <w:abstractNumId w:val="0"/>
  </w:num>
  <w:num w:numId="7" w16cid:durableId="1935819718">
    <w:abstractNumId w:val="6"/>
  </w:num>
  <w:num w:numId="8" w16cid:durableId="902132390">
    <w:abstractNumId w:val="0"/>
    <w:lvlOverride w:ilvl="0"/>
    <w:lvlOverride w:ilvl="1"/>
    <w:lvlOverride w:ilvl="2">
      <w:startOverride w:val="1"/>
    </w:lvlOverride>
  </w:num>
  <w:num w:numId="9" w16cid:durableId="409159643">
    <w:abstractNumId w:val="0"/>
  </w:num>
  <w:num w:numId="10" w16cid:durableId="1177843122">
    <w:abstractNumId w:val="0"/>
  </w:num>
  <w:num w:numId="11" w16cid:durableId="1683316283">
    <w:abstractNumId w:val="0"/>
  </w:num>
  <w:num w:numId="12" w16cid:durableId="2056615992">
    <w:abstractNumId w:val="0"/>
  </w:num>
  <w:num w:numId="13" w16cid:durableId="1841385462">
    <w:abstractNumId w:val="0"/>
  </w:num>
  <w:num w:numId="14" w16cid:durableId="2063290388">
    <w:abstractNumId w:val="0"/>
  </w:num>
  <w:num w:numId="15" w16cid:durableId="1333531564">
    <w:abstractNumId w:val="0"/>
  </w:num>
  <w:num w:numId="16" w16cid:durableId="54937871">
    <w:abstractNumId w:val="0"/>
  </w:num>
  <w:num w:numId="17" w16cid:durableId="1957372807">
    <w:abstractNumId w:val="0"/>
  </w:num>
  <w:num w:numId="18" w16cid:durableId="1017002620">
    <w:abstractNumId w:val="0"/>
  </w:num>
  <w:num w:numId="19" w16cid:durableId="140734565">
    <w:abstractNumId w:val="0"/>
  </w:num>
  <w:num w:numId="20" w16cid:durableId="150060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9C"/>
    <w:rsid w:val="00C758F9"/>
    <w:rsid w:val="00E166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128B"/>
  <w15:docId w15:val="{F147A30F-7CD2-4F03-ADBC-C21B855A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widowControl w:val="0"/>
      <w:numPr>
        <w:numId w:val="1"/>
      </w:numPr>
      <w:spacing w:before="120" w:after="240" w:line="240" w:lineRule="auto"/>
      <w:outlineLvl w:val="0"/>
    </w:pPr>
    <w:rPr>
      <w:rFonts w:ascii="Calibri Bold" w:hAnsi="Calibri Bold"/>
      <w:b/>
      <w:caps/>
      <w:szCs w:val="32"/>
      <w:lang w:val="en-GB"/>
    </w:rPr>
  </w:style>
  <w:style w:type="paragraph" w:styleId="Heading2">
    <w:name w:val="heading 2"/>
    <w:basedOn w:val="Normal"/>
    <w:next w:val="Normal"/>
    <w:link w:val="Heading2Char"/>
    <w:uiPriority w:val="9"/>
    <w:unhideWhenUsed/>
    <w:qFormat/>
    <w:pPr>
      <w:widowControl w:val="0"/>
      <w:numPr>
        <w:ilvl w:val="1"/>
        <w:numId w:val="1"/>
      </w:numPr>
      <w:spacing w:before="120" w:after="240" w:line="240" w:lineRule="auto"/>
      <w:jc w:val="both"/>
      <w:outlineLvl w:val="1"/>
    </w:pPr>
    <w:rPr>
      <w:szCs w:val="26"/>
      <w:lang w:val="en-GB"/>
    </w:rPr>
  </w:style>
  <w:style w:type="paragraph" w:styleId="Heading3">
    <w:name w:val="heading 3"/>
    <w:basedOn w:val="Normal"/>
    <w:next w:val="Normal"/>
    <w:link w:val="Heading3Char"/>
    <w:uiPriority w:val="9"/>
    <w:unhideWhenUsed/>
    <w:qFormat/>
    <w:pPr>
      <w:widowControl w:val="0"/>
      <w:numPr>
        <w:ilvl w:val="2"/>
        <w:numId w:val="1"/>
      </w:numPr>
      <w:spacing w:before="120" w:after="240" w:line="240" w:lineRule="auto"/>
      <w:jc w:val="both"/>
      <w:outlineLvl w:val="2"/>
    </w:pPr>
    <w:rPr>
      <w:bCs/>
      <w:szCs w:val="24"/>
      <w:lang w:val="en-GB"/>
    </w:rPr>
  </w:style>
  <w:style w:type="paragraph" w:styleId="Heading4">
    <w:name w:val="heading 4"/>
    <w:basedOn w:val="Normal"/>
    <w:link w:val="Heading4Char"/>
    <w:uiPriority w:val="9"/>
    <w:unhideWhenUsed/>
    <w:qFormat/>
    <w:pPr>
      <w:widowControl w:val="0"/>
      <w:numPr>
        <w:ilvl w:val="3"/>
        <w:numId w:val="1"/>
      </w:numPr>
      <w:spacing w:before="120" w:after="240" w:line="240" w:lineRule="auto"/>
      <w:jc w:val="both"/>
      <w:outlineLvl w:val="3"/>
    </w:pPr>
    <w:rPr>
      <w:rFonts w:eastAsia="Times New Roman" w:cs="Arial"/>
      <w:szCs w:val="20"/>
      <w:lang w:val="en-US"/>
    </w:rPr>
  </w:style>
  <w:style w:type="paragraph" w:styleId="Heading5">
    <w:name w:val="heading 5"/>
    <w:basedOn w:val="Normal"/>
    <w:link w:val="Heading5Char"/>
    <w:uiPriority w:val="9"/>
    <w:semiHidden/>
    <w:unhideWhenUsed/>
    <w:qFormat/>
    <w:pPr>
      <w:widowControl w:val="0"/>
      <w:numPr>
        <w:ilvl w:val="4"/>
        <w:numId w:val="1"/>
      </w:numPr>
      <w:spacing w:before="120" w:after="240" w:line="300" w:lineRule="atLeast"/>
      <w:jc w:val="both"/>
      <w:outlineLvl w:val="4"/>
    </w:pPr>
    <w:rPr>
      <w:rFonts w:ascii="Arial" w:eastAsia="Times New Roman" w:hAnsi="Arial" w:cs="Arial"/>
      <w:sz w:val="20"/>
      <w:szCs w:val="20"/>
      <w:lang w:val="en-US"/>
    </w:rPr>
  </w:style>
  <w:style w:type="paragraph" w:styleId="Heading6">
    <w:name w:val="heading 6"/>
    <w:basedOn w:val="Normal"/>
    <w:link w:val="Heading6Char"/>
    <w:uiPriority w:val="9"/>
    <w:semiHidden/>
    <w:unhideWhenUsed/>
    <w:qFormat/>
    <w:pPr>
      <w:widowControl w:val="0"/>
      <w:numPr>
        <w:ilvl w:val="5"/>
        <w:numId w:val="1"/>
      </w:numPr>
      <w:spacing w:before="120" w:after="240" w:line="300" w:lineRule="atLeast"/>
      <w:jc w:val="both"/>
      <w:outlineLvl w:val="5"/>
    </w:pPr>
    <w:rPr>
      <w:rFonts w:ascii="Arial" w:eastAsia="Times New Roman" w:hAnsi="Arial" w:cs="Arial"/>
      <w:sz w:val="20"/>
      <w:szCs w:val="20"/>
      <w:lang w:val="en-US"/>
    </w:rPr>
  </w:style>
  <w:style w:type="paragraph" w:styleId="Heading7">
    <w:name w:val="heading 7"/>
    <w:basedOn w:val="Normal"/>
    <w:next w:val="Normal"/>
    <w:link w:val="Heading7Char"/>
    <w:qFormat/>
    <w:pPr>
      <w:widowControl w:val="0"/>
      <w:numPr>
        <w:ilvl w:val="6"/>
        <w:numId w:val="1"/>
      </w:numPr>
      <w:spacing w:before="240" w:after="60" w:line="240" w:lineRule="auto"/>
      <w:jc w:val="both"/>
      <w:outlineLvl w:val="6"/>
    </w:pPr>
    <w:rPr>
      <w:rFonts w:eastAsia="Times New Roman" w:cs="Times New Roman"/>
      <w:szCs w:val="24"/>
      <w:lang w:val="en-US"/>
    </w:rPr>
  </w:style>
  <w:style w:type="paragraph" w:styleId="Heading8">
    <w:name w:val="heading 8"/>
    <w:basedOn w:val="Normal"/>
    <w:next w:val="Normal"/>
    <w:link w:val="Heading8Char"/>
    <w:qFormat/>
    <w:pPr>
      <w:widowControl w:val="0"/>
      <w:numPr>
        <w:ilvl w:val="7"/>
        <w:numId w:val="1"/>
      </w:numPr>
      <w:spacing w:before="240" w:after="60" w:line="240" w:lineRule="auto"/>
      <w:jc w:val="both"/>
      <w:outlineLvl w:val="7"/>
    </w:pPr>
    <w:rPr>
      <w:rFonts w:eastAsia="Times New Roman" w:cs="Times New Roman"/>
      <w:i/>
      <w:iCs/>
      <w:sz w:val="24"/>
      <w:szCs w:val="24"/>
      <w:lang w:val="en-US"/>
    </w:rPr>
  </w:style>
  <w:style w:type="paragraph" w:styleId="Heading9">
    <w:name w:val="heading 9"/>
    <w:basedOn w:val="Normal"/>
    <w:next w:val="Normal"/>
    <w:link w:val="Heading9Char"/>
    <w:qFormat/>
    <w:pPr>
      <w:widowControl w:val="0"/>
      <w:numPr>
        <w:ilvl w:val="8"/>
        <w:numId w:val="1"/>
      </w:numPr>
      <w:spacing w:before="240" w:after="60" w:line="240" w:lineRule="auto"/>
      <w:jc w:val="both"/>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Bold" w:eastAsia="Calibri" w:hAnsi="Calibri Bold" w:cs="DejaVu Sans"/>
      <w:b/>
      <w:caps/>
      <w:szCs w:val="32"/>
      <w:lang w:val="en-GB"/>
    </w:rPr>
  </w:style>
  <w:style w:type="character" w:customStyle="1" w:styleId="Heading2Char">
    <w:name w:val="Heading 2 Char"/>
    <w:basedOn w:val="DefaultParagraphFont"/>
    <w:link w:val="Heading2"/>
    <w:qFormat/>
    <w:rPr>
      <w:rFonts w:ascii="Calibri" w:eastAsia="Calibri" w:hAnsi="Calibri" w:cs="DejaVu Sans"/>
      <w:szCs w:val="26"/>
      <w:lang w:val="en-GB"/>
    </w:rPr>
  </w:style>
  <w:style w:type="character" w:customStyle="1" w:styleId="Heading3Char">
    <w:name w:val="Heading 3 Char"/>
    <w:basedOn w:val="DefaultParagraphFont"/>
    <w:link w:val="Heading3"/>
    <w:qFormat/>
    <w:rPr>
      <w:rFonts w:ascii="Calibri" w:eastAsia="Calibri" w:hAnsi="Calibri" w:cs="DejaVu Sans"/>
      <w:bCs/>
      <w:szCs w:val="24"/>
      <w:lang w:val="en-GB"/>
    </w:rPr>
  </w:style>
  <w:style w:type="character" w:customStyle="1" w:styleId="Heading4Char">
    <w:name w:val="Heading 4 Char"/>
    <w:basedOn w:val="DefaultParagraphFont"/>
    <w:link w:val="Heading4"/>
    <w:qFormat/>
    <w:rPr>
      <w:rFonts w:ascii="Calibri" w:eastAsia="Times New Roman" w:hAnsi="Calibri" w:cs="Arial"/>
      <w:szCs w:val="20"/>
      <w:lang w:val="en-US"/>
    </w:rPr>
  </w:style>
  <w:style w:type="character" w:customStyle="1" w:styleId="Heading5Char">
    <w:name w:val="Heading 5 Char"/>
    <w:basedOn w:val="DefaultParagraphFont"/>
    <w:link w:val="Heading5"/>
    <w:qFormat/>
    <w:rPr>
      <w:rFonts w:ascii="Arial" w:eastAsia="Times New Roman" w:hAnsi="Arial" w:cs="Arial"/>
      <w:sz w:val="20"/>
      <w:szCs w:val="20"/>
      <w:lang w:val="en-US"/>
    </w:rPr>
  </w:style>
  <w:style w:type="character" w:customStyle="1" w:styleId="Heading6Char">
    <w:name w:val="Heading 6 Char"/>
    <w:basedOn w:val="DefaultParagraphFont"/>
    <w:link w:val="Heading6"/>
    <w:qFormat/>
    <w:rPr>
      <w:rFonts w:ascii="Arial" w:eastAsia="Times New Roman" w:hAnsi="Arial" w:cs="Arial"/>
      <w:sz w:val="20"/>
      <w:szCs w:val="20"/>
      <w:lang w:val="en-US"/>
    </w:rPr>
  </w:style>
  <w:style w:type="character" w:customStyle="1" w:styleId="Heading7Char">
    <w:name w:val="Heading 7 Char"/>
    <w:basedOn w:val="DefaultParagraphFont"/>
    <w:link w:val="Heading7"/>
    <w:qFormat/>
    <w:rPr>
      <w:rFonts w:ascii="Calibri" w:eastAsia="Times New Roman" w:hAnsi="Calibri" w:cs="Times New Roman"/>
      <w:szCs w:val="24"/>
      <w:lang w:val="en-US"/>
    </w:rPr>
  </w:style>
  <w:style w:type="character" w:customStyle="1" w:styleId="Heading8Char">
    <w:name w:val="Heading 8 Char"/>
    <w:basedOn w:val="DefaultParagraphFont"/>
    <w:link w:val="Heading8"/>
    <w:qFormat/>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qFormat/>
    <w:rPr>
      <w:rFonts w:ascii="Cambria" w:eastAsia="Times New Roman" w:hAnsi="Cambria" w:cs="Times New Roman"/>
      <w:lang w:val="en-US"/>
    </w:rPr>
  </w:style>
  <w:style w:type="character" w:customStyle="1" w:styleId="ListParagraphChar">
    <w:name w:val="List Paragraph Char"/>
    <w:link w:val="ListParagraph"/>
    <w:qFormat/>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G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DeltaViewDeletion">
    <w:name w:val="DeltaView Deletion"/>
    <w:qFormat/>
    <w:rPr>
      <w:strike/>
      <w:color w:val="FF0000"/>
    </w:rPr>
  </w:style>
  <w:style w:type="character" w:customStyle="1" w:styleId="ColorfulList-Accent1Char">
    <w:name w:val="Colorful List - Accent 1 Char"/>
    <w:link w:val="ColorfulList-Accent11"/>
    <w:qFormat/>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FWBCont1">
    <w:name w:val="FWB Cont 1"/>
    <w:basedOn w:val="Normal"/>
    <w:qFormat/>
    <w:pPr>
      <w:spacing w:after="240" w:line="240" w:lineRule="auto"/>
      <w:jc w:val="both"/>
    </w:pPr>
    <w:rPr>
      <w:rFonts w:ascii="Times New Roman" w:eastAsia="Times New Roman" w:hAnsi="Times New Roman" w:cs="Times New Roman"/>
      <w:sz w:val="24"/>
      <w:szCs w:val="20"/>
      <w:lang w:val="en-GB"/>
    </w:rPr>
  </w:style>
  <w:style w:type="paragraph" w:customStyle="1" w:styleId="FWBL2">
    <w:name w:val="FWB_L2"/>
    <w:basedOn w:val="Normal"/>
    <w:qFormat/>
    <w:pPr>
      <w:spacing w:after="240" w:line="240" w:lineRule="auto"/>
      <w:jc w:val="both"/>
    </w:pPr>
    <w:rPr>
      <w:rFonts w:ascii="Times New Roman" w:eastAsia="Times New Roman" w:hAnsi="Times New Roman" w:cs="Times New Roman"/>
      <w:sz w:val="24"/>
      <w:szCs w:val="20"/>
      <w:lang w:val="en-GB"/>
    </w:rPr>
  </w:style>
  <w:style w:type="paragraph" w:styleId="ListParagraph">
    <w:name w:val="List Paragraph"/>
    <w:basedOn w:val="Normal"/>
    <w:link w:val="ListParagraphChar"/>
    <w:qFormat/>
    <w:pPr>
      <w:spacing w:after="0" w:line="240" w:lineRule="auto"/>
      <w:ind w:left="720"/>
      <w:contextualSpacing/>
    </w:pPr>
    <w:rPr>
      <w:rFonts w:ascii="Times New Roman" w:eastAsia="Times New Roman" w:hAnsi="Times New Roman" w:cs="Times New Roman"/>
      <w:sz w:val="24"/>
      <w:szCs w:val="24"/>
      <w:lang w:val="en-US"/>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lang w:val="en-GB"/>
    </w:rPr>
  </w:style>
  <w:style w:type="paragraph" w:customStyle="1" w:styleId="ColorfulList-Accent11">
    <w:name w:val="Colorful List - Accent 11"/>
    <w:basedOn w:val="Normal"/>
    <w:link w:val="ColorfulList-Accent1Char"/>
    <w:qFormat/>
    <w:pPr>
      <w:spacing w:after="0" w:line="240" w:lineRule="auto"/>
      <w:ind w:left="720"/>
    </w:pPr>
    <w:rPr>
      <w:rFonts w:ascii="Times New Roman" w:eastAsia="Times New Roman" w:hAnsi="Times New Roman" w:cs="Times New Roman"/>
      <w:sz w:val="24"/>
      <w:szCs w:val="24"/>
      <w:lang w:val="en-US"/>
    </w:rPr>
  </w:style>
  <w:style w:type="paragraph" w:customStyle="1" w:styleId="TLAltHead4">
    <w:name w:val="TLAltHead4"/>
    <w:basedOn w:val="Normal"/>
    <w:next w:val="Normal"/>
    <w:qFormat/>
    <w:pPr>
      <w:numPr>
        <w:ilvl w:val="3"/>
        <w:numId w:val="2"/>
      </w:numPr>
      <w:spacing w:before="240" w:after="0" w:line="260" w:lineRule="atLeast"/>
      <w:jc w:val="both"/>
      <w:outlineLvl w:val="3"/>
    </w:pPr>
    <w:rPr>
      <w:rFonts w:ascii="Times New Roman" w:eastAsia="SimSun" w:hAnsi="Times New Roman" w:cs="Times New Roman"/>
      <w:lang w:val="en-GB"/>
    </w:rPr>
  </w:style>
  <w:style w:type="paragraph" w:customStyle="1" w:styleId="TLAltHead2">
    <w:name w:val="TLAltHead2"/>
    <w:basedOn w:val="Normal"/>
    <w:next w:val="Normal"/>
    <w:qFormat/>
    <w:pPr>
      <w:numPr>
        <w:ilvl w:val="1"/>
        <w:numId w:val="2"/>
      </w:numPr>
      <w:spacing w:before="240" w:after="0" w:line="260" w:lineRule="atLeast"/>
      <w:jc w:val="both"/>
      <w:outlineLvl w:val="1"/>
    </w:pPr>
    <w:rPr>
      <w:rFonts w:ascii="Times New Roman" w:eastAsia="SimSun" w:hAnsi="Times New Roman" w:cs="Times New Roman"/>
      <w:lang w:val="en-GB"/>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15</Pages>
  <Words>4078</Words>
  <Characters>23246</Characters>
  <Application>Microsoft Office Word</Application>
  <DocSecurity>0</DocSecurity>
  <Lines>193</Lines>
  <Paragraphs>54</Paragraphs>
  <ScaleCrop>false</ScaleCrop>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dc:description/>
  <cp:lastModifiedBy>thimmaiah@gmail.com</cp:lastModifiedBy>
  <cp:revision>32</cp:revision>
  <dcterms:created xsi:type="dcterms:W3CDTF">2022-06-12T16:39:00Z</dcterms:created>
  <dcterms:modified xsi:type="dcterms:W3CDTF">2023-06-01T14:02:00Z</dcterms:modified>
  <dc:language>en-IN</dc:language>
</cp:coreProperties>
</file>