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pPr>
        <w:pBdr>
          <w:bottom w:val="single" w:sz="36" w:space="0" w:color="D4A847"/>
        </w:pBdr>
        <w:shd w:val="clear" w:color="auto" w:fill="064E3B"/>
        <w:spacing w:before="3600" w:after="3600"/>
      </w:pPr>
      <w:r>
        <w:rPr>
          <w:b/>
          <w:color w:val="FFFFFF"/>
          <w:sz w:val="80"/>
          <w:szCs w:val="80"/>
        </w:rPr>
        <w:t xml:space="preserve">[[ company name ]]</w:t>
      </w:r>
    </w:p>
    <w:p>
      <w:pPr>
        <w:shd w:val="clear" w:color="auto" w:fill="0F766E"/>
        <w:spacing w:before="720" w:after="720"/>
      </w:pPr>
      <w:r>
        <w:rPr>
          <w:color w:val="FFFFFF"/>
          <w:sz w:val="36"/>
          <w:szCs w:val="36"/>
        </w:rPr>
        <w:t xml:space="preserve">[[ fund name ]]</w:t>
      </w:r>
    </w:p>
    <w:p>
      <w:pPr>
        <w:spacing w:before="240" w:after="0"/>
      </w:pPr>
      <w:r>
        <w:rPr>
          <w:color w:val="334155"/>
          <w:sz w:val="22"/>
          <w:szCs w:val="22"/>
        </w:rPr>
        <w:t xml:space="preserve"/>
      </w:r>
    </w:p>
    <w:p>
      <w:pPr>
        <w:spacing w:before="0" w:after="80"/>
      </w:pPr>
      <w:r>
        <w:rPr>
          <w:b/>
          <w:color w:val="334155"/>
          <w:sz w:val="22"/>
          <w:szCs w:val="22"/>
        </w:rPr>
        <w:t xml:space="preserve">Period: </w:t>
      </w:r>
      <w:r>
        <w:rPr>
          <w:color w:val="047857"/>
          <w:sz w:val="22"/>
          <w:szCs w:val="22"/>
        </w:rPr>
        <w:t xml:space="preserve">[[ period ]]</w:t>
      </w:r>
    </w:p>
    <w:p>
      <w:pPr>
        <w:spacing w:before="0" w:after="80"/>
      </w:pPr>
      <w:r>
        <w:rPr>
          <w:b/>
          <w:color w:val="334155"/>
          <w:sz w:val="22"/>
          <w:szCs w:val="22"/>
        </w:rPr>
        <w:t xml:space="preserve">Prepared: </w:t>
      </w:r>
      <w:r>
        <w:rPr>
          <w:color w:val="047857"/>
          <w:sz w:val="22"/>
          <w:szCs w:val="22"/>
        </w:rPr>
        <w:t xml:space="preserve">[[ prepared date ]]</w:t>
      </w:r>
    </w:p>
    <w:p>
      <w:pPr>
        <w:spacing w:before="0" w:after="480"/>
      </w:pPr>
      <w:r>
        <w:rPr>
          <w:b/>
          <w:color w:val="334155"/>
          <w:sz w:val="22"/>
          <w:szCs w:val="22"/>
        </w:rPr>
        <w:t xml:space="preserve">Report: </w:t>
      </w:r>
      <w:r>
        <w:rPr>
          <w:color w:val="0F766E"/>
          <w:sz w:val="22"/>
          <w:szCs w:val="22"/>
        </w:rPr>
        <w:t xml:space="preserve">[[ template name ]]</w:t>
      </w:r>
    </w:p>
    <w:p>
      <w:pPr>
        <w:pBdr>
          <w:bottom w:val="single" w:sz="6" w:space="4" w:color="047857"/>
        </w:pBdr>
        <w:spacing w:before="240" w:after="240"/>
      </w:pPr>
    </w:p>
    <w:p>
      <w:pPr>
        <w:pBdr>
          <w:left w:val="single" w:sz="24" w:space="120" w:color="047857"/>
        </w:pBdr>
        <w:shd w:val="clear" w:color="auto" w:fill="D1FAE5"/>
        <w:spacing w:before="240" w:after="80"/>
      </w:pPr>
      <w:r>
        <w:rPr>
          <w:b/>
          <w:color w:val="064E3B"/>
          <w:sz w:val="24"/>
          <w:szCs w:val="24"/>
        </w:rPr>
        <w:t xml:space="preserve">Executive Summary</w:t>
      </w:r>
    </w:p>
    <w:p>
      <w:pPr>
        <w:pBdr>
          <w:left w:val="single" w:sz="24" w:space="120" w:color="047857"/>
        </w:pBdr>
        <w:shd w:val="clear" w:color="auto" w:fill="D1FAE5"/>
        <w:spacing w:before="0" w:after="320"/>
      </w:pPr>
      <w:r>
        <w:rPr>
          <w:color w:val="334155"/>
          <w:sz w:val="20"/>
          <w:szCs w:val="20"/>
        </w:rPr>
        <w:t xml:space="preserve">This report covers [[ company name ]] for the period [[ period ]]. Key performance data, operational highlights, and strategic updates are detailed below. All figures are unaudited unless otherwise stated.</w:t>
      </w:r>
    </w:p>
    <w:p>
      <w:r>
        <w:br w:type="page"/>
      </w:r>
    </w:p>
    <w:p>
      <w:pPr>
        <w:pStyle w:val="Heading1"/>
      </w:pPr>
      <w:r>
        <w:t>Key Performance Indicators</w:t>
      </w:r>
    </w:p>
    <w:p>
      <w:pPr>
        <w:spacing w:before="0" w:after="160"/>
      </w:pPr>
      <w:r>
        <w:rPr>
          <w:i/>
          <w:color w:val="94A3B8"/>
          <w:sz w:val="18"/>
          <w:szCs w:val="18"/>
        </w:rPr>
        <w:t xml:space="preserve">The table below is generated automatically from your KPI data for the selected period. Column headers reflect the reporting periods; rows map to your KPI mappings.</w:t>
      </w:r>
    </w:p>
    <w:p>
      <w:pPr>
        <w:pBdr>
          <w:left w:val="dashed" w:sz="12" w:space="120" w:color="0F766E"/>
        </w:pBdr>
        <w:shd w:val="clear" w:color="auto" w:fill="ECFDF5"/>
        <w:spacing w:before="120" w:after="120"/>
      </w:pPr>
      <w:r>
        <w:rPr>
          <w:rFonts w:ascii="Courier New" w:hAnsi="Courier New"/>
          <w:color w:val="047857"/>
          <w:sz w:val="20"/>
          <w:szCs w:val="20"/>
        </w:rPr>
        <w:t>[[ kpi table ]]</w:t>
      </w:r>
    </w:p>
    <w:p>
      <w:pPr>
        <w:pBdr>
          <w:bottom w:val="single" w:sz="6" w:space="4" w:color="D1FAE5"/>
        </w:pBdr>
        <w:spacing w:before="240" w:after="240"/>
      </w:pPr>
    </w:p>
    <w:p>
      <w:pPr>
        <w:pStyle w:val="Heading2"/>
      </w:pPr>
      <w:r>
        <w:rPr>
          <w:color w:val="047857"/>
        </w:rPr>
        <w:t>Business Overview</w:t>
      </w:r>
    </w:p>
    <w:p>
      <w:pPr>
        <w:pBdr>
          <w:left w:val="dashed" w:sz="12" w:space="120" w:color="0F766E"/>
        </w:pBdr>
        <w:shd w:val="clear" w:color="auto" w:fill="ECFDF5"/>
        <w:spacing w:before="120" w:after="120"/>
      </w:pPr>
      <w:r>
        <w:rPr>
          <w:rFonts w:ascii="Courier New" w:hAnsi="Courier New"/>
          <w:color w:val="047857"/>
          <w:sz w:val="20"/>
          <w:szCs w:val="20"/>
        </w:rPr>
        <w:t>[[ section: Business Overview ]]</w:t>
      </w:r>
    </w:p>
    <w:p>
      <w:pPr>
        <w:spacing w:before="160" w:after="0"/>
      </w:pPr>
      <w:r>
        <w:rPr>
          <w:color w:val="334155"/>
          <w:sz w:val="22"/>
          <w:szCs w:val="22"/>
        </w:rPr>
        <w:t xml:space="preserve"/>
      </w:r>
    </w:p>
    <w:p>
      <w:pPr>
        <w:pStyle w:val="Heading2"/>
      </w:pPr>
      <w:r>
        <w:rPr>
          <w:color w:val="0F766E"/>
        </w:rPr>
        <w:t>Financial Highlights</w:t>
      </w:r>
    </w:p>
    <w:p>
      <w:pPr>
        <w:pBdr>
          <w:left w:val="dashed" w:sz="12" w:space="120" w:color="0F766E"/>
        </w:pBdr>
        <w:shd w:val="clear" w:color="auto" w:fill="ECFDF5"/>
        <w:spacing w:before="120" w:after="120"/>
      </w:pPr>
      <w:r>
        <w:rPr>
          <w:rFonts w:ascii="Courier New" w:hAnsi="Courier New"/>
          <w:color w:val="047857"/>
          <w:sz w:val="20"/>
          <w:szCs w:val="20"/>
        </w:rPr>
        <w:t>[[ section: Financial Highlights ]]</w:t>
      </w:r>
    </w:p>
    <w:p>
      <w:pPr>
        <w:spacing w:before="160" w:after="0"/>
      </w:pPr>
      <w:r>
        <w:rPr>
          <w:color w:val="334155"/>
          <w:sz w:val="22"/>
          <w:szCs w:val="22"/>
        </w:rPr>
        <w:t xml:space="preserve"/>
      </w:r>
    </w:p>
    <w:p>
      <w:pPr>
        <w:pStyle w:val="Heading2"/>
      </w:pPr>
      <w:r>
        <w:rPr>
          <w:color w:val="B45309"/>
        </w:rPr>
        <w:t>Operational Metrics</w:t>
      </w:r>
    </w:p>
    <w:p>
      <w:pPr>
        <w:pBdr>
          <w:left w:val="dashed" w:sz="12" w:space="120" w:color="0F766E"/>
        </w:pBdr>
        <w:shd w:val="clear" w:color="auto" w:fill="ECFDF5"/>
        <w:spacing w:before="120" w:after="120"/>
      </w:pPr>
      <w:r>
        <w:rPr>
          <w:rFonts w:ascii="Courier New" w:hAnsi="Courier New"/>
          <w:color w:val="047857"/>
          <w:sz w:val="20"/>
          <w:szCs w:val="20"/>
        </w:rPr>
        <w:t>[[ section: Operational Metrics ]]</w:t>
      </w:r>
    </w:p>
    <w:p>
      <w:pPr>
        <w:spacing w:before="160" w:after="0"/>
      </w:pPr>
      <w:r>
        <w:rPr>
          <w:color w:val="334155"/>
          <w:sz w:val="22"/>
          <w:szCs w:val="22"/>
        </w:rPr>
        <w:t xml:space="preserve"/>
      </w:r>
    </w:p>
    <w:p>
      <w:pPr>
        <w:pStyle w:val="Heading2"/>
      </w:pPr>
      <w:r>
        <w:rPr>
          <w:color w:val="065F46"/>
        </w:rPr>
        <w:t>Risks &amp; Outlook</w:t>
      </w:r>
    </w:p>
    <w:p>
      <w:pPr>
        <w:pBdr>
          <w:left w:val="dashed" w:sz="12" w:space="120" w:color="0F766E"/>
        </w:pBdr>
        <w:shd w:val="clear" w:color="auto" w:fill="ECFDF5"/>
        <w:spacing w:before="120" w:after="120"/>
      </w:pPr>
      <w:r>
        <w:rPr>
          <w:rFonts w:ascii="Courier New" w:hAnsi="Courier New"/>
          <w:color w:val="047857"/>
          <w:sz w:val="20"/>
          <w:szCs w:val="20"/>
        </w:rPr>
        <w:t>[[ section: Risks &amp; Outlook ]]</w:t>
      </w:r>
    </w:p>
    <w:p>
      <w:pPr>
        <w:spacing w:before="160" w:after="0"/>
      </w:pPr>
      <w:r>
        <w:rPr>
          <w:color w:val="334155"/>
          <w:sz w:val="22"/>
          <w:szCs w:val="22"/>
        </w:rPr>
        <w:t xml:space="preserve"/>
      </w:r>
    </w:p>
    <w:p>
      <w:pPr>
        <w:pBdr>
          <w:bottom w:val="single" w:sz="6" w:space="4" w:color="D4A847"/>
        </w:pBdr>
        <w:spacing w:before="240" w:after="240"/>
      </w:pPr>
    </w:p>
    <w:p>
      <w:pPr>
        <w:spacing w:before="160" w:after="160"/>
      </w:pPr>
      <w:r>
        <w:rPr>
          <w:i/>
          <w:color w:val="94A3B8"/>
          <w:sz w:val="16"/>
          <w:szCs w:val="16"/>
        </w:rPr>
        <w:t xml:space="preserve">Template note: Rename the [[ section: Name ]] markers above to match your portfolio report's section names exactly (case-insensitive). For example, change [[ section: Business Overview ]] if your section is named differently. The [[ kpi table ]] placeholder is replaced with your full KPI dataset automatically.</w:t>
      </w:r>
    </w:p>
    <w:sectPr>
      <w:headerReference xmlns:r="http://schemas.openxmlformats.org/officeDocument/2006/relationships" w:type="default" r:id="rId6"/>
      <w:footerReference xmlns:r="http://schemas.openxmlformats.org/officeDocument/2006/relationships" w:type="default" r:id="rId7"/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family w:val="swiss"/>
    <w:pitch w:val="variable"/>
  </w:font>
  <w:font w:name="Courier New">
    <w:panose1 w:val="02070309020205020404"/>
    <w:family w:val="modern"/>
    <w:pitch w:val="fixed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4" w:color="D1FAE5"/>
      </w:pBdr>
    </w:pPr>
    <w:r>
      <w:rPr>
        <w:color w:val="94A3B8"/>
        <w:sz w:val="16"/>
        <w:szCs w:val="16"/>
      </w:rPr>
      <w:t xml:space="preserve">Page </w:t>
    </w:r>
    <w:fldChar w:fldCharType="begin"/>
    <w:instrText>PAGE</w:instrText>
    <w:fldChar w:fldCharType="end"/>
    <w:r>
      <w:rPr>
        <w:color w:val="94A3B8"/>
        <w:sz w:val="16"/>
        <w:szCs w:val="16"/>
      </w:rPr>
      <w:t xml:space="preserve">  |  Generated: 29 May 2026  |  CapHive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047857"/>
      </w:pBdr>
    </w:pPr>
    <w:r>
      <w:rPr>
        <w:color w:val="047857"/>
        <w:sz w:val="16"/>
        <w:szCs w:val="16"/>
      </w:rPr>
      <w:t>Portfolio Report  |  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  <w:color w:val="047857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displayBackgroundShape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334155"/>
        <w:sz w:val="22"/>
        <w:szCs w:val="22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pBdr>
        <w:bottom w:val="single" w:sz="6" w:space="4" w:color="047857"/>
      </w:pBdr>
      <w:spacing w:before="480" w:after="200"/>
      <w:outlineLvl w:val="0"/>
    </w:pPr>
    <w:rPr>
      <w:b/>
      <w:color w:val="064E3B"/>
      <w:sz w:val="40"/>
      <w:szCs w:val="40"/>
    </w:rPr>
  </w:style>
  <w:style w:type="paragraph" w:styleId="Heading2">
    <w:name w:val="heading 2"/>
    <w:basedOn w:val="Normal"/>
    <w:next w:val="Normal"/>
    <w:pPr>
      <w:spacing w:before="360" w:after="120"/>
      <w:outlineLvl w:val="1"/>
    </w:pPr>
    <w:rPr>
      <w:b/>
      <w:color w:val="0F766E"/>
      <w:sz w:val="28"/>
      <w:szCs w:val="28"/>
    </w:rPr>
  </w:style>
  <w:style w:type="paragraph" w:styleId="ListBullet">
    <w:name w:val="List Bullet"/>
    <w:basedOn w:val="Normal"/>
    <w:pPr>
      <w:numPr>
        <w:ilvl w:val="0"/>
        <w:numId w:val="1"/>
      </w:numPr>
      <w:spacing w:before="0" w:after="100"/>
    </w:pPr>
  </w:style>
  <w:style w:type="table" w:styleId="TableGrid">
    <w:name w:val="Table Grid"/>
    <w:tblPr>
      <w:tblBorders>
        <w:top w:val="single" w:sz="4" w:space="0" w:color="D1FAE5"/>
        <w:left w:val="single" w:sz="4" w:space="0" w:color="D1FAE5"/>
        <w:bottom w:val="single" w:sz="4" w:space="0" w:color="D1FAE5"/>
        <w:right w:val="single" w:sz="4" w:space="0" w:color="D1FAE5"/>
        <w:insideH w:val="single" w:sz="4" w:space="0" w:color="D1FAE5"/>
        <w:insideV w:val="single" w:sz="4" w:space="0" w:color="D1FAE5"/>
      </w:tblBorders>
    </w:tblPr>
    <w:tcPr>
      <w:tcMar>
        <w:top w:w="80" w:type="dxa"/>
        <w:left w:w="120" w:type="dxa"/>
        <w:bottom w:w="80" w:type="dxa"/>
        <w:right w:w="120" w:type="dxa"/>
      </w:tcMar>
    </w:tc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    Target="styles.xml"/>
  <Relationship Id="rId2" Type="http://schemas.openxmlformats.org/officeDocument/2006/relationships/numbering"  Target="numbering.xml"/>
  <Relationship Id="rId3" Type="http://schemas.openxmlformats.org/officeDocument/2006/relationships/theme"      Target="theme/theme1.xml"/>
  <Relationship Id="rId4" Type="http://schemas.openxmlformats.org/officeDocument/2006/relationships/settings"   Target="settings.xml"/>
  <Relationship Id="rId5" Type="http://schemas.openxmlformats.org/officeDocument/2006/relationships/fontTable"  Target="fontTable.xml"/>
  <Relationship Id="rId6" Type="http://schemas.openxmlformats.org/officeDocument/2006/relationships/header"     Target="header1.xml"/>
  <Relationship Id="rId7" Type="http://schemas.openxmlformats.org/officeDocument/2006/relationships/footer"     Target="footer1.xml"/>
</Relationships>

</file>

<file path=word/theme/theme1.xml><?xml version="1.0" encoding="utf-8"?>
<a:theme xmlns:a="http://schemas.openxmlformats.org/drawingml/2006/main" name="CapHiveEmerald">
  <a:themeElements>
    <a:clrScheme name="CapHiveEmerald">
      <a:dk1>
        <a:srgbClr val="064E3B"/>
      </a:dk1>
      <a:lt1>
        <a:srgbClr val="FFFFFF"/>
      </a:lt1>
      <a:dk2>
        <a:srgbClr val="047857"/>
      </a:dk2>
      <a:lt2>
        <a:srgbClr val="ECFDF5"/>
      </a:lt2>
      <a:accent1>
        <a:srgbClr val="047857"/>
      </a:accent1>
      <a:accent2>
        <a:srgbClr val="0F766E"/>
      </a:accent2>
      <a:accent3>
        <a:srgbClr val="B45309"/>
      </a:accent3>
      <a:accent4>
        <a:srgbClr val="10B981"/>
      </a:accent4>
      <a:accent5>
        <a:srgbClr val="D1FAE5"/>
      </a:accent5>
      <a:accent6>
        <a:srgbClr val="D4A847"/>
      </a:accent6>
      <a:hlink>
        <a:srgbClr val="0F766E"/>
      </a:hlink>
      <a:folHlink>
        <a:srgbClr val="047857"/>
      </a:folHlink>
    </a:clrScheme>
    <a:fontScheme name="CapHiveEmerald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CapHiveEmerald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