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INVESTOR SIDE LETTER</w:t>
      </w:r>
    </w:p>
    <w:p>
      <w:pPr>
        <w:pStyle w:val="Subtitle"/>
      </w:pPr>
      <w:r>
        <w:t>Growth Fund I, L.P. | Delaware limited partnership | U.S. institutional limited partner</w:t>
      </w:r>
    </w:p>
    <w:p>
      <w:r>
        <w:t>DATED SEPTEMBER 30, 2026</w:t>
      </w:r>
    </w:p>
    <w:p>
      <w:r>
        <w:t>This Side Letter is dated September 30, 2026, and entered into by Growth Fund I, L.P., a Delaware limited partnership (Fund), Growth Fund GP LLC, a Delaware limited liability company (General Partner), and Harborview Institutional Investments LLC, a Delaware limited liability company (Investor). The Investor has a capital commitment of US$1,000,000 under the Fund’s limited partnership agreement (LPA).</w:t>
      </w:r>
    </w:p>
    <w:p>
      <w:pPr>
        <w:pStyle w:val="Heading1"/>
      </w:pPr>
      <w:r>
        <w:t>1. STATUS AND INTERPRETATION</w:t>
      </w:r>
    </w:p>
    <w:p>
      <w:r>
        <w:t>This Side Letter supplements the LPA and subscription agreement and applies only to Investor. As between these parties, this Side Letter controls in the event of an inconsistency to the extent permitted by law and the LPA. Capitalized terms not defined here have the meanings in the LPA. Business Day means a day on which commercial banks are open in New York, New York. Investor admission is assumed to occur October 30, 2026.</w:t>
      </w:r>
    </w:p>
    <w:p>
      <w:pPr>
        <w:pStyle w:val="Heading1"/>
      </w:pPr>
      <w:r>
        <w:t>2. ONE-TIME OBLIGATIONS</w:t>
      </w:r>
    </w:p>
    <w:p>
      <w:r>
        <w:t>2.1 Investor shall submit its completed subscription package, IRS Form W-9, beneficial ownership certification, and AML/KYC supporting documents by October 16, 2026.</w:t>
      </w:r>
    </w:p>
    <w:p>
      <w:r>
        <w:t>2.2 General Partner shall confirm Investor admission and its US$1,000,000 capital commitment in writing by October 30, 2026.</w:t>
      </w:r>
    </w:p>
    <w:p>
      <w:r>
        <w:t>2.3 General Partner shall activate Investor’s secure reporting portal access and identify its investor-relations contact by November 6, 2026.</w:t>
      </w:r>
    </w:p>
    <w:p>
      <w:r>
        <w:t>2.4 General Partner shall deliver an opening capital account statement showing the Investor’s commitment, contributions and unfunded commitment by November 16, 2026.</w:t>
      </w:r>
    </w:p>
    <w:p>
      <w:r>
        <w:t>2.5 General Partner shall acknowledge in writing Investor’s restricted-investment policy attached as Exhibit B by October 23, 2026; no restriction is binding unless specifically accepted in that acknowledgement.</w:t>
      </w:r>
    </w:p>
    <w:p>
      <w:pPr>
        <w:pStyle w:val="Heading1"/>
      </w:pPr>
      <w:r>
        <w:t>3. RECURRING OBLIGATIONS</w:t>
      </w:r>
    </w:p>
    <w:p>
      <w:r>
        <w:t>3.1 Within 45 calendar days after each calendar quarter-end, General Partner shall provide Investor with a quarterly report covering NAV, capital account activity, contributions, distributions, portfolio summary and material valuation changes. First report: for quarter ending December 31, 2026, due February 14, 2027.</w:t>
      </w:r>
    </w:p>
    <w:p>
      <w:r>
        <w:t>3.2 Within 120 calendar days after each fiscal year-end, General Partner shall provide audited annual fund financial statements prepared under U.S. GAAP, together with Investor capital account information. First assumed fiscal year-end: December 31, 2026; first due date: April 30, 2027.</w:t>
      </w:r>
    </w:p>
    <w:p>
      <w:r>
        <w:t>3.3 Within 90 calendar days after each calendar year-end, General Partner shall deliver an annual compliance confirmation addressing material LPA compliance and known material conflicts of interest. First due: March 31, 2027.</w:t>
      </w:r>
    </w:p>
    <w:p>
      <w:r>
        <w:t>3.4 General Partner shall deliver the Investor’s Schedule K-1 and available supporting U.S. tax reporting information by March 31 each year, beginning March 31, 2027, or promptly notify Investor of a delay and an updated delivery estimate. This is a contractual target, not a representation about statutory tax deadlines.</w:t>
      </w:r>
    </w:p>
    <w:p>
      <w:r>
        <w:t>3.5 General Partner shall hold one annual investor review call by June 30 of each year beginning June 30, 2027, upon at least 15 days’ written invitation.</w:t>
      </w:r>
    </w:p>
    <w:p>
      <w:pPr>
        <w:pStyle w:val="Heading1"/>
      </w:pPr>
      <w:r>
        <w:t>4. EVENT-TRIGGERED OBLIGATIONS</w:t>
      </w:r>
    </w:p>
    <w:p>
      <w:r>
        <w:t>4.1 Key Person Event: Within 10 Business Days after General Partner becomes aware of a Key Person Event as defined in the LPA, it shall notify Investor of the event, interim coverage and proposed remediation.</w:t>
      </w:r>
    </w:p>
    <w:p>
      <w:r>
        <w:t>4.2 Material litigation or regulatory investigation: Within 10 Business Days after General Partner becomes aware of a proceeding reasonably expected to materially affect the Fund, it shall give Investor a summary, subject to legal privilege and confidentiality.</w:t>
      </w:r>
    </w:p>
    <w:p>
      <w:r>
        <w:t>4.3 General Partner change of control: At least 20 Business Days before a proposed change of control, if reasonably practicable, otherwise within five Business Days after learning of it, General Partner shall notify Investor and explain any consent process required by the LPA.</w:t>
      </w:r>
    </w:p>
    <w:p>
      <w:r>
        <w:t>4.4 Capital call: General Partner shall issue a written capital call notice at least 10 Business Days before the contribution due date, specifying the U.S. dollar amount, payment instructions and purpose, except where a shorter notice period is expressly permitted under the LPA.</w:t>
      </w:r>
    </w:p>
    <w:p>
      <w:r>
        <w:t>4.5 Material valuation restatement: Within 15 Business Days after approval of a material restatement affecting previously delivered Investor reports, General Partner shall deliver a corrected report and explanation.</w:t>
      </w:r>
    </w:p>
    <w:p>
      <w:r>
        <w:t>4.6 Excuse or exclusion request: Within 10 Business Days after receipt of an Investor request to be excused from a proposed investment under the LPA, General Partner shall acknowledge the request and state the decision process and expected resolution date.</w:t>
      </w:r>
    </w:p>
    <w:p>
      <w:pPr>
        <w:pStyle w:val="Heading1"/>
      </w:pPr>
      <w:r>
        <w:t>5. GENERAL PROVISIONS</w:t>
      </w:r>
    </w:p>
    <w:p>
      <w:r>
        <w:t>No provision guarantees investment performance, creates a fiduciary duty beyond applicable law, or amends rights of other limited partners. Investor information shall remain confidential subject to law and customary disclosures. This Side Letter is governed by Delaware law. Amendments must be signed by all parties. Notices shall be sent to the contact addresses designated in writing. Electronic counterparts are permitted.</w:t>
      </w:r>
    </w:p>
    <w:p>
      <w:pPr>
        <w:pStyle w:val="Heading1"/>
      </w:pPr>
      <w:r>
        <w:t>EXHIBIT A — OBLIGATION REGISTER</w:t>
      </w:r>
    </w:p>
    <w:tbl>
      <w:tblPr>
        <w:tblStyle w:val="LightShading-Accent1"/>
        <w:tblW w:type="auto" w:w="0"/>
        <w:jc w:val="center"/>
        <w:tblLook w:firstColumn="1" w:firstRow="1" w:lastColumn="0" w:lastRow="0" w:noHBand="0" w:noVBand="1" w:val="04A0"/>
      </w:tblPr>
      <w:tblGrid>
        <w:gridCol w:w="3235"/>
        <w:gridCol w:w="3235"/>
        <w:gridCol w:w="3235"/>
      </w:tblGrid>
      <w:tr>
        <w:tc>
          <w:tcPr>
            <w:tcW w:type="dxa" w:w="3235"/>
          </w:tcPr>
          <w:p>
            <w:r>
              <w:rPr>
                <w:sz w:val="16"/>
              </w:rPr>
              <w:t>ID / Type</w:t>
            </w:r>
          </w:p>
        </w:tc>
        <w:tc>
          <w:tcPr>
            <w:tcW w:type="dxa" w:w="3235"/>
          </w:tcPr>
          <w:p>
            <w:r>
              <w:rPr>
                <w:sz w:val="16"/>
              </w:rPr>
              <w:t>Responsible party / Deliverable</w:t>
            </w:r>
          </w:p>
        </w:tc>
        <w:tc>
          <w:tcPr>
            <w:tcW w:type="dxa" w:w="3235"/>
          </w:tcPr>
          <w:p>
            <w:r>
              <w:rPr>
                <w:sz w:val="16"/>
              </w:rPr>
              <w:t>Deadline or trigger</w:t>
            </w:r>
          </w:p>
        </w:tc>
      </w:tr>
      <w:tr>
        <w:tc>
          <w:tcPr>
            <w:tcW w:type="dxa" w:w="3235"/>
          </w:tcPr>
          <w:p>
            <w:r>
              <w:rPr>
                <w:sz w:val="16"/>
              </w:rPr>
              <w:t>OT-01 / One-time</w:t>
            </w:r>
          </w:p>
        </w:tc>
        <w:tc>
          <w:tcPr>
            <w:tcW w:type="dxa" w:w="3235"/>
          </w:tcPr>
          <w:p>
            <w:r>
              <w:rPr>
                <w:sz w:val="16"/>
              </w:rPr>
              <w:t>Investor — subscription, tax and KYC package</w:t>
            </w:r>
          </w:p>
        </w:tc>
        <w:tc>
          <w:tcPr>
            <w:tcW w:type="dxa" w:w="3235"/>
          </w:tcPr>
          <w:p>
            <w:r>
              <w:rPr>
                <w:sz w:val="16"/>
              </w:rPr>
              <w:t>Oct 16, 2026</w:t>
            </w:r>
          </w:p>
        </w:tc>
      </w:tr>
      <w:tr>
        <w:tc>
          <w:tcPr>
            <w:tcW w:type="dxa" w:w="3235"/>
          </w:tcPr>
          <w:p>
            <w:r>
              <w:rPr>
                <w:sz w:val="16"/>
              </w:rPr>
              <w:t>OT-02 / One-time</w:t>
            </w:r>
          </w:p>
        </w:tc>
        <w:tc>
          <w:tcPr>
            <w:tcW w:type="dxa" w:w="3235"/>
          </w:tcPr>
          <w:p>
            <w:r>
              <w:rPr>
                <w:sz w:val="16"/>
              </w:rPr>
              <w:t>GP — confirm admission and US$1m commitment</w:t>
            </w:r>
          </w:p>
        </w:tc>
        <w:tc>
          <w:tcPr>
            <w:tcW w:type="dxa" w:w="3235"/>
          </w:tcPr>
          <w:p>
            <w:r>
              <w:rPr>
                <w:sz w:val="16"/>
              </w:rPr>
              <w:t>Oct 30, 2026</w:t>
            </w:r>
          </w:p>
        </w:tc>
      </w:tr>
      <w:tr>
        <w:tc>
          <w:tcPr>
            <w:tcW w:type="dxa" w:w="3235"/>
          </w:tcPr>
          <w:p>
            <w:r>
              <w:rPr>
                <w:sz w:val="16"/>
              </w:rPr>
              <w:t>OT-03 / One-time</w:t>
            </w:r>
          </w:p>
        </w:tc>
        <w:tc>
          <w:tcPr>
            <w:tcW w:type="dxa" w:w="3235"/>
          </w:tcPr>
          <w:p>
            <w:r>
              <w:rPr>
                <w:sz w:val="16"/>
              </w:rPr>
              <w:t>GP — reporting portal and contact</w:t>
            </w:r>
          </w:p>
        </w:tc>
        <w:tc>
          <w:tcPr>
            <w:tcW w:type="dxa" w:w="3235"/>
          </w:tcPr>
          <w:p>
            <w:r>
              <w:rPr>
                <w:sz w:val="16"/>
              </w:rPr>
              <w:t>Nov 6, 2026</w:t>
            </w:r>
          </w:p>
        </w:tc>
      </w:tr>
      <w:tr>
        <w:tc>
          <w:tcPr>
            <w:tcW w:type="dxa" w:w="3235"/>
          </w:tcPr>
          <w:p>
            <w:r>
              <w:rPr>
                <w:sz w:val="16"/>
              </w:rPr>
              <w:t>OT-04 / One-time</w:t>
            </w:r>
          </w:p>
        </w:tc>
        <w:tc>
          <w:tcPr>
            <w:tcW w:type="dxa" w:w="3235"/>
          </w:tcPr>
          <w:p>
            <w:r>
              <w:rPr>
                <w:sz w:val="16"/>
              </w:rPr>
              <w:t>GP — opening capital account statement</w:t>
            </w:r>
          </w:p>
        </w:tc>
        <w:tc>
          <w:tcPr>
            <w:tcW w:type="dxa" w:w="3235"/>
          </w:tcPr>
          <w:p>
            <w:r>
              <w:rPr>
                <w:sz w:val="16"/>
              </w:rPr>
              <w:t>Nov 16, 2026</w:t>
            </w:r>
          </w:p>
        </w:tc>
      </w:tr>
      <w:tr>
        <w:tc>
          <w:tcPr>
            <w:tcW w:type="dxa" w:w="3235"/>
          </w:tcPr>
          <w:p>
            <w:r>
              <w:rPr>
                <w:sz w:val="16"/>
              </w:rPr>
              <w:t>OT-05 / One-time</w:t>
            </w:r>
          </w:p>
        </w:tc>
        <w:tc>
          <w:tcPr>
            <w:tcW w:type="dxa" w:w="3235"/>
          </w:tcPr>
          <w:p>
            <w:r>
              <w:rPr>
                <w:sz w:val="16"/>
              </w:rPr>
              <w:t>GP — restricted-sector policy response</w:t>
            </w:r>
          </w:p>
        </w:tc>
        <w:tc>
          <w:tcPr>
            <w:tcW w:type="dxa" w:w="3235"/>
          </w:tcPr>
          <w:p>
            <w:r>
              <w:rPr>
                <w:sz w:val="16"/>
              </w:rPr>
              <w:t>Oct 23, 2026</w:t>
            </w:r>
          </w:p>
        </w:tc>
      </w:tr>
      <w:tr>
        <w:tc>
          <w:tcPr>
            <w:tcW w:type="dxa" w:w="3235"/>
          </w:tcPr>
          <w:p>
            <w:r>
              <w:rPr>
                <w:sz w:val="16"/>
              </w:rPr>
              <w:t>RC-01 / Quarterly</w:t>
            </w:r>
          </w:p>
        </w:tc>
        <w:tc>
          <w:tcPr>
            <w:tcW w:type="dxa" w:w="3235"/>
          </w:tcPr>
          <w:p>
            <w:r>
              <w:rPr>
                <w:sz w:val="16"/>
              </w:rPr>
              <w:t>GP — quarterly report</w:t>
            </w:r>
          </w:p>
        </w:tc>
        <w:tc>
          <w:tcPr>
            <w:tcW w:type="dxa" w:w="3235"/>
          </w:tcPr>
          <w:p>
            <w:r>
              <w:rPr>
                <w:sz w:val="16"/>
              </w:rPr>
              <w:t>45 days after quarter-end</w:t>
            </w:r>
          </w:p>
        </w:tc>
      </w:tr>
      <w:tr>
        <w:tc>
          <w:tcPr>
            <w:tcW w:type="dxa" w:w="3235"/>
          </w:tcPr>
          <w:p>
            <w:r>
              <w:rPr>
                <w:sz w:val="16"/>
              </w:rPr>
              <w:t>RC-02 / Annual</w:t>
            </w:r>
          </w:p>
        </w:tc>
        <w:tc>
          <w:tcPr>
            <w:tcW w:type="dxa" w:w="3235"/>
          </w:tcPr>
          <w:p>
            <w:r>
              <w:rPr>
                <w:sz w:val="16"/>
              </w:rPr>
              <w:t>GP — audited financials</w:t>
            </w:r>
          </w:p>
        </w:tc>
        <w:tc>
          <w:tcPr>
            <w:tcW w:type="dxa" w:w="3235"/>
          </w:tcPr>
          <w:p>
            <w:r>
              <w:rPr>
                <w:sz w:val="16"/>
              </w:rPr>
              <w:t>120 days after fiscal year-end</w:t>
            </w:r>
          </w:p>
        </w:tc>
      </w:tr>
      <w:tr>
        <w:tc>
          <w:tcPr>
            <w:tcW w:type="dxa" w:w="3235"/>
          </w:tcPr>
          <w:p>
            <w:r>
              <w:rPr>
                <w:sz w:val="16"/>
              </w:rPr>
              <w:t>RC-03 / Annual</w:t>
            </w:r>
          </w:p>
        </w:tc>
        <w:tc>
          <w:tcPr>
            <w:tcW w:type="dxa" w:w="3235"/>
          </w:tcPr>
          <w:p>
            <w:r>
              <w:rPr>
                <w:sz w:val="16"/>
              </w:rPr>
              <w:t>GP — compliance confirmation</w:t>
            </w:r>
          </w:p>
        </w:tc>
        <w:tc>
          <w:tcPr>
            <w:tcW w:type="dxa" w:w="3235"/>
          </w:tcPr>
          <w:p>
            <w:r>
              <w:rPr>
                <w:sz w:val="16"/>
              </w:rPr>
              <w:t>90 days after year-end</w:t>
            </w:r>
          </w:p>
        </w:tc>
      </w:tr>
      <w:tr>
        <w:tc>
          <w:tcPr>
            <w:tcW w:type="dxa" w:w="3235"/>
          </w:tcPr>
          <w:p>
            <w:r>
              <w:rPr>
                <w:sz w:val="16"/>
              </w:rPr>
              <w:t>RC-04 / Annual</w:t>
            </w:r>
          </w:p>
        </w:tc>
        <w:tc>
          <w:tcPr>
            <w:tcW w:type="dxa" w:w="3235"/>
          </w:tcPr>
          <w:p>
            <w:r>
              <w:rPr>
                <w:sz w:val="16"/>
              </w:rPr>
              <w:t>GP — Schedule K-1 target</w:t>
            </w:r>
          </w:p>
        </w:tc>
        <w:tc>
          <w:tcPr>
            <w:tcW w:type="dxa" w:w="3235"/>
          </w:tcPr>
          <w:p>
            <w:r>
              <w:rPr>
                <w:sz w:val="16"/>
              </w:rPr>
              <w:t>March 31 annually</w:t>
            </w:r>
          </w:p>
        </w:tc>
      </w:tr>
      <w:tr>
        <w:tc>
          <w:tcPr>
            <w:tcW w:type="dxa" w:w="3235"/>
          </w:tcPr>
          <w:p>
            <w:r>
              <w:rPr>
                <w:sz w:val="16"/>
              </w:rPr>
              <w:t>RC-05 / Annual</w:t>
            </w:r>
          </w:p>
        </w:tc>
        <w:tc>
          <w:tcPr>
            <w:tcW w:type="dxa" w:w="3235"/>
          </w:tcPr>
          <w:p>
            <w:r>
              <w:rPr>
                <w:sz w:val="16"/>
              </w:rPr>
              <w:t>GP — investor review call</w:t>
            </w:r>
          </w:p>
        </w:tc>
        <w:tc>
          <w:tcPr>
            <w:tcW w:type="dxa" w:w="3235"/>
          </w:tcPr>
          <w:p>
            <w:r>
              <w:rPr>
                <w:sz w:val="16"/>
              </w:rPr>
              <w:t>June 30 annually</w:t>
            </w:r>
          </w:p>
        </w:tc>
      </w:tr>
      <w:tr>
        <w:tc>
          <w:tcPr>
            <w:tcW w:type="dxa" w:w="3235"/>
          </w:tcPr>
          <w:p>
            <w:r>
              <w:rPr>
                <w:sz w:val="16"/>
              </w:rPr>
              <w:t>EV-01 / Event</w:t>
            </w:r>
          </w:p>
        </w:tc>
        <w:tc>
          <w:tcPr>
            <w:tcW w:type="dxa" w:w="3235"/>
          </w:tcPr>
          <w:p>
            <w:r>
              <w:rPr>
                <w:sz w:val="16"/>
              </w:rPr>
              <w:t>GP — key person event notice</w:t>
            </w:r>
          </w:p>
        </w:tc>
        <w:tc>
          <w:tcPr>
            <w:tcW w:type="dxa" w:w="3235"/>
          </w:tcPr>
          <w:p>
            <w:r>
              <w:rPr>
                <w:sz w:val="16"/>
              </w:rPr>
              <w:t>10 Business Days after awareness</w:t>
            </w:r>
          </w:p>
        </w:tc>
      </w:tr>
      <w:tr>
        <w:tc>
          <w:tcPr>
            <w:tcW w:type="dxa" w:w="3235"/>
          </w:tcPr>
          <w:p>
            <w:r>
              <w:rPr>
                <w:sz w:val="16"/>
              </w:rPr>
              <w:t>EV-02 / Event</w:t>
            </w:r>
          </w:p>
        </w:tc>
        <w:tc>
          <w:tcPr>
            <w:tcW w:type="dxa" w:w="3235"/>
          </w:tcPr>
          <w:p>
            <w:r>
              <w:rPr>
                <w:sz w:val="16"/>
              </w:rPr>
              <w:t>GP — material litigation notice</w:t>
            </w:r>
          </w:p>
        </w:tc>
        <w:tc>
          <w:tcPr>
            <w:tcW w:type="dxa" w:w="3235"/>
          </w:tcPr>
          <w:p>
            <w:r>
              <w:rPr>
                <w:sz w:val="16"/>
              </w:rPr>
              <w:t>10 Business Days after awareness</w:t>
            </w:r>
          </w:p>
        </w:tc>
      </w:tr>
      <w:tr>
        <w:tc>
          <w:tcPr>
            <w:tcW w:type="dxa" w:w="3235"/>
          </w:tcPr>
          <w:p>
            <w:r>
              <w:rPr>
                <w:sz w:val="16"/>
              </w:rPr>
              <w:t>EV-03 / Event</w:t>
            </w:r>
          </w:p>
        </w:tc>
        <w:tc>
          <w:tcPr>
            <w:tcW w:type="dxa" w:w="3235"/>
          </w:tcPr>
          <w:p>
            <w:r>
              <w:rPr>
                <w:sz w:val="16"/>
              </w:rPr>
              <w:t>GP — change of control notice</w:t>
            </w:r>
          </w:p>
        </w:tc>
        <w:tc>
          <w:tcPr>
            <w:tcW w:type="dxa" w:w="3235"/>
          </w:tcPr>
          <w:p>
            <w:r>
              <w:rPr>
                <w:sz w:val="16"/>
              </w:rPr>
              <w:t>20 Business Days before, or 5 after awareness</w:t>
            </w:r>
          </w:p>
        </w:tc>
      </w:tr>
      <w:tr>
        <w:tc>
          <w:tcPr>
            <w:tcW w:type="dxa" w:w="3235"/>
          </w:tcPr>
          <w:p>
            <w:r>
              <w:rPr>
                <w:sz w:val="16"/>
              </w:rPr>
              <w:t>EV-04 / Event</w:t>
            </w:r>
          </w:p>
        </w:tc>
        <w:tc>
          <w:tcPr>
            <w:tcW w:type="dxa" w:w="3235"/>
          </w:tcPr>
          <w:p>
            <w:r>
              <w:rPr>
                <w:sz w:val="16"/>
              </w:rPr>
              <w:t>GP — capital call notice</w:t>
            </w:r>
          </w:p>
        </w:tc>
        <w:tc>
          <w:tcPr>
            <w:tcW w:type="dxa" w:w="3235"/>
          </w:tcPr>
          <w:p>
            <w:r>
              <w:rPr>
                <w:sz w:val="16"/>
              </w:rPr>
              <w:t>10 Business Days before due date</w:t>
            </w:r>
          </w:p>
        </w:tc>
      </w:tr>
      <w:tr>
        <w:tc>
          <w:tcPr>
            <w:tcW w:type="dxa" w:w="3235"/>
          </w:tcPr>
          <w:p>
            <w:r>
              <w:rPr>
                <w:sz w:val="16"/>
              </w:rPr>
              <w:t>EV-05 / Event</w:t>
            </w:r>
          </w:p>
        </w:tc>
        <w:tc>
          <w:tcPr>
            <w:tcW w:type="dxa" w:w="3235"/>
          </w:tcPr>
          <w:p>
            <w:r>
              <w:rPr>
                <w:sz w:val="16"/>
              </w:rPr>
              <w:t>GP — material valuation restatement</w:t>
            </w:r>
          </w:p>
        </w:tc>
        <w:tc>
          <w:tcPr>
            <w:tcW w:type="dxa" w:w="3235"/>
          </w:tcPr>
          <w:p>
            <w:r>
              <w:rPr>
                <w:sz w:val="16"/>
              </w:rPr>
              <w:t>15 Business Days after approval</w:t>
            </w:r>
          </w:p>
        </w:tc>
      </w:tr>
      <w:tr>
        <w:tc>
          <w:tcPr>
            <w:tcW w:type="dxa" w:w="3235"/>
          </w:tcPr>
          <w:p>
            <w:r>
              <w:rPr>
                <w:sz w:val="16"/>
              </w:rPr>
              <w:t>EV-06 / Event</w:t>
            </w:r>
          </w:p>
        </w:tc>
        <w:tc>
          <w:tcPr>
            <w:tcW w:type="dxa" w:w="3235"/>
          </w:tcPr>
          <w:p>
            <w:r>
              <w:rPr>
                <w:sz w:val="16"/>
              </w:rPr>
              <w:t>GP — excuse request acknowledgement</w:t>
            </w:r>
          </w:p>
        </w:tc>
        <w:tc>
          <w:tcPr>
            <w:tcW w:type="dxa" w:w="3235"/>
          </w:tcPr>
          <w:p>
            <w:r>
              <w:rPr>
                <w:sz w:val="16"/>
              </w:rPr>
              <w:t>10 Business Days after receipt</w:t>
            </w:r>
          </w:p>
        </w:tc>
      </w:tr>
    </w:tbl>
    <w:p>
      <w:pPr>
        <w:pStyle w:val="Heading1"/>
      </w:pPr>
      <w:r>
        <w:t>EXHIBIT B — INVESTOR RESTRICTED-INVESTMENT POLICY</w:t>
      </w:r>
    </w:p>
    <w:p>
      <w:r>
        <w:t>For sample purposes, Investor requests advance notification of any proposed Fund investment in businesses principally engaged in tobacco manufacturing or civilian firearms manufacturing. This provision is a request only and creates no investment restriction unless accepted in writing under Section 2.5.</w:t>
      </w:r>
    </w:p>
    <w:p>
      <w:pPr>
        <w:pStyle w:val="Heading1"/>
      </w:pPr>
      <w:r>
        <w:t>SIGNATURES</w:t>
      </w:r>
    </w:p>
    <w:p>
      <w:r>
        <w:t>GROWTH FUND I, L.P., by Growth Fund GP LLC</w:t>
        <w:br/>
        <w:t>Name / Title: _______________________ Signature: __________________ Date: __________</w:t>
        <w:br/>
        <w:br/>
        <w:t>GROWTH FUND GP LLC</w:t>
        <w:br/>
        <w:t>Name / Title: _______________________ Signature: __________________ Date: __________</w:t>
        <w:br/>
        <w:br/>
        <w:t>HARBORVIEW INSTITUTIONAL INVESTMENTS LLC</w:t>
        <w:br/>
        <w:t>Name / Title: _______________________ Signature: __________________ Date: __________</w:t>
      </w:r>
    </w:p>
    <w:sectPr w:rsidR="00FC693F" w:rsidRPr="0006063C" w:rsidSect="00034616">
      <w:pgSz w:w="12240" w:h="15840"/>
      <w:pgMar w:top="1123" w:right="1267" w:bottom="1080"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