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PURCHASE AGREEMENT</w:t>
      </w:r>
    </w:p>
    <w:p>
      <w:pPr>
        <w:pStyle w:val="Subtitle"/>
      </w:pPr>
      <w:r>
        <w:t>Northstar Ventures Fund I, L.P. | Aster Labs, Inc. | Sample U.S. secondary share transfer</w:t>
      </w:r>
    </w:p>
    <w:p>
      <w:r>
        <w:t>DATED SEPTEMBER 30, 2026</w:t>
      </w:r>
    </w:p>
    <w:p>
      <w:r>
        <w:t>This Stock Purchase Agreement (Agreement) is entered into as of September 30, 2026, by and among (i) Alex Morgan, an individual resident of Delaware (Seller); (ii) Northstar Ventures Fund I, L.P., a Delaware limited partnership, acting through Northstar GP LLC, its general partner (Purchaser); and (iii) Aster Labs, Inc., a Delaware corporation (Company).</w:t>
      </w:r>
    </w:p>
    <w:p>
      <w:pPr>
        <w:pStyle w:val="Heading1"/>
      </w:pPr>
      <w:r>
        <w:t>RECITALS</w:t>
      </w:r>
    </w:p>
    <w:p>
      <w:r>
        <w:t>Seller owns 500,000 shares of the Company’s common stock, par value $0.0001 per share. Seller desires to sell 250,000 such shares (Sale Shares) to Purchaser, and the Company joins to acknowledge and facilitate the transfer.</w:t>
      </w:r>
    </w:p>
    <w:p>
      <w:pPr>
        <w:pStyle w:val="Heading1"/>
      </w:pPr>
      <w:r>
        <w:t>1. SALE AND PURCHASE</w:t>
      </w:r>
    </w:p>
    <w:p>
      <w:r>
        <w:t>1.1 Subject to satisfaction or written waiver of the conditions precedent, Seller shall sell and Purchaser shall acquire the Sale Shares free and clear of liens, claims and transfer restrictions other than restrictions under applicable securities laws and the Company’s governing documents.</w:t>
      </w:r>
    </w:p>
    <w:p>
      <w:r>
        <w:t>1.2 Purchase price: $2.50 per Sale Share; aggregate purchase price $625,000 (Purchase Price). The parties acknowledge these are illustrative sample economics, not a currency conversion of the prior India-based agreement.</w:t>
      </w:r>
    </w:p>
    <w:p>
      <w:pPr>
        <w:pStyle w:val="Heading1"/>
      </w:pPr>
      <w:r>
        <w:t>2. CLOSING AND LONG-STOP DATE</w:t>
      </w:r>
    </w:p>
    <w:p>
      <w:r>
        <w:t>2.1 Target Closing Date: October 30, 2026, by electronic exchange of documents and wire transfer in U.S. dollars. Long-Stop Date: November 16, 2026, unless extended in writing. Closing is conditional on completion or waiver of Schedule 2 conditions precedent.</w:t>
      </w:r>
    </w:p>
    <w:p>
      <w:r>
        <w:t>2.2 At Closing Seller shall deliver duly executed stock power or transfer instructions and certificates, if certificated; Purchaser shall wire $625,000 against delivery; and Company shall acknowledge transfer and cause its stock ledger to be updated in accordance with applicable law.</w:t>
      </w:r>
    </w:p>
    <w:p>
      <w:pPr>
        <w:pStyle w:val="Heading1"/>
      </w:pPr>
      <w:r>
        <w:t>3. PRE-CLOSING COVENANTS</w:t>
      </w:r>
    </w:p>
    <w:p>
      <w:r>
        <w:t>Seller shall not sell, pledge or encumber Sale Shares before Closing. Company shall not knowingly obstruct the transaction and shall provide reasonably requested capitalization and transfer restriction records. Each party shall promptly notify the others of a material impediment to Closing.</w:t>
      </w:r>
    </w:p>
    <w:p>
      <w:pPr>
        <w:pStyle w:val="Heading1"/>
      </w:pPr>
      <w:r>
        <w:t>4. REPRESENTATIONS AND WARRANTIES</w:t>
      </w:r>
    </w:p>
    <w:p>
      <w:r>
        <w:t>4.1 Seller represents ownership and authority, absence of undisclosed liens, no conflicting agreement, and valid title to Sale Shares.</w:t>
      </w:r>
    </w:p>
    <w:p>
      <w:r>
        <w:t>4.2 Company represents its Delaware incorporation, corporate power, and that its stock ledger and capitalization information supplied for this transaction are accurate in all material respects.</w:t>
      </w:r>
    </w:p>
    <w:p>
      <w:r>
        <w:t>4.3 Purchaser represents authority, availability of funds and that it is acquiring the Sale Shares for investment and not with a view to unlawful distribution. Purchaser will provide customary investor qualification and securities-law representations.</w:t>
      </w:r>
    </w:p>
    <w:p>
      <w:pPr>
        <w:pStyle w:val="Heading1"/>
      </w:pPr>
      <w:r>
        <w:t>5. CONDITIONS PRECEDENT</w:t>
      </w:r>
    </w:p>
    <w:p>
      <w:r>
        <w:t>Each CP in Schedule 2 must be evidenced in writing by its stated deadline. Purchaser may waive a CP in writing where legally permissible. Neither party may waive mandatory legal requirements. If an unwaived CP remains outstanding on the Long-Stop Date, the non-defaulting party may terminate by notice.</w:t>
      </w:r>
    </w:p>
    <w:p>
      <w:pPr>
        <w:pStyle w:val="Heading1"/>
      </w:pPr>
      <w:r>
        <w:t>6. CONDITIONS SUBSEQUENT</w:t>
      </w:r>
    </w:p>
    <w:p>
      <w:r>
        <w:t>Company, Seller and Purchaser shall complete the post-Closing obligations in Schedule 4 by their specified deadlines and provide documentary proof to Purchaser. Missing a post-Closing deadline constitutes a covenant breach subject to written notice and a ten-business-day cure period where cure is possible; it does not automatically reverse Closing.</w:t>
      </w:r>
    </w:p>
    <w:p>
      <w:pPr>
        <w:pStyle w:val="Heading1"/>
      </w:pPr>
      <w:r>
        <w:t>7. TAXES, EXPENSES AND INDEMNITY</w:t>
      </w:r>
    </w:p>
    <w:p>
      <w:r>
        <w:t>Each party bears its own expenses. Seller is responsible for taxes imposed on Seller from the sale; Purchaser bears applicable stock transfer fees, if any. Seller indemnifies Purchaser for direct losses from breach of title or Seller warranties, capped at the Purchase Price except fraud or intentional misconduct. Claims must be brought within 18 months of Closing, except tax claims subject to applicable law.</w:t>
      </w:r>
    </w:p>
    <w:p>
      <w:pPr>
        <w:pStyle w:val="Heading1"/>
      </w:pPr>
      <w:r>
        <w:t>8. CONFIDENTIALITY; NOTICES; LAW</w:t>
      </w:r>
    </w:p>
    <w:p>
      <w:r>
        <w:t>The parties shall keep nonpublic transaction information confidential, subject to required disclosures and advisers under confidentiality duties. Notices shall be sent to addresses designated by the parties in writing. Delaware law governs, without regard to conflicts rules. The state and federal courts located in Wilmington, Delaware have exclusive jurisdiction. Amendments and waivers must be in writing.</w:t>
      </w:r>
    </w:p>
    <w:p>
      <w:pPr>
        <w:pStyle w:val="Heading1"/>
      </w:pPr>
      <w:r>
        <w:t>SCHEDULE 1 — CAPITALIZATION AND CONSIDERATION</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rPr>
                <w:sz w:val="16"/>
              </w:rPr>
              <w:t>Item</w:t>
            </w:r>
          </w:p>
        </w:tc>
        <w:tc>
          <w:tcPr>
            <w:tcW w:type="dxa" w:w="4853"/>
          </w:tcPr>
          <w:p>
            <w:r>
              <w:rPr>
                <w:sz w:val="16"/>
              </w:rPr>
              <w:t>Amount</w:t>
            </w:r>
          </w:p>
        </w:tc>
      </w:tr>
      <w:tr>
        <w:tc>
          <w:tcPr>
            <w:tcW w:type="dxa" w:w="4853"/>
          </w:tcPr>
          <w:p>
            <w:r>
              <w:rPr>
                <w:sz w:val="16"/>
              </w:rPr>
              <w:t>Issued common shares (illustrative)</w:t>
            </w:r>
          </w:p>
        </w:tc>
        <w:tc>
          <w:tcPr>
            <w:tcW w:type="dxa" w:w="4853"/>
          </w:tcPr>
          <w:p>
            <w:r>
              <w:rPr>
                <w:sz w:val="16"/>
              </w:rPr>
              <w:t>9,000,000</w:t>
            </w:r>
          </w:p>
        </w:tc>
      </w:tr>
      <w:tr>
        <w:tc>
          <w:tcPr>
            <w:tcW w:type="dxa" w:w="4853"/>
          </w:tcPr>
          <w:p>
            <w:r>
              <w:rPr>
                <w:sz w:val="16"/>
              </w:rPr>
              <w:t>Seller holding before Closing</w:t>
            </w:r>
          </w:p>
        </w:tc>
        <w:tc>
          <w:tcPr>
            <w:tcW w:type="dxa" w:w="4853"/>
          </w:tcPr>
          <w:p>
            <w:r>
              <w:rPr>
                <w:sz w:val="16"/>
              </w:rPr>
              <w:t>500,000</w:t>
            </w:r>
          </w:p>
        </w:tc>
      </w:tr>
      <w:tr>
        <w:tc>
          <w:tcPr>
            <w:tcW w:type="dxa" w:w="4853"/>
          </w:tcPr>
          <w:p>
            <w:r>
              <w:rPr>
                <w:sz w:val="16"/>
              </w:rPr>
              <w:t>Sale Shares</w:t>
            </w:r>
          </w:p>
        </w:tc>
        <w:tc>
          <w:tcPr>
            <w:tcW w:type="dxa" w:w="4853"/>
          </w:tcPr>
          <w:p>
            <w:r>
              <w:rPr>
                <w:sz w:val="16"/>
              </w:rPr>
              <w:t>250,000</w:t>
            </w:r>
          </w:p>
        </w:tc>
      </w:tr>
      <w:tr>
        <w:tc>
          <w:tcPr>
            <w:tcW w:type="dxa" w:w="4853"/>
          </w:tcPr>
          <w:p>
            <w:r>
              <w:rPr>
                <w:sz w:val="16"/>
              </w:rPr>
              <w:t>Price per Sale Share</w:t>
            </w:r>
          </w:p>
        </w:tc>
        <w:tc>
          <w:tcPr>
            <w:tcW w:type="dxa" w:w="4853"/>
          </w:tcPr>
          <w:p>
            <w:r>
              <w:rPr>
                <w:sz w:val="16"/>
              </w:rPr>
              <w:t>$2.50</w:t>
            </w:r>
          </w:p>
        </w:tc>
      </w:tr>
      <w:tr>
        <w:tc>
          <w:tcPr>
            <w:tcW w:type="dxa" w:w="4853"/>
          </w:tcPr>
          <w:p>
            <w:r>
              <w:rPr>
                <w:sz w:val="16"/>
              </w:rPr>
              <w:t>Aggregate Purchase Price</w:t>
            </w:r>
          </w:p>
        </w:tc>
        <w:tc>
          <w:tcPr>
            <w:tcW w:type="dxa" w:w="4853"/>
          </w:tcPr>
          <w:p>
            <w:r>
              <w:rPr>
                <w:sz w:val="16"/>
              </w:rPr>
              <w:t>$625,000</w:t>
            </w:r>
          </w:p>
        </w:tc>
      </w:tr>
    </w:tbl>
    <w:p>
      <w:pPr>
        <w:pStyle w:val="Heading1"/>
      </w:pPr>
      <w:r>
        <w:t>SCHEDULE 2 — CONDITIONS PRECEDENT (CP)</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tcPr>
          <w:p>
            <w:r>
              <w:rPr>
                <w:sz w:val="16"/>
              </w:rPr>
              <w:t>ID / Owner</w:t>
            </w:r>
          </w:p>
        </w:tc>
        <w:tc>
          <w:tcPr>
            <w:tcW w:type="dxa" w:w="3235"/>
          </w:tcPr>
          <w:p>
            <w:r>
              <w:rPr>
                <w:sz w:val="16"/>
              </w:rPr>
              <w:t>Action / Evidence</w:t>
            </w:r>
          </w:p>
        </w:tc>
        <w:tc>
          <w:tcPr>
            <w:tcW w:type="dxa" w:w="3235"/>
          </w:tcPr>
          <w:p>
            <w:r>
              <w:rPr>
                <w:sz w:val="16"/>
              </w:rPr>
              <w:t>Due date</w:t>
            </w:r>
          </w:p>
        </w:tc>
      </w:tr>
      <w:tr>
        <w:tc>
          <w:tcPr>
            <w:tcW w:type="dxa" w:w="3235"/>
          </w:tcPr>
          <w:p>
            <w:r>
              <w:rPr>
                <w:sz w:val="16"/>
              </w:rPr>
              <w:t>CP-01 / Company</w:t>
            </w:r>
          </w:p>
        </w:tc>
        <w:tc>
          <w:tcPr>
            <w:tcW w:type="dxa" w:w="3235"/>
          </w:tcPr>
          <w:p>
            <w:r>
              <w:rPr>
                <w:sz w:val="16"/>
              </w:rPr>
              <w:t>Board consent approving transfer if required; certified resolution</w:t>
            </w:r>
          </w:p>
        </w:tc>
        <w:tc>
          <w:tcPr>
            <w:tcW w:type="dxa" w:w="3235"/>
          </w:tcPr>
          <w:p>
            <w:r>
              <w:rPr>
                <w:sz w:val="16"/>
              </w:rPr>
              <w:t>Oct 9, 2026</w:t>
            </w:r>
          </w:p>
        </w:tc>
      </w:tr>
      <w:tr>
        <w:tc>
          <w:tcPr>
            <w:tcW w:type="dxa" w:w="3235"/>
          </w:tcPr>
          <w:p>
            <w:r>
              <w:rPr>
                <w:sz w:val="16"/>
              </w:rPr>
              <w:t>CP-02 / Seller &amp; Company</w:t>
            </w:r>
          </w:p>
        </w:tc>
        <w:tc>
          <w:tcPr>
            <w:tcW w:type="dxa" w:w="3235"/>
          </w:tcPr>
          <w:p>
            <w:r>
              <w:rPr>
                <w:sz w:val="16"/>
              </w:rPr>
              <w:t>Obtain or document waiver of ROFR, co-sale, and contractual transfer restrictions; signed waivers</w:t>
            </w:r>
          </w:p>
        </w:tc>
        <w:tc>
          <w:tcPr>
            <w:tcW w:type="dxa" w:w="3235"/>
          </w:tcPr>
          <w:p>
            <w:r>
              <w:rPr>
                <w:sz w:val="16"/>
              </w:rPr>
              <w:t>Oct 14, 2026</w:t>
            </w:r>
          </w:p>
        </w:tc>
      </w:tr>
      <w:tr>
        <w:tc>
          <w:tcPr>
            <w:tcW w:type="dxa" w:w="3235"/>
          </w:tcPr>
          <w:p>
            <w:r>
              <w:rPr>
                <w:sz w:val="16"/>
              </w:rPr>
              <w:t>CP-03 / Seller</w:t>
            </w:r>
          </w:p>
        </w:tc>
        <w:tc>
          <w:tcPr>
            <w:tcW w:type="dxa" w:w="3235"/>
          </w:tcPr>
          <w:p>
            <w:r>
              <w:rPr>
                <w:sz w:val="16"/>
              </w:rPr>
              <w:t>Deliver stock ledger extract and evidence of clear title; certificate or account statement</w:t>
            </w:r>
          </w:p>
        </w:tc>
        <w:tc>
          <w:tcPr>
            <w:tcW w:type="dxa" w:w="3235"/>
          </w:tcPr>
          <w:p>
            <w:r>
              <w:rPr>
                <w:sz w:val="16"/>
              </w:rPr>
              <w:t>Oct 16, 2026</w:t>
            </w:r>
          </w:p>
        </w:tc>
      </w:tr>
      <w:tr>
        <w:tc>
          <w:tcPr>
            <w:tcW w:type="dxa" w:w="3235"/>
          </w:tcPr>
          <w:p>
            <w:r>
              <w:rPr>
                <w:sz w:val="16"/>
              </w:rPr>
              <w:t>CP-04 / Purchaser</w:t>
            </w:r>
          </w:p>
        </w:tc>
        <w:tc>
          <w:tcPr>
            <w:tcW w:type="dxa" w:w="3235"/>
          </w:tcPr>
          <w:p>
            <w:r>
              <w:rPr>
                <w:sz w:val="16"/>
              </w:rPr>
              <w:t>Complete accredited investor / securities-law questionnaire and investor eligibility representations</w:t>
            </w:r>
          </w:p>
        </w:tc>
        <w:tc>
          <w:tcPr>
            <w:tcW w:type="dxa" w:w="3235"/>
          </w:tcPr>
          <w:p>
            <w:r>
              <w:rPr>
                <w:sz w:val="16"/>
              </w:rPr>
              <w:t>Oct 19, 2026</w:t>
            </w:r>
          </w:p>
        </w:tc>
      </w:tr>
      <w:tr>
        <w:tc>
          <w:tcPr>
            <w:tcW w:type="dxa" w:w="3235"/>
          </w:tcPr>
          <w:p>
            <w:r>
              <w:rPr>
                <w:sz w:val="16"/>
              </w:rPr>
              <w:t>CP-05 / Seller &amp; Purchaser</w:t>
            </w:r>
          </w:p>
        </w:tc>
        <w:tc>
          <w:tcPr>
            <w:tcW w:type="dxa" w:w="3235"/>
          </w:tcPr>
          <w:p>
            <w:r>
              <w:rPr>
                <w:sz w:val="16"/>
              </w:rPr>
              <w:t>Deliver signed IRS Form W-9 or appropriate tax forms and AML/KYC information as requested</w:t>
            </w:r>
          </w:p>
        </w:tc>
        <w:tc>
          <w:tcPr>
            <w:tcW w:type="dxa" w:w="3235"/>
          </w:tcPr>
          <w:p>
            <w:r>
              <w:rPr>
                <w:sz w:val="16"/>
              </w:rPr>
              <w:t>Oct 21, 2026</w:t>
            </w:r>
          </w:p>
        </w:tc>
      </w:tr>
      <w:tr>
        <w:tc>
          <w:tcPr>
            <w:tcW w:type="dxa" w:w="3235"/>
          </w:tcPr>
          <w:p>
            <w:r>
              <w:rPr>
                <w:sz w:val="16"/>
              </w:rPr>
              <w:t>CP-06 / Company</w:t>
            </w:r>
          </w:p>
        </w:tc>
        <w:tc>
          <w:tcPr>
            <w:tcW w:type="dxa" w:w="3235"/>
          </w:tcPr>
          <w:p>
            <w:r>
              <w:rPr>
                <w:sz w:val="16"/>
              </w:rPr>
              <w:t>Provide current capitalization table and confirm no injunction or prohibition of transfer</w:t>
            </w:r>
          </w:p>
        </w:tc>
        <w:tc>
          <w:tcPr>
            <w:tcW w:type="dxa" w:w="3235"/>
          </w:tcPr>
          <w:p>
            <w:r>
              <w:rPr>
                <w:sz w:val="16"/>
              </w:rPr>
              <w:t>Oct 23, 2026</w:t>
            </w:r>
          </w:p>
        </w:tc>
      </w:tr>
      <w:tr>
        <w:tc>
          <w:tcPr>
            <w:tcW w:type="dxa" w:w="3235"/>
          </w:tcPr>
          <w:p>
            <w:r>
              <w:rPr>
                <w:sz w:val="16"/>
              </w:rPr>
              <w:t>CP-07 / Seller</w:t>
            </w:r>
          </w:p>
        </w:tc>
        <w:tc>
          <w:tcPr>
            <w:tcW w:type="dxa" w:w="3235"/>
          </w:tcPr>
          <w:p>
            <w:r>
              <w:rPr>
                <w:sz w:val="16"/>
              </w:rPr>
              <w:t>Deliver bring-down certificate confirming Seller warranties at Closing</w:t>
            </w:r>
          </w:p>
        </w:tc>
        <w:tc>
          <w:tcPr>
            <w:tcW w:type="dxa" w:w="3235"/>
          </w:tcPr>
          <w:p>
            <w:r>
              <w:rPr>
                <w:sz w:val="16"/>
              </w:rPr>
              <w:t>Oct 30, 2026</w:t>
            </w:r>
          </w:p>
        </w:tc>
      </w:tr>
    </w:tbl>
    <w:p>
      <w:pPr>
        <w:pStyle w:val="Heading1"/>
      </w:pPr>
      <w:r>
        <w:t>SCHEDULE 3 — CLOSING DELIVERABLES</w:t>
      </w:r>
    </w:p>
    <w:tbl>
      <w:tblPr>
        <w:tblStyle w:val="LightShading-Accent1"/>
        <w:tblW w:type="auto" w:w="0"/>
        <w:jc w:val="center"/>
        <w:tblLook w:firstColumn="1" w:firstRow="1" w:lastColumn="0" w:lastRow="0" w:noHBand="0" w:noVBand="1" w:val="04A0"/>
      </w:tblPr>
      <w:tblGrid>
        <w:gridCol w:w="4853"/>
        <w:gridCol w:w="4853"/>
      </w:tblGrid>
      <w:tr>
        <w:tc>
          <w:tcPr>
            <w:tcW w:type="dxa" w:w="4853"/>
          </w:tcPr>
          <w:p>
            <w:r>
              <w:rPr>
                <w:sz w:val="16"/>
              </w:rPr>
              <w:t>Party</w:t>
            </w:r>
          </w:p>
        </w:tc>
        <w:tc>
          <w:tcPr>
            <w:tcW w:type="dxa" w:w="4853"/>
          </w:tcPr>
          <w:p>
            <w:r>
              <w:rPr>
                <w:sz w:val="16"/>
              </w:rPr>
              <w:t>Deliverable / Timing</w:t>
            </w:r>
          </w:p>
        </w:tc>
      </w:tr>
      <w:tr>
        <w:tc>
          <w:tcPr>
            <w:tcW w:type="dxa" w:w="4853"/>
          </w:tcPr>
          <w:p>
            <w:r>
              <w:rPr>
                <w:sz w:val="16"/>
              </w:rPr>
              <w:t>Seller</w:t>
            </w:r>
          </w:p>
        </w:tc>
        <w:tc>
          <w:tcPr>
            <w:tcW w:type="dxa" w:w="4853"/>
          </w:tcPr>
          <w:p>
            <w:r>
              <w:rPr>
                <w:sz w:val="16"/>
              </w:rPr>
              <w:t>Executed stock power or book-entry transfer instructions; evidence of share ownership — Oct 30, 2026</w:t>
            </w:r>
          </w:p>
        </w:tc>
      </w:tr>
      <w:tr>
        <w:tc>
          <w:tcPr>
            <w:tcW w:type="dxa" w:w="4853"/>
          </w:tcPr>
          <w:p>
            <w:r>
              <w:rPr>
                <w:sz w:val="16"/>
              </w:rPr>
              <w:t>Purchaser</w:t>
            </w:r>
          </w:p>
        </w:tc>
        <w:tc>
          <w:tcPr>
            <w:tcW w:type="dxa" w:w="4853"/>
          </w:tcPr>
          <w:p>
            <w:r>
              <w:rPr>
                <w:sz w:val="16"/>
              </w:rPr>
              <w:t>Wire $625,000 and deliver executed purchase documentation — Oct 30, 2026</w:t>
            </w:r>
          </w:p>
        </w:tc>
      </w:tr>
      <w:tr>
        <w:tc>
          <w:tcPr>
            <w:tcW w:type="dxa" w:w="4853"/>
          </w:tcPr>
          <w:p>
            <w:r>
              <w:rPr>
                <w:sz w:val="16"/>
              </w:rPr>
              <w:t>Company</w:t>
            </w:r>
          </w:p>
        </w:tc>
        <w:tc>
          <w:tcPr>
            <w:tcW w:type="dxa" w:w="4853"/>
          </w:tcPr>
          <w:p>
            <w:r>
              <w:rPr>
                <w:sz w:val="16"/>
              </w:rPr>
              <w:t>Confirm transfer and acknowledge receipt of documentation — Oct 30, 2026</w:t>
            </w:r>
          </w:p>
        </w:tc>
      </w:tr>
    </w:tbl>
    <w:p>
      <w:pPr>
        <w:pStyle w:val="Heading1"/>
      </w:pPr>
      <w:r>
        <w:t>SCHEDULE 4 — CONDITIONS SUBSEQUENT (CS)</w:t>
      </w:r>
    </w:p>
    <w:tbl>
      <w:tblPr>
        <w:tblStyle w:val="LightShading-Accent1"/>
        <w:tblW w:type="auto" w:w="0"/>
        <w:jc w:val="center"/>
        <w:tblLook w:firstColumn="1" w:firstRow="1" w:lastColumn="0" w:lastRow="0" w:noHBand="0" w:noVBand="1" w:val="04A0"/>
      </w:tblPr>
      <w:tblGrid>
        <w:gridCol w:w="3235"/>
        <w:gridCol w:w="3235"/>
        <w:gridCol w:w="3235"/>
      </w:tblGrid>
      <w:tr>
        <w:tc>
          <w:tcPr>
            <w:tcW w:type="dxa" w:w="3235"/>
          </w:tcPr>
          <w:p>
            <w:r>
              <w:rPr>
                <w:sz w:val="16"/>
              </w:rPr>
              <w:t>ID / Owner</w:t>
            </w:r>
          </w:p>
        </w:tc>
        <w:tc>
          <w:tcPr>
            <w:tcW w:type="dxa" w:w="3235"/>
          </w:tcPr>
          <w:p>
            <w:r>
              <w:rPr>
                <w:sz w:val="16"/>
              </w:rPr>
              <w:t>Action / Evidence</w:t>
            </w:r>
          </w:p>
        </w:tc>
        <w:tc>
          <w:tcPr>
            <w:tcW w:type="dxa" w:w="3235"/>
          </w:tcPr>
          <w:p>
            <w:r>
              <w:rPr>
                <w:sz w:val="16"/>
              </w:rPr>
              <w:t>Due date</w:t>
            </w:r>
          </w:p>
        </w:tc>
      </w:tr>
      <w:tr>
        <w:tc>
          <w:tcPr>
            <w:tcW w:type="dxa" w:w="3235"/>
          </w:tcPr>
          <w:p>
            <w:r>
              <w:rPr>
                <w:sz w:val="16"/>
              </w:rPr>
              <w:t>CS-01 / Company</w:t>
            </w:r>
          </w:p>
        </w:tc>
        <w:tc>
          <w:tcPr>
            <w:tcW w:type="dxa" w:w="3235"/>
          </w:tcPr>
          <w:p>
            <w:r>
              <w:rPr>
                <w:sz w:val="16"/>
              </w:rPr>
              <w:t>Update stock ledger to record Purchaser as registered owner; certified ledger extract</w:t>
            </w:r>
          </w:p>
        </w:tc>
        <w:tc>
          <w:tcPr>
            <w:tcW w:type="dxa" w:w="3235"/>
          </w:tcPr>
          <w:p>
            <w:r>
              <w:rPr>
                <w:sz w:val="16"/>
              </w:rPr>
              <w:t>Nov 5, 2026</w:t>
            </w:r>
          </w:p>
        </w:tc>
      </w:tr>
      <w:tr>
        <w:tc>
          <w:tcPr>
            <w:tcW w:type="dxa" w:w="3235"/>
          </w:tcPr>
          <w:p>
            <w:r>
              <w:rPr>
                <w:sz w:val="16"/>
              </w:rPr>
              <w:t>CS-02 / Company</w:t>
            </w:r>
          </w:p>
        </w:tc>
        <w:tc>
          <w:tcPr>
            <w:tcW w:type="dxa" w:w="3235"/>
          </w:tcPr>
          <w:p>
            <w:r>
              <w:rPr>
                <w:sz w:val="16"/>
              </w:rPr>
              <w:t>Issue updated capitalization table reflecting the transfer</w:t>
            </w:r>
          </w:p>
        </w:tc>
        <w:tc>
          <w:tcPr>
            <w:tcW w:type="dxa" w:w="3235"/>
          </w:tcPr>
          <w:p>
            <w:r>
              <w:rPr>
                <w:sz w:val="16"/>
              </w:rPr>
              <w:t>Nov 9, 2026</w:t>
            </w:r>
          </w:p>
        </w:tc>
      </w:tr>
      <w:tr>
        <w:tc>
          <w:tcPr>
            <w:tcW w:type="dxa" w:w="3235"/>
          </w:tcPr>
          <w:p>
            <w:r>
              <w:rPr>
                <w:sz w:val="16"/>
              </w:rPr>
              <w:t>CS-03 / Company</w:t>
            </w:r>
          </w:p>
        </w:tc>
        <w:tc>
          <w:tcPr>
            <w:tcW w:type="dxa" w:w="3235"/>
          </w:tcPr>
          <w:p>
            <w:r>
              <w:rPr>
                <w:sz w:val="16"/>
              </w:rPr>
              <w:t>Provide replacement stock certificate or electronic ownership confirmation, if applicable</w:t>
            </w:r>
          </w:p>
        </w:tc>
        <w:tc>
          <w:tcPr>
            <w:tcW w:type="dxa" w:w="3235"/>
          </w:tcPr>
          <w:p>
            <w:r>
              <w:rPr>
                <w:sz w:val="16"/>
              </w:rPr>
              <w:t>Nov 13, 2026</w:t>
            </w:r>
          </w:p>
        </w:tc>
      </w:tr>
      <w:tr>
        <w:tc>
          <w:tcPr>
            <w:tcW w:type="dxa" w:w="3235"/>
          </w:tcPr>
          <w:p>
            <w:r>
              <w:rPr>
                <w:sz w:val="16"/>
              </w:rPr>
              <w:t>CS-04 / Seller</w:t>
            </w:r>
          </w:p>
        </w:tc>
        <w:tc>
          <w:tcPr>
            <w:tcW w:type="dxa" w:w="3235"/>
          </w:tcPr>
          <w:p>
            <w:r>
              <w:rPr>
                <w:sz w:val="16"/>
              </w:rPr>
              <w:t>Provide final tax-basis support and transaction tax documentation reasonably available</w:t>
            </w:r>
          </w:p>
        </w:tc>
        <w:tc>
          <w:tcPr>
            <w:tcW w:type="dxa" w:w="3235"/>
          </w:tcPr>
          <w:p>
            <w:r>
              <w:rPr>
                <w:sz w:val="16"/>
              </w:rPr>
              <w:t>Nov 20, 2026</w:t>
            </w:r>
          </w:p>
        </w:tc>
      </w:tr>
      <w:tr>
        <w:tc>
          <w:tcPr>
            <w:tcW w:type="dxa" w:w="3235"/>
          </w:tcPr>
          <w:p>
            <w:r>
              <w:rPr>
                <w:sz w:val="16"/>
              </w:rPr>
              <w:t>CS-05 / Company</w:t>
            </w:r>
          </w:p>
        </w:tc>
        <w:tc>
          <w:tcPr>
            <w:tcW w:type="dxa" w:w="3235"/>
          </w:tcPr>
          <w:p>
            <w:r>
              <w:rPr>
                <w:sz w:val="16"/>
              </w:rPr>
              <w:t>Deliver copies of required corporate records or securities filings, if applicable, or written no-filing confirmation</w:t>
            </w:r>
          </w:p>
        </w:tc>
        <w:tc>
          <w:tcPr>
            <w:tcW w:type="dxa" w:w="3235"/>
          </w:tcPr>
          <w:p>
            <w:r>
              <w:rPr>
                <w:sz w:val="16"/>
              </w:rPr>
              <w:t>Dec 1, 2026</w:t>
            </w:r>
          </w:p>
        </w:tc>
      </w:tr>
      <w:tr>
        <w:tc>
          <w:tcPr>
            <w:tcW w:type="dxa" w:w="3235"/>
          </w:tcPr>
          <w:p>
            <w:r>
              <w:rPr>
                <w:sz w:val="16"/>
              </w:rPr>
              <w:t>CS-06 / Seller &amp; Company</w:t>
            </w:r>
          </w:p>
        </w:tc>
        <w:tc>
          <w:tcPr>
            <w:tcW w:type="dxa" w:w="3235"/>
          </w:tcPr>
          <w:p>
            <w:r>
              <w:rPr>
                <w:sz w:val="16"/>
              </w:rPr>
              <w:t>Resolve any documented transfer administrative deficiencies notified by Purchaser</w:t>
            </w:r>
          </w:p>
        </w:tc>
        <w:tc>
          <w:tcPr>
            <w:tcW w:type="dxa" w:w="3235"/>
          </w:tcPr>
          <w:p>
            <w:r>
              <w:rPr>
                <w:sz w:val="16"/>
              </w:rPr>
              <w:t>Dec 11, 2026</w:t>
            </w:r>
          </w:p>
        </w:tc>
      </w:tr>
    </w:tbl>
    <w:p>
      <w:pPr>
        <w:pStyle w:val="Heading1"/>
      </w:pPr>
      <w:r>
        <w:t>SIGNATURES</w:t>
      </w:r>
    </w:p>
    <w:p>
      <w:r>
        <w:t>SELLER — Alex Morgan</w:t>
        <w:br/>
        <w:t>Signature: __________________________  Date: ______________</w:t>
        <w:br/>
        <w:br/>
        <w:t>PURCHASER — Northstar Ventures Fund I, L.P., by Northstar GP LLC</w:t>
        <w:br/>
        <w:t>Name / Title: _______________________  Signature: ____________________  Date: __________</w:t>
        <w:br/>
        <w:br/>
        <w:t>COMPANY — Aster Labs, Inc.</w:t>
        <w:br/>
        <w:t>Name / Title: _______________________  Signature: ____________________  Date: __________</w:t>
      </w:r>
    </w:p>
    <w:sectPr w:rsidR="00FC693F" w:rsidRPr="0006063C" w:rsidSect="00034616">
      <w:pgSz w:w="12240" w:h="15840"/>
      <w:pgMar w:top="1123" w:right="1267" w:bottom="1080"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