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(Synthetic document TC20. Fictional counterparty. Client draft received 2026-09-30; client paper, not yet marked up by AtliQ.)</w:t>
      </w:r>
    </w:p>
    <w:bookmarkStart w:id="37" w:name="master-services-agreement"/>
    <w:p>
      <w:pPr>
        <w:pStyle w:val="Heading1"/>
      </w:pPr>
      <w:r>
        <w:t xml:space="preserve">MASTER SERVICES AGREEMENT</w:t>
      </w:r>
    </w:p>
    <w:p>
      <w:pPr>
        <w:pStyle w:val="FirstParagraph"/>
      </w:pPr>
      <w:r>
        <w:t xml:space="preserve">This Master Services Agreement (the</w:t>
      </w:r>
      <w:r>
        <w:t xml:space="preserve"> </w:t>
      </w:r>
      <w:r>
        <w:t xml:space="preserve">“</w:t>
      </w:r>
      <w:r>
        <w:rPr>
          <w:bCs/>
          <w:b/>
        </w:rPr>
        <w:t xml:space="preserve">Agreement</w:t>
      </w:r>
      <w:r>
        <w:t xml:space="preserve">”</w:t>
      </w:r>
      <w:r>
        <w:t xml:space="preserve">) is made on 1 October 2026 (the</w:t>
      </w:r>
      <w:r>
        <w:t xml:space="preserve"> </w:t>
      </w:r>
      <w:r>
        <w:t xml:space="preserve">“</w:t>
      </w:r>
      <w:r>
        <w:rPr>
          <w:bCs/>
          <w:b/>
        </w:rPr>
        <w:t xml:space="preserve">Effective Date</w:t>
      </w:r>
      <w:r>
        <w:t xml:space="preserve">”</w:t>
      </w:r>
      <w:r>
        <w:t xml:space="preserve">)</w:t>
      </w:r>
    </w:p>
    <w:p>
      <w:pPr>
        <w:pStyle w:val="BodyText"/>
      </w:pPr>
      <w:r>
        <w:rPr>
          <w:bCs/>
          <w:b/>
        </w:rPr>
        <w:t xml:space="preserve">BETWEEN</w:t>
      </w:r>
    </w:p>
    <w:p>
      <w:pPr>
        <w:pStyle w:val="BodyText"/>
      </w:pPr>
      <w:r>
        <w:rPr>
          <w:bCs/>
          <w:b/>
        </w:rPr>
        <w:t xml:space="preserve">Vantage Rail Services Limited</w:t>
      </w:r>
      <w:r>
        <w:t xml:space="preserve">, a company registered in England and Wales with its office at 2 Station Approach, Derby DE1 2RU, United Kingdom (the</w:t>
      </w:r>
      <w:r>
        <w:t xml:space="preserve"> </w:t>
      </w:r>
      <w:r>
        <w:t xml:space="preserve">“</w:t>
      </w:r>
      <w:r>
        <w:rPr>
          <w:bCs/>
          <w:b/>
        </w:rPr>
        <w:t xml:space="preserve">Client</w:t>
      </w:r>
      <w:r>
        <w:t xml:space="preserve">”</w:t>
      </w:r>
      <w:r>
        <w:t xml:space="preserve">); and</w:t>
      </w:r>
    </w:p>
    <w:p>
      <w:pPr>
        <w:pStyle w:val="BodyText"/>
      </w:pPr>
      <w:r>
        <w:rPr>
          <w:bCs/>
          <w:b/>
        </w:rPr>
        <w:t xml:space="preserve">ATLIQ TECHNOLOGIES PRIVATE LIMITED</w:t>
      </w:r>
      <w:r>
        <w:t xml:space="preserve">, a company incorporated under the Companies Act, 2013 (CIN U72900MH2019PTC321456), having its registered office at 4th Floor, Baner Business Bay, Pune 411045, Maharashtra, India (the</w:t>
      </w:r>
      <w:r>
        <w:t xml:space="preserve"> </w:t>
      </w:r>
      <w:r>
        <w:t xml:space="preserve">“</w:t>
      </w:r>
      <w:r>
        <w:rPr>
          <w:bCs/>
          <w:b/>
        </w:rPr>
        <w:t xml:space="preserve">Supplier</w:t>
      </w:r>
      <w:r>
        <w:t xml:space="preserve">”</w:t>
      </w:r>
      <w:r>
        <w:t xml:space="preserve">).</w:t>
      </w:r>
    </w:p>
    <w:p>
      <w:pPr>
        <w:pStyle w:val="BodyText"/>
      </w:pPr>
      <w:r>
        <w:t xml:space="preserve">The Client and the Supplier are each a</w:t>
      </w:r>
      <w:r>
        <w:t xml:space="preserve"> </w:t>
      </w:r>
      <w:r>
        <w:t xml:space="preserve">“</w:t>
      </w:r>
      <w:r>
        <w:rPr>
          <w:bCs/>
          <w:b/>
        </w:rPr>
        <w:t xml:space="preserve">Party</w:t>
      </w:r>
      <w:r>
        <w:t xml:space="preserve">”</w:t>
      </w:r>
      <w:r>
        <w:t xml:space="preserve">.</w:t>
      </w:r>
    </w:p>
    <w:bookmarkStart w:id="20" w:name="definitions"/>
    <w:p>
      <w:pPr>
        <w:pStyle w:val="Heading2"/>
      </w:pPr>
      <w:r>
        <w:t xml:space="preserve">1. DEFINITIONS</w:t>
      </w:r>
    </w:p>
    <w:p>
      <w:pPr>
        <w:pStyle w:val="FirstParagraph"/>
      </w:pPr>
      <w:r>
        <w:t xml:space="preserve">1.1</w:t>
      </w:r>
      <w:r>
        <w:t xml:space="preserve"> </w:t>
      </w:r>
      <w:r>
        <w:t xml:space="preserve">“</w:t>
      </w:r>
      <w:r>
        <w:rPr>
          <w:bCs/>
          <w:b/>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ownership of more than fifty percent (50%) of the voting securities of an entity.</w:t>
      </w:r>
    </w:p>
    <w:p>
      <w:pPr>
        <w:pStyle w:val="BodyText"/>
      </w:pPr>
      <w:r>
        <w:t xml:space="preserve">1.2</w:t>
      </w:r>
      <w:r>
        <w:t xml:space="preserve"> </w:t>
      </w:r>
      <w:r>
        <w:t xml:space="preserve">“</w:t>
      </w:r>
      <w:r>
        <w:rPr>
          <w:bCs/>
          <w:b/>
        </w:rPr>
        <w:t xml:space="preserve">Confidential Information</w:t>
      </w:r>
      <w:r>
        <w:t xml:space="preserve">”</w:t>
      </w:r>
      <w:r>
        <w:t xml:space="preserve"> </w:t>
      </w:r>
      <w:r>
        <w:t xml:space="preserve">means all non-public business, technical and commercial information disclosed by one Party to the other in connection with this Agreement.</w:t>
      </w:r>
    </w:p>
    <w:p>
      <w:pPr>
        <w:pStyle w:val="BodyText"/>
      </w:pPr>
      <w:r>
        <w:t xml:space="preserve">1.3</w:t>
      </w:r>
      <w:r>
        <w:t xml:space="preserve"> </w:t>
      </w:r>
      <w:r>
        <w:t xml:space="preserve">“</w:t>
      </w:r>
      <w:r>
        <w:rPr>
          <w:bCs/>
          <w:b/>
        </w:rPr>
        <w:t xml:space="preserve">Deliverables</w:t>
      </w:r>
      <w:r>
        <w:t xml:space="preserve">”</w:t>
      </w:r>
      <w:r>
        <w:t xml:space="preserve"> </w:t>
      </w:r>
      <w:r>
        <w:t xml:space="preserve">means the work product created by the Supplier specifically for the Client under Schedule 1.</w:t>
      </w:r>
    </w:p>
    <w:p>
      <w:pPr>
        <w:pStyle w:val="BodyText"/>
      </w:pPr>
      <w:r>
        <w:t xml:space="preserve">1.4</w:t>
      </w:r>
      <w:r>
        <w:t xml:space="preserve"> </w:t>
      </w:r>
      <w:r>
        <w:t xml:space="preserve">“</w:t>
      </w:r>
      <w:r>
        <w:rPr>
          <w:bCs/>
          <w:b/>
        </w:rPr>
        <w:t xml:space="preserve">Fees</w:t>
      </w:r>
      <w:r>
        <w:t xml:space="preserve">”</w:t>
      </w:r>
      <w:r>
        <w:t xml:space="preserve"> </w:t>
      </w:r>
      <w:r>
        <w:t xml:space="preserve">means the fees set out in Schedule 1, totalling USD 88,000 unless varied by a written change request.</w:t>
      </w:r>
    </w:p>
    <w:p>
      <w:pPr>
        <w:pStyle w:val="BodyText"/>
      </w:pPr>
      <w:r>
        <w:t xml:space="preserve">1.5</w:t>
      </w:r>
      <w:r>
        <w:t xml:space="preserve"> </w:t>
      </w:r>
      <w:r>
        <w:t xml:space="preserve">“</w:t>
      </w:r>
      <w:r>
        <w:rPr>
          <w:bCs/>
          <w:b/>
        </w:rPr>
        <w:t xml:space="preserve">Milestone</w:t>
      </w:r>
      <w:r>
        <w:t xml:space="preserve">”</w:t>
      </w:r>
      <w:r>
        <w:t xml:space="preserve"> </w:t>
      </w:r>
      <w:r>
        <w:t xml:space="preserve">and</w:t>
      </w:r>
      <w:r>
        <w:t xml:space="preserve"> </w:t>
      </w:r>
      <w:r>
        <w:t xml:space="preserve">“</w:t>
      </w:r>
      <w:r>
        <w:rPr>
          <w:bCs/>
          <w:b/>
        </w:rPr>
        <w:t xml:space="preserve">Milestone Fee</w:t>
      </w:r>
      <w:r>
        <w:t xml:space="preserve">”</w:t>
      </w:r>
      <w:r>
        <w:t xml:space="preserve"> </w:t>
      </w:r>
      <w:r>
        <w:t xml:space="preserve">have the meanings given in Schedule 1.</w:t>
      </w:r>
    </w:p>
    <w:p>
      <w:pPr>
        <w:pStyle w:val="BodyText"/>
      </w:pPr>
      <w:r>
        <w:t xml:space="preserve">1.6</w:t>
      </w:r>
      <w:r>
        <w:t xml:space="preserve"> </w:t>
      </w:r>
      <w:r>
        <w:t xml:space="preserve">“</w:t>
      </w:r>
      <w:r>
        <w:rPr>
          <w:bCs/>
          <w:b/>
        </w:rPr>
        <w:t xml:space="preserve">Pre-existing Materials</w:t>
      </w:r>
      <w:r>
        <w:t xml:space="preserve">”</w:t>
      </w:r>
      <w:r>
        <w:t xml:space="preserve"> </w:t>
      </w:r>
      <w:r>
        <w:t xml:space="preserve">means tools, code libraries, frameworks, templates, methodologies and know-how owned by a Party before the Effective Date or developed independently of this Agreement.</w:t>
      </w:r>
    </w:p>
    <w:p>
      <w:pPr>
        <w:pStyle w:val="BodyText"/>
      </w:pPr>
      <w:r>
        <w:t xml:space="preserve">1.7</w:t>
      </w:r>
      <w:r>
        <w:t xml:space="preserve"> </w:t>
      </w:r>
      <w:r>
        <w:t xml:space="preserve">“</w:t>
      </w:r>
      <w:r>
        <w:rPr>
          <w:bCs/>
          <w:b/>
        </w:rPr>
        <w:t xml:space="preserve">Services</w:t>
      </w:r>
      <w:r>
        <w:t xml:space="preserve">”</w:t>
      </w:r>
      <w:r>
        <w:t xml:space="preserve"> </w:t>
      </w:r>
      <w:r>
        <w:t xml:space="preserve">means the services described in Schedule 1.</w:t>
      </w:r>
    </w:p>
    <w:bookmarkEnd w:id="20"/>
    <w:bookmarkStart w:id="21" w:name="services"/>
    <w:p>
      <w:pPr>
        <w:pStyle w:val="Heading2"/>
      </w:pPr>
      <w:r>
        <w:t xml:space="preserve">2. SERVICES</w:t>
      </w:r>
    </w:p>
    <w:p>
      <w:pPr>
        <w:pStyle w:val="FirstParagraph"/>
      </w:pPr>
      <w:r>
        <w:t xml:space="preserve">2.1 The Supplier shall provide the Services and Deliverables described in Schedule 1.</w:t>
      </w:r>
    </w:p>
    <w:p>
      <w:pPr>
        <w:pStyle w:val="BodyText"/>
      </w:pPr>
      <w:r>
        <w:t xml:space="preserve">2.2 The Supplier may perform the Services from its delivery centre in Pune, India, and may use its Affiliates and subcontractors approved by the Client in writing, remaining responsible for their performance.</w:t>
      </w:r>
    </w:p>
    <w:p>
      <w:pPr>
        <w:pStyle w:val="BodyText"/>
      </w:pPr>
      <w:r>
        <w:t xml:space="preserve">2.3 The Client shall provide timely access to its systems, data, premises and personnel reasonably required for the Services.</w:t>
      </w:r>
    </w:p>
    <w:p>
      <w:pPr>
        <w:pStyle w:val="BodyText"/>
      </w:pPr>
      <w:r>
        <w:t xml:space="preserve">2.4 Changes to scope, timelines or Fees shall be agreed through a written change request signed by both Parties.</w:t>
      </w:r>
    </w:p>
    <w:bookmarkEnd w:id="21"/>
    <w:bookmarkStart w:id="22" w:name="fees-and-payment"/>
    <w:p>
      <w:pPr>
        <w:pStyle w:val="Heading2"/>
      </w:pPr>
      <w:r>
        <w:t xml:space="preserve">3. FEES AND PAYMENT</w:t>
      </w:r>
    </w:p>
    <w:p>
      <w:pPr>
        <w:pStyle w:val="FirstParagraph"/>
      </w:pPr>
      <w:r>
        <w:t xml:space="preserve">3.1 The Client shall pay the Fees set out in Schedule 1. The total Fees for the Services are USD 88,000.</w:t>
      </w:r>
    </w:p>
    <w:p>
      <w:pPr>
        <w:pStyle w:val="BodyText"/>
      </w:pPr>
      <w:r>
        <w:t xml:space="preserve">3.2 The Supplier shall invoice each Milestone Fee on completion of the relevant Milestone, and time-and-materials work monthly in arrears.</w:t>
      </w:r>
    </w:p>
    <w:p>
      <w:pPr>
        <w:pStyle w:val="BodyText"/>
      </w:pPr>
      <w:r>
        <w:t xml:space="preserve">3.3 The Client shall pay each undisputed invoice within thirty (30) days of receipt.</w:t>
      </w:r>
    </w:p>
    <w:p>
      <w:pPr>
        <w:pStyle w:val="BodyText"/>
      </w:pPr>
      <w:r>
        <w:t xml:space="preserve">3.4 Fees are exclusive of applicable taxes, which the Client shall pay in addition, save for taxes on the Supplier’s net income.</w:t>
      </w:r>
    </w:p>
    <w:p>
      <w:pPr>
        <w:pStyle w:val="BodyText"/>
      </w:pPr>
      <w:r>
        <w:t xml:space="preserve">3.5 The Client shall notify any disputed amount in writing within ten (10) days of receipt of the invoice and shall pay the undisputed portion on time.</w:t>
      </w:r>
    </w:p>
    <w:bookmarkEnd w:id="22"/>
    <w:bookmarkStart w:id="23" w:name="term-and-termination"/>
    <w:p>
      <w:pPr>
        <w:pStyle w:val="Heading2"/>
      </w:pPr>
      <w:r>
        <w:t xml:space="preserve">4. TERM AND TERMINATION</w:t>
      </w:r>
    </w:p>
    <w:p>
      <w:pPr>
        <w:pStyle w:val="FirstParagraph"/>
      </w:pPr>
      <w:r>
        <w:t xml:space="preserve">4.1 This Agreement starts on the Effective Date and continues until all Services under Schedule 1 are completed, unless terminated earlier under this Section 4.</w:t>
      </w:r>
    </w:p>
    <w:p>
      <w:pPr>
        <w:pStyle w:val="BodyText"/>
      </w:pPr>
      <w:r>
        <w:t xml:space="preserve">4.2 Either Party may terminate this Agreement if the other Party commits a material breach that is not cured within thirty (30) days of written notice.</w:t>
      </w:r>
    </w:p>
    <w:p>
      <w:pPr>
        <w:pStyle w:val="BodyText"/>
      </w:pPr>
      <w:r>
        <w:t xml:space="preserve">4.3 Either Party may terminate this Agreement for convenience on thirty (30) days’ written notice. On such termination the Client shall pay for all Services performed and work in progress up to the effective date of termination.</w:t>
      </w:r>
    </w:p>
    <w:p>
      <w:pPr>
        <w:pStyle w:val="BodyText"/>
      </w:pPr>
      <w:r>
        <w:t xml:space="preserve">4.4 Sections 5, 6, 8, 9 and 14 survive termination.</w:t>
      </w:r>
    </w:p>
    <w:bookmarkEnd w:id="23"/>
    <w:bookmarkStart w:id="24" w:name="confidentiality"/>
    <w:p>
      <w:pPr>
        <w:pStyle w:val="Heading2"/>
      </w:pPr>
      <w:r>
        <w:t xml:space="preserve">5. CONFIDENTIALITY</w:t>
      </w:r>
    </w:p>
    <w:p>
      <w:pPr>
        <w:pStyle w:val="FirstParagraph"/>
      </w:pPr>
      <w:r>
        <w:t xml:space="preserve">5.1 Each Party shall keep the other Party’s Confidential Information confidential and use it only for the purposes of this Agreement.</w:t>
      </w:r>
    </w:p>
    <w:p>
      <w:pPr>
        <w:pStyle w:val="BodyText"/>
      </w:pPr>
      <w:r>
        <w:t xml:space="preserve">5.2 Section 5.1 does not apply to information that (a) is or becomes public other than through a breach of this Agreement; (b) was lawfully known to the receiving Party before disclosure; (c) is independently developed by the receiving Party; or (d) is lawfully received from a third party without restriction. A Party may disclose Confidential Information where required by law, after giving the other Party prompt notice where lawful.</w:t>
      </w:r>
    </w:p>
    <w:p>
      <w:pPr>
        <w:pStyle w:val="BodyText"/>
      </w:pPr>
      <w:r>
        <w:t xml:space="preserve">5.3 The obligations in this Section 5 survive for three (3) years after termination.</w:t>
      </w:r>
    </w:p>
    <w:bookmarkEnd w:id="24"/>
    <w:bookmarkStart w:id="25" w:name="intellectual-property"/>
    <w:p>
      <w:pPr>
        <w:pStyle w:val="Heading2"/>
      </w:pPr>
      <w:r>
        <w:t xml:space="preserve">6. INTELLECTUAL PROPERTY</w:t>
      </w:r>
    </w:p>
    <w:p>
      <w:pPr>
        <w:pStyle w:val="FirstParagraph"/>
      </w:pPr>
      <w:r>
        <w:t xml:space="preserve">6.1 Upon payment in full of the relevant Milestone Fee, the Client shall own the Deliverables created specifically for the Client.</w:t>
      </w:r>
    </w:p>
    <w:p>
      <w:pPr>
        <w:pStyle w:val="BodyText"/>
      </w:pPr>
      <w:r>
        <w:t xml:space="preserve">6.2 The Supplier retains all rights in its Pre-existing Materials. To the extent any Pre-existing Materials are incorporated in the Deliverables, the Supplier grants the Client a non-exclusive, perpetual, royalty-free licence to use them as part of the Deliverables for the Client’s internal business purposes.</w:t>
      </w:r>
    </w:p>
    <w:p>
      <w:pPr>
        <w:pStyle w:val="BodyText"/>
      </w:pPr>
      <w:r>
        <w:t xml:space="preserve">6.3 Each Party retains all rights in its own data.</w:t>
      </w:r>
    </w:p>
    <w:bookmarkEnd w:id="25"/>
    <w:bookmarkStart w:id="26" w:name="warranties"/>
    <w:p>
      <w:pPr>
        <w:pStyle w:val="Heading2"/>
      </w:pPr>
      <w:r>
        <w:t xml:space="preserve">7. WARRANTIES</w:t>
      </w:r>
    </w:p>
    <w:p>
      <w:pPr>
        <w:pStyle w:val="FirstParagraph"/>
      </w:pPr>
      <w:r>
        <w:t xml:space="preserve">7.1 The Supplier warrants that the Services will be performed with reasonable skill and care in accordance with good industry practice.</w:t>
      </w:r>
    </w:p>
    <w:p>
      <w:pPr>
        <w:pStyle w:val="BodyText"/>
      </w:pPr>
      <w:r>
        <w:t xml:space="preserve">7.2 The Supplier warrants that each Deliverable will conform in all material respects to Schedule 1 for sixty (60) days after acceptance. The Client’s remedy for breach of this warranty is re-performance or correction by the Supplier.</w:t>
      </w:r>
    </w:p>
    <w:p>
      <w:pPr>
        <w:pStyle w:val="BodyText"/>
      </w:pPr>
      <w:r>
        <w:t xml:space="preserve">7.3 Each Party warrants that it has full power and authority to enter into this Agreement.</w:t>
      </w:r>
    </w:p>
    <w:p>
      <w:pPr>
        <w:pStyle w:val="BodyText"/>
      </w:pPr>
      <w:r>
        <w:t xml:space="preserve">7.4 Except as expressly set out in this Agreement, all other warranties are excluded to the extent permitted by law.</w:t>
      </w:r>
    </w:p>
    <w:bookmarkEnd w:id="26"/>
    <w:bookmarkStart w:id="27" w:name="indemnities"/>
    <w:p>
      <w:pPr>
        <w:pStyle w:val="Heading2"/>
      </w:pPr>
      <w:r>
        <w:t xml:space="preserve">8. INDEMNITIES</w:t>
      </w:r>
    </w:p>
    <w:p>
      <w:pPr>
        <w:pStyle w:val="FirstParagraph"/>
      </w:pPr>
      <w:r>
        <w:t xml:space="preserve">8.1 Each Party shall indemnify the other against third-party claims to the extent arising from (a) its breach of Section 5; (b) infringement of a third party’s intellectual property rights by materials it supplied; or (c) its gross negligence or wilful misconduct.</w:t>
      </w:r>
    </w:p>
    <w:p>
      <w:pPr>
        <w:pStyle w:val="BodyText"/>
      </w:pPr>
      <w:r>
        <w:t xml:space="preserve">8.2 Neither Party is required to indemnify the other for losses to the extent caused by the indemnified Party’s own negligence, breach or wilful misconduct.</w:t>
      </w:r>
    </w:p>
    <w:p>
      <w:pPr>
        <w:pStyle w:val="BodyText"/>
      </w:pPr>
      <w:r>
        <w:t xml:space="preserve">8.3 The indemnified Party shall notify the indemnifying Party promptly of any claim, allow it to control the defence, and provide reasonable assistance at its cost.</w:t>
      </w:r>
    </w:p>
    <w:bookmarkEnd w:id="27"/>
    <w:bookmarkStart w:id="28" w:name="limitation-of-liability"/>
    <w:p>
      <w:pPr>
        <w:pStyle w:val="Heading2"/>
      </w:pPr>
      <w:r>
        <w:t xml:space="preserve">9. LIMITATION OF LIABILITY</w:t>
      </w:r>
    </w:p>
    <w:p>
      <w:pPr>
        <w:pStyle w:val="FirstParagraph"/>
      </w:pPr>
      <w:r>
        <w:t xml:space="preserve">9.1 Neither Party shall be liable for any indirect, special or consequential loss, or for any loss of profit, revenue or goodwill.</w:t>
      </w:r>
    </w:p>
    <w:p>
      <w:pPr>
        <w:pStyle w:val="BodyText"/>
      </w:pPr>
      <w:r>
        <w:t xml:space="preserve">9.2 Each Party’s aggregate liability arising out of or in connection with this Agreement shall not exceed the total Fees paid or payable under this Agreement.</w:t>
      </w:r>
    </w:p>
    <w:p>
      <w:pPr>
        <w:pStyle w:val="BodyText"/>
      </w:pPr>
      <w:r>
        <w:t xml:space="preserve">9.3 Sections 9.1 and 9.2 do not limit liability for fraud or wilful misconduct, or the Client’s obligation to pay the Fees.</w:t>
      </w:r>
    </w:p>
    <w:bookmarkEnd w:id="28"/>
    <w:bookmarkStart w:id="29" w:name="delivery-and-liquidated-damages"/>
    <w:p>
      <w:pPr>
        <w:pStyle w:val="Heading2"/>
      </w:pPr>
      <w:r>
        <w:t xml:space="preserve">10. DELIVERY AND LIQUIDATED DAMAGES</w:t>
      </w:r>
    </w:p>
    <w:p>
      <w:pPr>
        <w:pStyle w:val="FirstParagraph"/>
      </w:pPr>
      <w:r>
        <w:t xml:space="preserve">10.1 The Milestones and target dates are set out in Schedule 1.</w:t>
      </w:r>
    </w:p>
    <w:p>
      <w:pPr>
        <w:pStyle w:val="BodyText"/>
      </w:pPr>
      <w:r>
        <w:t xml:space="preserve">10.2 If the Supplier fails to achieve a Milestone by its target date for reasons attributable to the Supplier, the Client may claim liquidated damages of one-half percent (0.5%) of the affected Milestone Fee for each complete week of delay.</w:t>
      </w:r>
    </w:p>
    <w:p>
      <w:pPr>
        <w:pStyle w:val="BodyText"/>
      </w:pPr>
      <w:r>
        <w:t xml:space="preserve">10.3 The total liquidated damages for any Milestone shall not exceed five percent (5%) of that Milestone Fee.</w:t>
      </w:r>
    </w:p>
    <w:p>
      <w:pPr>
        <w:pStyle w:val="BodyText"/>
      </w:pPr>
      <w:r>
        <w:t xml:space="preserve">10.4 No liquidated damages are payable for any delay caused by the Client, its personnel or its other vendors, or by a force majeure event, and the affected target dates shall be extended accordingly.</w:t>
      </w:r>
    </w:p>
    <w:p>
      <w:pPr>
        <w:pStyle w:val="BodyText"/>
      </w:pPr>
      <w:r>
        <w:t xml:space="preserve">10.5 Liquidated damages are the Client’s sole and exclusive remedy for delay.</w:t>
      </w:r>
    </w:p>
    <w:bookmarkEnd w:id="29"/>
    <w:bookmarkStart w:id="30" w:name="data-protection"/>
    <w:p>
      <w:pPr>
        <w:pStyle w:val="Heading2"/>
      </w:pPr>
      <w:r>
        <w:t xml:space="preserve">11. DATA PROTECTION</w:t>
      </w:r>
    </w:p>
    <w:p>
      <w:pPr>
        <w:pStyle w:val="FirstParagraph"/>
      </w:pPr>
      <w:r>
        <w:t xml:space="preserve">11.1 The Parties do not expect the Services to involve the processing of personal data. Client data made available to the Supplier consists of operational, machine and commercial data.</w:t>
      </w:r>
    </w:p>
    <w:p>
      <w:pPr>
        <w:pStyle w:val="BodyText"/>
      </w:pPr>
      <w:r>
        <w:t xml:space="preserve">11.2 If the Client intends to make personal data available, it shall notify the Supplier in advance and the Parties shall agree appropriate data protection terms in writing before any such data is shared.</w:t>
      </w:r>
    </w:p>
    <w:bookmarkEnd w:id="30"/>
    <w:bookmarkStart w:id="31" w:name="insurance"/>
    <w:p>
      <w:pPr>
        <w:pStyle w:val="Heading2"/>
      </w:pPr>
      <w:r>
        <w:t xml:space="preserve">12. INSURANCE</w:t>
      </w:r>
    </w:p>
    <w:p>
      <w:pPr>
        <w:pStyle w:val="FirstParagraph"/>
      </w:pPr>
      <w:r>
        <w:t xml:space="preserve">12.1 The Supplier shall maintain professional indemnity insurance with cover of not less than USD 1,000,000 per claim for the duration of this Agreement and shall provide a certificate on request.</w:t>
      </w:r>
    </w:p>
    <w:bookmarkEnd w:id="31"/>
    <w:bookmarkStart w:id="32" w:name="non-solicitation"/>
    <w:p>
      <w:pPr>
        <w:pStyle w:val="Heading2"/>
      </w:pPr>
      <w:r>
        <w:t xml:space="preserve">13. NON-SOLICITATION</w:t>
      </w:r>
    </w:p>
    <w:p>
      <w:pPr>
        <w:pStyle w:val="FirstParagraph"/>
      </w:pPr>
      <w:r>
        <w:t xml:space="preserve">13.1 During this Agreement and for twelve (12) months after it ends, neither Party shall directly solicit for employment any employee of the other Party who was directly involved in the Services. General advertisements not targeted at such employees are not a breach.</w:t>
      </w:r>
    </w:p>
    <w:bookmarkEnd w:id="32"/>
    <w:bookmarkStart w:id="33" w:name="governing-law-and-disputes"/>
    <w:p>
      <w:pPr>
        <w:pStyle w:val="Heading2"/>
      </w:pPr>
      <w:r>
        <w:t xml:space="preserve">14. GOVERNING LAW AND DISPUTES</w:t>
      </w:r>
    </w:p>
    <w:p>
      <w:pPr>
        <w:pStyle w:val="FirstParagraph"/>
      </w:pPr>
      <w:r>
        <w:t xml:space="preserve">14.1 This Agreement shall be governed by the laws of India.</w:t>
      </w:r>
    </w:p>
    <w:p>
      <w:pPr>
        <w:pStyle w:val="BodyText"/>
      </w:pPr>
      <w:r>
        <w:t xml:space="preserve">14.2 Any dispute not resolved amicably within thirty (30) days shall be referred to arbitration by a sole arbitrator appointed under the Arbitration and Conciliation Act, 1996. The seat and venue of arbitration shall be Pune, Maharashtra, and the proceedings shall be conducted in English.</w:t>
      </w:r>
    </w:p>
    <w:bookmarkEnd w:id="33"/>
    <w:bookmarkStart w:id="34" w:name="general"/>
    <w:p>
      <w:pPr>
        <w:pStyle w:val="Heading2"/>
      </w:pPr>
      <w:r>
        <w:t xml:space="preserve">15. GENERAL</w:t>
      </w:r>
    </w:p>
    <w:p>
      <w:pPr>
        <w:pStyle w:val="FirstParagraph"/>
      </w:pPr>
      <w:r>
        <w:t xml:space="preserve">15.1 This Agreement, with its Schedules, is the entire agreement between the Parties on its subject matter.</w:t>
      </w:r>
    </w:p>
    <w:p>
      <w:pPr>
        <w:pStyle w:val="BodyText"/>
      </w:pPr>
      <w:r>
        <w:t xml:space="preserve">15.2 No amendment is effective unless made in writing and signed by both Parties.</w:t>
      </w:r>
    </w:p>
    <w:p>
      <w:pPr>
        <w:pStyle w:val="BodyText"/>
      </w:pPr>
      <w:r>
        <w:t xml:space="preserve">15.3 Neither Party may assign this Agreement without the other’s written consent, except to an Affiliate on written notice.</w:t>
      </w:r>
    </w:p>
    <w:p>
      <w:pPr>
        <w:pStyle w:val="BodyText"/>
      </w:pPr>
      <w:r>
        <w:t xml:space="preserve">15.4 Neither Party is liable for delay or failure caused by events beyond its reasonable control, including natural disasters, epidemics, war, government action and failures of public utilities (</w:t>
      </w:r>
      <w:r>
        <w:t xml:space="preserve">“</w:t>
      </w:r>
      <w:r>
        <w:t xml:space="preserve">force majeure</w:t>
      </w:r>
      <w:r>
        <w:t xml:space="preserve">”</w:t>
      </w:r>
      <w:r>
        <w:t xml:space="preserve">).</w:t>
      </w:r>
    </w:p>
    <w:p>
      <w:pPr>
        <w:pStyle w:val="BodyText"/>
      </w:pPr>
      <w:r>
        <w:t xml:space="preserve">15.5 Notices shall be in writing and delivered by hand, courier or email to the addresses set out above.</w:t>
      </w:r>
    </w:p>
    <w:p>
      <w:pPr>
        <w:pStyle w:val="BodyText"/>
      </w:pPr>
      <w:r>
        <w:t xml:space="preserve">15.6 This Agreement may be signed electronically and in counterparts.</w:t>
      </w:r>
    </w:p>
    <w:p>
      <w:pPr>
        <w:pStyle w:val="BodyText"/>
      </w:pPr>
      <w:r>
        <w:t xml:space="preserve">15.7 If there is a conflict between the main body of this Agreement and a Schedule, the main body prevails.</w:t>
      </w:r>
    </w:p>
    <w:p>
      <w:pPr>
        <w:pStyle w:val="BodyText"/>
      </w:pPr>
      <w:r>
        <w:t xml:space="preserve">15.8 The Parties are independent contractors.</w:t>
      </w:r>
    </w:p>
    <w:p>
      <w:pPr>
        <w:pStyle w:val="BodyText"/>
      </w:pPr>
      <w:r>
        <w:t xml:space="preserve">15.9 Notwithstanding Section 9, the Supplier’s liability for any claim arising under or in connection with this Agreement shall be unlimited.</w:t>
      </w:r>
    </w:p>
    <w:bookmarkEnd w:id="34"/>
    <w:bookmarkStart w:id="35" w:name="schedule-1-statement-of-work-and-fees"/>
    <w:p>
      <w:pPr>
        <w:pStyle w:val="Heading2"/>
      </w:pPr>
      <w:r>
        <w:t xml:space="preserve">SCHEDULE 1 — STATEMENT OF WORK AND FEES</w:t>
      </w:r>
    </w:p>
    <w:p>
      <w:pPr>
        <w:pStyle w:val="FirstParagraph"/>
      </w:pPr>
      <w:r>
        <w:rPr>
          <w:bCs/>
          <w:b/>
        </w:rPr>
        <w:t xml:space="preserve">S1.1 Background.</w:t>
      </w:r>
      <w:r>
        <w:t xml:space="preserve"> </w:t>
      </w:r>
      <w:r>
        <w:t xml:space="preserve">Vantage maintains rolling stock and wants predictive maintenance analytics on depot data.</w:t>
      </w:r>
    </w:p>
    <w:p>
      <w:pPr>
        <w:pStyle w:val="BodyText"/>
      </w:pPr>
      <w:r>
        <w:rPr>
          <w:bCs/>
          <w:b/>
        </w:rPr>
        <w:t xml:space="preserve">S1.2 Services.</w:t>
      </w:r>
    </w:p>
    <w:p>
      <w:pPr>
        <w:numPr>
          <w:ilvl w:val="0"/>
          <w:numId w:val="1001"/>
        </w:numPr>
        <w:pStyle w:val="Compact"/>
      </w:pPr>
      <w:r>
        <w:t xml:space="preserve">Depot and sensor data pipelines</w:t>
      </w:r>
    </w:p>
    <w:p>
      <w:pPr>
        <w:numPr>
          <w:ilvl w:val="0"/>
          <w:numId w:val="1001"/>
        </w:numPr>
        <w:pStyle w:val="Compact"/>
      </w:pPr>
      <w:r>
        <w:t xml:space="preserve">Fault prediction models</w:t>
      </w:r>
    </w:p>
    <w:p>
      <w:pPr>
        <w:numPr>
          <w:ilvl w:val="0"/>
          <w:numId w:val="1001"/>
        </w:numPr>
        <w:pStyle w:val="Compact"/>
      </w:pPr>
      <w:r>
        <w:t xml:space="preserve">Maintenance planning dashboards</w:t>
      </w:r>
    </w:p>
    <w:p>
      <w:pPr>
        <w:pStyle w:val="FirstParagraph"/>
      </w:pPr>
      <w:r>
        <w:rPr>
          <w:bCs/>
          <w:b/>
        </w:rPr>
        <w:t xml:space="preserve">S1.3 Delivery.</w:t>
      </w:r>
      <w:r>
        <w:t xml:space="preserve"> </w:t>
      </w:r>
      <w:r>
        <w:t xml:space="preserve">The Services will be delivered remotely by the Supplier team in Pune, India, with on-site workshops as agreed.</w:t>
      </w:r>
    </w:p>
    <w:p>
      <w:pPr>
        <w:pStyle w:val="BodyText"/>
      </w:pPr>
      <w:r>
        <w:rPr>
          <w:bCs/>
          <w:b/>
        </w:rPr>
        <w:t xml:space="preserve">S1.4 Milestones and Fees (fixed price).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Milestone Fee</w:t>
            </w:r>
          </w:p>
        </w:tc>
      </w:tr>
      <w:tr>
        <w:tc>
          <w:tcPr/>
          <w:p>
            <w:pPr>
              <w:pStyle w:val="Compact"/>
              <w:jc w:val="left"/>
            </w:pPr>
            <w:r>
              <w:t xml:space="preserve">M1</w:t>
            </w:r>
          </w:p>
        </w:tc>
        <w:tc>
          <w:tcPr/>
          <w:p>
            <w:pPr>
              <w:pStyle w:val="Compact"/>
              <w:jc w:val="left"/>
            </w:pPr>
            <w:r>
              <w:t xml:space="preserve">Discovery and data assessment</w:t>
            </w:r>
          </w:p>
        </w:tc>
        <w:tc>
          <w:tcPr/>
          <w:p>
            <w:pPr>
              <w:pStyle w:val="Compact"/>
              <w:jc w:val="left"/>
            </w:pPr>
            <w:r>
              <w:t xml:space="preserve">Start + 6 weeks</w:t>
            </w:r>
          </w:p>
        </w:tc>
        <w:tc>
          <w:tcPr/>
          <w:p>
            <w:pPr>
              <w:pStyle w:val="Compact"/>
              <w:jc w:val="left"/>
            </w:pPr>
            <w:r>
              <w:t xml:space="preserve">USD 26,400</w:t>
            </w:r>
          </w:p>
        </w:tc>
      </w:tr>
      <w:tr>
        <w:tc>
          <w:tcPr/>
          <w:p>
            <w:pPr>
              <w:pStyle w:val="Compact"/>
              <w:jc w:val="left"/>
            </w:pPr>
            <w:r>
              <w:t xml:space="preserve">M2</w:t>
            </w:r>
          </w:p>
        </w:tc>
        <w:tc>
          <w:tcPr/>
          <w:p>
            <w:pPr>
              <w:pStyle w:val="Compact"/>
              <w:jc w:val="left"/>
            </w:pPr>
            <w:r>
              <w:t xml:space="preserve">Build and integration</w:t>
            </w:r>
          </w:p>
        </w:tc>
        <w:tc>
          <w:tcPr/>
          <w:p>
            <w:pPr>
              <w:pStyle w:val="Compact"/>
              <w:jc w:val="left"/>
            </w:pPr>
            <w:r>
              <w:t xml:space="preserve">Start + 12 weeks</w:t>
            </w:r>
          </w:p>
        </w:tc>
        <w:tc>
          <w:tcPr/>
          <w:p>
            <w:pPr>
              <w:pStyle w:val="Compact"/>
              <w:jc w:val="left"/>
            </w:pPr>
            <w:r>
              <w:t xml:space="preserve">USD 35,200</w:t>
            </w:r>
          </w:p>
        </w:tc>
      </w:tr>
      <w:tr>
        <w:tc>
          <w:tcPr/>
          <w:p>
            <w:pPr>
              <w:pStyle w:val="Compact"/>
              <w:jc w:val="left"/>
            </w:pPr>
            <w:r>
              <w:t xml:space="preserve">M3</w:t>
            </w:r>
          </w:p>
        </w:tc>
        <w:tc>
          <w:tcPr/>
          <w:p>
            <w:pPr>
              <w:pStyle w:val="Compact"/>
              <w:jc w:val="left"/>
            </w:pPr>
            <w:r>
              <w:t xml:space="preserve">Go-live and handover</w:t>
            </w:r>
          </w:p>
        </w:tc>
        <w:tc>
          <w:tcPr/>
          <w:p>
            <w:pPr>
              <w:pStyle w:val="Compact"/>
              <w:jc w:val="left"/>
            </w:pPr>
            <w:r>
              <w:t xml:space="preserve">Start + 18 weeks</w:t>
            </w:r>
          </w:p>
        </w:tc>
        <w:tc>
          <w:tcPr/>
          <w:p>
            <w:pPr>
              <w:pStyle w:val="Compact"/>
              <w:jc w:val="left"/>
            </w:pPr>
            <w:r>
              <w:t xml:space="preserve">USD 26,400</w:t>
            </w:r>
          </w:p>
        </w:tc>
      </w:tr>
      <w:tr>
        <w:tc>
          <w:tcPr/>
          <w:p>
            <w:pPr>
              <w:pStyle w:val="Compact"/>
            </w:pPr>
          </w:p>
        </w:tc>
        <w:tc>
          <w:tcPr/>
          <w:p>
            <w:pPr>
              <w:pStyle w:val="Compact"/>
              <w:jc w:val="left"/>
            </w:pPr>
            <w:r>
              <w:rPr>
                <w:bCs/>
                <w:b/>
              </w:rPr>
              <w:t xml:space="preserve">Total Fees</w:t>
            </w:r>
          </w:p>
        </w:tc>
        <w:tc>
          <w:tcPr/>
          <w:p>
            <w:pPr>
              <w:pStyle w:val="Compact"/>
            </w:pPr>
          </w:p>
        </w:tc>
        <w:tc>
          <w:tcPr/>
          <w:p>
            <w:pPr>
              <w:pStyle w:val="Compact"/>
              <w:jc w:val="left"/>
            </w:pPr>
            <w:r>
              <w:rPr>
                <w:bCs/>
                <w:b/>
              </w:rPr>
              <w:t xml:space="preserve">USD 88,000</w:t>
            </w:r>
          </w:p>
        </w:tc>
      </w:tr>
    </w:tbl>
    <w:bookmarkEnd w:id="35"/>
    <w:bookmarkStart w:id="36" w:name="signatures"/>
    <w:p>
      <w:pPr>
        <w:pStyle w:val="Heading2"/>
      </w:pPr>
      <w:r>
        <w:t xml:space="preserve">SIGNATURES</w:t>
      </w:r>
    </w:p>
    <w:p>
      <w:pPr>
        <w:pStyle w:val="FirstParagraph"/>
      </w:pPr>
      <w:r>
        <w:rPr>
          <w:bCs/>
          <w:b/>
        </w:rPr>
        <w:t xml:space="preserve">For and on behalf of VANTAGE RAIL SERVICES LIMITED</w:t>
      </w:r>
    </w:p>
    <w:p>
      <w:pPr>
        <w:pStyle w:val="BodyText"/>
      </w:pPr>
      <w:r>
        <w:t xml:space="preserve">Name: Hannah Price, Director of Operations</w:t>
      </w:r>
    </w:p>
    <w:p>
      <w:pPr>
        <w:pStyle w:val="BodyText"/>
      </w:pPr>
      <w:r>
        <w:t xml:space="preserve">Signature: ____________________ Date: __________</w:t>
      </w:r>
    </w:p>
    <w:p>
      <w:pPr>
        <w:pStyle w:val="BodyText"/>
      </w:pPr>
      <w:r>
        <w:rPr>
          <w:bCs/>
          <w:b/>
        </w:rPr>
        <w:t xml:space="preserve">For and on behalf of ATLIQ TECHNOLOGIES PRIVATE LIMITED</w:t>
      </w:r>
    </w:p>
    <w:p>
      <w:pPr>
        <w:pStyle w:val="BodyText"/>
      </w:pPr>
      <w:r>
        <w:t xml:space="preserve">Name: Karandeep, Chief Executive Officer</w:t>
      </w:r>
    </w:p>
    <w:p>
      <w:pPr>
        <w:pStyle w:val="BodyText"/>
      </w:pPr>
      <w:r>
        <w:t xml:space="preserve">Signature: ____________________ Date: __________</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2026-10-12T09:56:19Z</dcterms:created>
  <dcterms:modified xsi:type="dcterms:W3CDTF">2026-10-12T09:56:19Z</dcterms:modified>
</cp:coreProperties>
</file>

<file path=docProps/custom.xml><?xml version="1.0" encoding="utf-8"?>
<Properties xmlns="http://schemas.openxmlformats.org/officeDocument/2006/custom-properties" xmlns:vt="http://schemas.openxmlformats.org/officeDocument/2006/docPropsVTypes"/>
</file>