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2E74B5"/>
          <w:sz w:val="19"/>
        </w:rPr>
        <w:t>CODEBASE REVIEW</w:t>
      </w:r>
    </w:p>
    <w:p>
      <w:pPr>
        <w:pStyle w:val="Title"/>
      </w:pPr>
      <w:r>
        <w:t>Election Info Display</w:t>
      </w:r>
    </w:p>
    <w:p>
      <w:pPr>
        <w:pStyle w:val="Subtitle"/>
      </w:pPr>
      <w:r>
        <w:t>Current state, architecture, risks, roadmap, and a better working agreement with Codex</w:t>
      </w:r>
    </w:p>
    <w:p>
      <w:pPr>
        <w:spacing w:after="40"/>
      </w:pPr>
      <w:r>
        <w:rPr>
          <w:rFonts w:ascii="Calibri" w:hAnsi="Calibri"/>
          <w:b/>
          <w:color w:val="24313A"/>
          <w:sz w:val="20"/>
        </w:rPr>
        <w:t xml:space="preserve">Repository: </w:t>
      </w:r>
      <w:r>
        <w:rPr>
          <w:rFonts w:ascii="Calibri" w:hAnsi="Calibri"/>
          <w:color w:val="5F6B73"/>
          <w:sz w:val="20"/>
        </w:rPr>
        <w:t>/Users/saml16/projects/Election_info_dispaly</w:t>
      </w:r>
    </w:p>
    <w:p>
      <w:pPr>
        <w:spacing w:after="40"/>
      </w:pPr>
      <w:r>
        <w:rPr>
          <w:rFonts w:ascii="Calibri" w:hAnsi="Calibri"/>
          <w:b/>
          <w:color w:val="24313A"/>
          <w:sz w:val="20"/>
        </w:rPr>
        <w:t xml:space="preserve">Branch / commit: </w:t>
      </w:r>
      <w:r>
        <w:rPr>
          <w:rFonts w:ascii="Calibri" w:hAnsi="Calibri"/>
          <w:color w:val="5F6B73"/>
          <w:sz w:val="20"/>
        </w:rPr>
        <w:t>main  •  548b706</w:t>
      </w:r>
    </w:p>
    <w:p>
      <w:pPr>
        <w:spacing w:after="40"/>
      </w:pPr>
      <w:r>
        <w:rPr>
          <w:rFonts w:ascii="Calibri" w:hAnsi="Calibri"/>
          <w:b/>
          <w:color w:val="24313A"/>
          <w:sz w:val="20"/>
        </w:rPr>
        <w:t xml:space="preserve">Assessment date: </w:t>
      </w:r>
      <w:r>
        <w:rPr>
          <w:rFonts w:ascii="Calibri" w:hAnsi="Calibri"/>
          <w:color w:val="5F6B73"/>
          <w:sz w:val="20"/>
        </w:rPr>
        <w:t>11 July 2026</w:t>
      </w:r>
    </w:p>
    <w:p>
      <w:pPr>
        <w:spacing w:after="40"/>
      </w:pPr>
      <w:r>
        <w:rPr>
          <w:rFonts w:ascii="Calibri" w:hAnsi="Calibri"/>
          <w:b/>
          <w:color w:val="24313A"/>
          <w:sz w:val="20"/>
        </w:rPr>
        <w:t xml:space="preserve">Evidence reviewed: </w:t>
      </w:r>
      <w:r>
        <w:rPr>
          <w:rFonts w:ascii="Calibri" w:hAnsi="Calibri"/>
          <w:color w:val="5F6B73"/>
          <w:sz w:val="20"/>
        </w:rPr>
        <w:t>Active source, project docs, build checks, and 70 prior turns across 9 project tasks</w:t>
      </w:r>
    </w:p>
    <w:p>
      <w:pPr>
        <w:spacing w:after="40"/>
      </w:pPr>
      <w:r>
        <w:rPr>
          <w:rFonts w:ascii="Calibri" w:hAnsi="Calibri"/>
          <w:b/>
          <w:color w:val="24313A"/>
          <w:sz w:val="20"/>
        </w:rPr>
        <w:t xml:space="preserve">Scope note: </w:t>
      </w:r>
      <w:r>
        <w:rPr>
          <w:rFonts w:ascii="Calibri" w:hAnsi="Calibri"/>
          <w:color w:val="5F6B73"/>
          <w:sz w:val="20"/>
        </w:rPr>
        <w:t>Repository-linked tasks only; unrelated personal and other-project conversations were excluded.</w:t>
      </w:r>
    </w:p>
    <w:p>
      <w:pPr>
        <w:pStyle w:val="Heading1"/>
      </w:pPr>
      <w:r>
        <w:t>Executive assessment</w:t>
      </w:r>
    </w:p>
    <w:p>
      <w:pPr>
        <w:spacing w:before="100" w:after="160"/>
        <w:ind w:left="173" w:right="173"/>
        <w:shd w:fill="E8EEF5"/>
      </w:pPr>
      <w:r>
        <w:rPr>
          <w:rFonts w:ascii="Calibri" w:hAnsi="Calibri"/>
          <w:b/>
          <w:color w:val="1F4D78"/>
          <w:sz w:val="21"/>
        </w:rPr>
        <w:t xml:space="preserve">Bottom line  </w:t>
      </w:r>
      <w:r>
        <w:rPr>
          <w:rFonts w:ascii="Calibri" w:hAnsi="Calibri"/>
          <w:color w:val="24313A"/>
          <w:sz w:val="21"/>
        </w:rPr>
        <w:t>The repository is a functional UI prototype and design workspace, not yet a production-ready election information application. The active Chakra rewrite builds successfully, but data loading, documentation, automated quality checks, performance, accessibility, internationalization, and production content contracts are incomplete.</w:t>
      </w:r>
    </w:p>
    <w:tbl>
      <w:tblPr>
        <w:tblStyle w:val="TableGrid"/>
        <w:tblW w:type="dxa" w:w="9360"/>
        <w:jc w:val="left"/>
        <w:tblLayout w:type="fixed"/>
        <w:tblLook w:firstColumn="1" w:firstRow="1" w:lastColumn="0" w:lastRow="0" w:noHBand="0" w:noVBand="1" w:val="04A0"/>
        <w:tblInd w:w="120" w:type="dxa"/>
      </w:tblPr>
      <w:tblGrid>
        <w:gridCol w:w="1656"/>
        <w:gridCol w:w="4968"/>
        <w:gridCol w:w="2736"/>
      </w:tblGrid>
      <w:tr>
        <w:trPr>
          <w:tblHeader w:val="true"/>
        </w:trPr>
        <w:tc>
          <w:tcPr>
            <w:tcW w:type="dxa" w:w="1656"/>
            <w:vAlign w:val="center"/>
            <w:tcMar>
              <w:top w:w="100" w:type="dxa"/>
              <w:start w:w="120" w:type="dxa"/>
              <w:bottom w:w="100" w:type="dxa"/>
              <w:end w:w="120" w:type="dxa"/>
            </w:tcMar>
            <w:shd w:fill="F2F4F7"/>
          </w:tcPr>
          <w:p>
            <w:pPr>
              <w:spacing w:after="0"/>
            </w:pPr>
            <w:r>
              <w:rPr>
                <w:rFonts w:ascii="Calibri" w:hAnsi="Calibri"/>
                <w:b/>
                <w:color w:val="1F4D78"/>
                <w:sz w:val="18"/>
              </w:rPr>
              <w:t>Area</w:t>
            </w:r>
          </w:p>
        </w:tc>
        <w:tc>
          <w:tcPr>
            <w:tcW w:type="dxa" w:w="4968"/>
            <w:vAlign w:val="center"/>
            <w:tcMar>
              <w:top w:w="100" w:type="dxa"/>
              <w:start w:w="120" w:type="dxa"/>
              <w:bottom w:w="100" w:type="dxa"/>
              <w:end w:w="120" w:type="dxa"/>
            </w:tcMar>
            <w:shd w:fill="F2F4F7"/>
          </w:tcPr>
          <w:p>
            <w:pPr>
              <w:spacing w:after="0"/>
            </w:pPr>
            <w:r>
              <w:rPr>
                <w:rFonts w:ascii="Calibri" w:hAnsi="Calibri"/>
                <w:b/>
                <w:color w:val="1F4D78"/>
                <w:sz w:val="18"/>
              </w:rPr>
              <w:t>Current state</w:t>
            </w:r>
          </w:p>
        </w:tc>
        <w:tc>
          <w:tcPr>
            <w:tcW w:type="dxa" w:w="2736"/>
            <w:vAlign w:val="center"/>
            <w:tcMar>
              <w:top w:w="100" w:type="dxa"/>
              <w:start w:w="120" w:type="dxa"/>
              <w:bottom w:w="100" w:type="dxa"/>
              <w:end w:w="120" w:type="dxa"/>
            </w:tcMar>
            <w:shd w:fill="F2F4F7"/>
          </w:tcPr>
          <w:p>
            <w:pPr>
              <w:spacing w:after="0"/>
            </w:pPr>
            <w:r>
              <w:rPr>
                <w:rFonts w:ascii="Calibri" w:hAnsi="Calibri"/>
                <w:b/>
                <w:color w:val="1F4D78"/>
                <w:sz w:val="18"/>
              </w:rPr>
              <w:t>Assessment</w:t>
            </w:r>
          </w:p>
        </w:tc>
      </w:tr>
      <w:tr>
        <w:tc>
          <w:tcPr>
            <w:tcW w:type="dxa" w:w="1656"/>
          </w:tcPr>
          <w:p>
            <w:pPr>
              <w:spacing w:after="0"/>
            </w:pPr>
            <w:r>
              <w:rPr>
                <w:rFonts w:ascii="Calibri" w:hAnsi="Calibri"/>
                <w:color w:val="24313A"/>
                <w:sz w:val="18"/>
              </w:rPr>
              <w:t>Product</w:t>
            </w:r>
          </w:p>
        </w:tc>
        <w:tc>
          <w:tcPr>
            <w:tcW w:type="dxa" w:w="4968"/>
          </w:tcPr>
          <w:p>
            <w:pPr>
              <w:spacing w:after="0"/>
            </w:pPr>
            <w:r>
              <w:rPr>
                <w:rFonts w:ascii="Calibri" w:hAnsi="Calibri"/>
                <w:color w:val="24313A"/>
                <w:sz w:val="18"/>
              </w:rPr>
              <w:t>Seven navigable demo/workspace routes</w:t>
            </w:r>
          </w:p>
        </w:tc>
        <w:tc>
          <w:tcPr>
            <w:tcW w:type="dxa" w:w="2736"/>
          </w:tcPr>
          <w:p>
            <w:pPr>
              <w:spacing w:after="0"/>
            </w:pPr>
            <w:r>
              <w:rPr>
                <w:rFonts w:ascii="Calibri" w:hAnsi="Calibri"/>
                <w:color w:val="24313A"/>
                <w:sz w:val="18"/>
              </w:rPr>
              <w:t>Prototype</w:t>
            </w:r>
          </w:p>
        </w:tc>
      </w:tr>
      <w:tr>
        <w:tc>
          <w:tcPr>
            <w:tcW w:type="dxa" w:w="1656"/>
          </w:tcPr>
          <w:p>
            <w:pPr>
              <w:spacing w:after="0"/>
            </w:pPr>
            <w:r>
              <w:rPr>
                <w:rFonts w:ascii="Calibri" w:hAnsi="Calibri"/>
                <w:color w:val="24313A"/>
                <w:sz w:val="18"/>
              </w:rPr>
              <w:t>Architecture</w:t>
            </w:r>
          </w:p>
        </w:tc>
        <w:tc>
          <w:tcPr>
            <w:tcW w:type="dxa" w:w="4968"/>
          </w:tcPr>
          <w:p>
            <w:pPr>
              <w:spacing w:after="0"/>
            </w:pPr>
            <w:r>
              <w:rPr>
                <w:rFonts w:ascii="Calibri" w:hAnsi="Calibri"/>
                <w:color w:val="24313A"/>
                <w:sz w:val="18"/>
              </w:rPr>
              <w:t>React + Chakra feature folders with an archived legacy app</w:t>
            </w:r>
          </w:p>
        </w:tc>
        <w:tc>
          <w:tcPr>
            <w:tcW w:type="dxa" w:w="2736"/>
          </w:tcPr>
          <w:p>
            <w:pPr>
              <w:spacing w:after="0"/>
            </w:pPr>
            <w:r>
              <w:rPr>
                <w:rFonts w:ascii="Calibri" w:hAnsi="Calibri"/>
                <w:color w:val="24313A"/>
                <w:sz w:val="18"/>
              </w:rPr>
              <w:t>Direction is sound; boundary needs cleanup</w:t>
            </w:r>
          </w:p>
        </w:tc>
      </w:tr>
      <w:tr>
        <w:tc>
          <w:tcPr>
            <w:tcW w:type="dxa" w:w="1656"/>
          </w:tcPr>
          <w:p>
            <w:pPr>
              <w:spacing w:after="0"/>
            </w:pPr>
            <w:r>
              <w:rPr>
                <w:rFonts w:ascii="Calibri" w:hAnsi="Calibri"/>
                <w:color w:val="24313A"/>
                <w:sz w:val="18"/>
              </w:rPr>
              <w:t>Data</w:t>
            </w:r>
          </w:p>
        </w:tc>
        <w:tc>
          <w:tcPr>
            <w:tcW w:type="dxa" w:w="4968"/>
          </w:tcPr>
          <w:p>
            <w:pPr>
              <w:spacing w:after="0"/>
            </w:pPr>
            <w:r>
              <w:rPr>
                <w:rFonts w:ascii="Calibri" w:hAnsi="Calibri"/>
                <w:color w:val="24313A"/>
                <w:sz w:val="18"/>
              </w:rPr>
              <w:t>Large TypeScript fixtures and hardcoded page data</w:t>
            </w:r>
          </w:p>
        </w:tc>
        <w:tc>
          <w:tcPr>
            <w:tcW w:type="dxa" w:w="2736"/>
          </w:tcPr>
          <w:p>
            <w:pPr>
              <w:spacing w:after="0"/>
            </w:pPr>
            <w:r>
              <w:rPr>
                <w:rFonts w:ascii="Calibri" w:hAnsi="Calibri"/>
                <w:color w:val="24313A"/>
                <w:sz w:val="18"/>
              </w:rPr>
              <w:t>Not production-ready</w:t>
            </w:r>
          </w:p>
        </w:tc>
      </w:tr>
      <w:tr>
        <w:tc>
          <w:tcPr>
            <w:tcW w:type="dxa" w:w="1656"/>
          </w:tcPr>
          <w:p>
            <w:pPr>
              <w:spacing w:after="0"/>
            </w:pPr>
            <w:r>
              <w:rPr>
                <w:rFonts w:ascii="Calibri" w:hAnsi="Calibri"/>
                <w:color w:val="24313A"/>
                <w:sz w:val="18"/>
              </w:rPr>
              <w:t>Build</w:t>
            </w:r>
          </w:p>
        </w:tc>
        <w:tc>
          <w:tcPr>
            <w:tcW w:type="dxa" w:w="4968"/>
          </w:tcPr>
          <w:p>
            <w:pPr>
              <w:spacing w:after="0"/>
            </w:pPr>
            <w:r>
              <w:rPr>
                <w:rFonts w:ascii="Calibri" w:hAnsi="Calibri"/>
                <w:color w:val="24313A"/>
                <w:sz w:val="18"/>
              </w:rPr>
              <w:t>Production build succeeds</w:t>
            </w:r>
          </w:p>
        </w:tc>
        <w:tc>
          <w:tcPr>
            <w:tcW w:type="dxa" w:w="2736"/>
          </w:tcPr>
          <w:p>
            <w:pPr>
              <w:spacing w:after="0"/>
            </w:pPr>
            <w:r>
              <w:rPr>
                <w:rFonts w:ascii="Calibri" w:hAnsi="Calibri"/>
                <w:color w:val="24313A"/>
                <w:sz w:val="18"/>
              </w:rPr>
              <w:t>Green with a bundle-size warning</w:t>
            </w:r>
          </w:p>
        </w:tc>
      </w:tr>
      <w:tr>
        <w:tc>
          <w:tcPr>
            <w:tcW w:type="dxa" w:w="1656"/>
          </w:tcPr>
          <w:p>
            <w:pPr>
              <w:spacing w:after="0"/>
            </w:pPr>
            <w:r>
              <w:rPr>
                <w:rFonts w:ascii="Calibri" w:hAnsi="Calibri"/>
                <w:color w:val="24313A"/>
                <w:sz w:val="18"/>
              </w:rPr>
              <w:t>Tests</w:t>
            </w:r>
          </w:p>
        </w:tc>
        <w:tc>
          <w:tcPr>
            <w:tcW w:type="dxa" w:w="4968"/>
          </w:tcPr>
          <w:p>
            <w:pPr>
              <w:spacing w:after="0"/>
            </w:pPr>
            <w:r>
              <w:rPr>
                <w:rFonts w:ascii="Calibri" w:hAnsi="Calibri"/>
                <w:color w:val="24313A"/>
                <w:sz w:val="18"/>
              </w:rPr>
              <w:t>5 test files fail; 3 assertions/tests reported failed</w:t>
            </w:r>
          </w:p>
        </w:tc>
        <w:tc>
          <w:tcPr>
            <w:tcW w:type="dxa" w:w="2736"/>
          </w:tcPr>
          <w:p>
            <w:pPr>
              <w:spacing w:after="0"/>
            </w:pPr>
            <w:r>
              <w:rPr>
                <w:rFonts w:ascii="Calibri" w:hAnsi="Calibri"/>
                <w:color w:val="24313A"/>
                <w:sz w:val="18"/>
              </w:rPr>
              <w:t>Red</w:t>
            </w:r>
          </w:p>
        </w:tc>
      </w:tr>
      <w:tr>
        <w:tc>
          <w:tcPr>
            <w:tcW w:type="dxa" w:w="1656"/>
          </w:tcPr>
          <w:p>
            <w:pPr>
              <w:spacing w:after="0"/>
            </w:pPr>
            <w:r>
              <w:rPr>
                <w:rFonts w:ascii="Calibri" w:hAnsi="Calibri"/>
                <w:color w:val="24313A"/>
                <w:sz w:val="18"/>
              </w:rPr>
              <w:t>Lint</w:t>
            </w:r>
          </w:p>
        </w:tc>
        <w:tc>
          <w:tcPr>
            <w:tcW w:type="dxa" w:w="4968"/>
          </w:tcPr>
          <w:p>
            <w:pPr>
              <w:spacing w:after="0"/>
            </w:pPr>
            <w:r>
              <w:rPr>
                <w:rFonts w:ascii="Calibri" w:hAnsi="Calibri"/>
                <w:color w:val="24313A"/>
                <w:sz w:val="18"/>
              </w:rPr>
              <w:t>44 errors and 1 warning</w:t>
            </w:r>
          </w:p>
        </w:tc>
        <w:tc>
          <w:tcPr>
            <w:tcW w:type="dxa" w:w="2736"/>
          </w:tcPr>
          <w:p>
            <w:pPr>
              <w:spacing w:after="0"/>
            </w:pPr>
            <w:r>
              <w:rPr>
                <w:rFonts w:ascii="Calibri" w:hAnsi="Calibri"/>
                <w:color w:val="24313A"/>
                <w:sz w:val="18"/>
              </w:rPr>
              <w:t>Red</w:t>
            </w:r>
          </w:p>
        </w:tc>
      </w:tr>
      <w:tr>
        <w:tc>
          <w:tcPr>
            <w:tcW w:type="dxa" w:w="1656"/>
          </w:tcPr>
          <w:p>
            <w:pPr>
              <w:spacing w:after="0"/>
            </w:pPr>
            <w:r>
              <w:rPr>
                <w:rFonts w:ascii="Calibri" w:hAnsi="Calibri"/>
                <w:color w:val="24313A"/>
                <w:sz w:val="18"/>
              </w:rPr>
              <w:t>Documentation</w:t>
            </w:r>
          </w:p>
        </w:tc>
        <w:tc>
          <w:tcPr>
            <w:tcW w:type="dxa" w:w="4968"/>
          </w:tcPr>
          <w:p>
            <w:pPr>
              <w:spacing w:after="0"/>
            </w:pPr>
            <w:r>
              <w:rPr>
                <w:rFonts w:ascii="Calibri" w:hAnsi="Calibri"/>
                <w:color w:val="24313A"/>
                <w:sz w:val="18"/>
              </w:rPr>
              <w:t>Mostly describes the archived starter</w:t>
            </w:r>
          </w:p>
        </w:tc>
        <w:tc>
          <w:tcPr>
            <w:tcW w:type="dxa" w:w="2736"/>
          </w:tcPr>
          <w:p>
            <w:pPr>
              <w:spacing w:after="0"/>
            </w:pPr>
            <w:r>
              <w:rPr>
                <w:rFonts w:ascii="Calibri" w:hAnsi="Calibri"/>
                <w:color w:val="24313A"/>
                <w:sz w:val="18"/>
              </w:rPr>
              <w:t>Stale</w:t>
            </w:r>
          </w:p>
        </w:tc>
      </w:tr>
    </w:tbl>
    <w:p>
      <w:pPr>
        <w:spacing w:after="0"/>
      </w:pPr>
    </w:p>
    <w:p>
      <w:pPr>
        <w:pStyle w:val="Heading2"/>
      </w:pPr>
      <w:r>
        <w:t>What is working well</w:t>
      </w:r>
    </w:p>
    <w:p>
      <w:pPr>
        <w:pStyle w:val="ListNumber"/>
        <w:numPr>
          <w:ilvl w:val="0"/>
          <w:numId w:val="10"/>
        </w:numPr>
      </w:pPr>
      <w:r>
        <w:t>The active app has a clear provider, router, page registry, shared shell, theme foundations, semantic tokens, recipes, and app-owned primitives.</w:t>
      </w:r>
    </w:p>
    <w:p>
      <w:pPr>
        <w:pStyle w:val="ListNumber"/>
        <w:numPr>
          <w:ilvl w:val="0"/>
          <w:numId w:val="10"/>
        </w:numPr>
      </w:pPr>
      <w:r>
        <w:t>TypeScript strict checking passes, and the production build completes.</w:t>
      </w:r>
    </w:p>
    <w:p>
      <w:pPr>
        <w:pStyle w:val="ListNumber"/>
        <w:numPr>
          <w:ilvl w:val="0"/>
          <w:numId w:val="10"/>
        </w:numPr>
      </w:pPr>
      <w:r>
        <w:t>The design direction is consistent: warm-neutral surfaces, charcoal text, explicit light/dark semantic tokens, and reusable Chakra recipes.</w:t>
      </w:r>
    </w:p>
    <w:p>
      <w:pPr>
        <w:pStyle w:val="ListNumber"/>
        <w:numPr>
          <w:ilvl w:val="0"/>
          <w:numId w:val="10"/>
        </w:numPr>
      </w:pPr>
      <w:r>
        <w:t>The candidate profile has the strongest internal model: a UI contract, typed source record, mapper, copy layer, view model, and dedicated components.</w:t>
      </w:r>
    </w:p>
    <w:p>
      <w:pPr>
        <w:pStyle w:val="ListNumber"/>
        <w:numPr>
          <w:ilvl w:val="0"/>
          <w:numId w:val="10"/>
        </w:numPr>
      </w:pPr>
      <w:r>
        <w:t>The legacy React implementation was preserved in an explicit archive rather than being deleted.</w:t>
      </w:r>
    </w:p>
    <w:p>
      <w:r>
        <w:br w:type="page"/>
      </w:r>
    </w:p>
    <w:p>
      <w:pPr>
        <w:pStyle w:val="Heading1"/>
      </w:pPr>
      <w:r>
        <w:t>1. Repository map and active architecture</w:t>
      </w:r>
    </w:p>
    <w:tbl>
      <w:tblPr>
        <w:tblStyle w:val="TableGrid"/>
        <w:tblW w:type="dxa" w:w="9360"/>
        <w:jc w:val="left"/>
        <w:tblLayout w:type="fixed"/>
        <w:tblLook w:firstColumn="1" w:firstRow="1" w:lastColumn="0" w:lastRow="0" w:noHBand="0" w:noVBand="1" w:val="04A0"/>
        <w:tblInd w:w="120" w:type="dxa"/>
      </w:tblPr>
      <w:tblGrid>
        <w:gridCol w:w="2376"/>
        <w:gridCol w:w="5256"/>
        <w:gridCol w:w="1728"/>
      </w:tblGrid>
      <w:tr>
        <w:trPr>
          <w:tblHeader w:val="true"/>
        </w:trPr>
        <w:tc>
          <w:tcPr>
            <w:tcW w:type="dxa" w:w="2376"/>
            <w:vAlign w:val="center"/>
            <w:tcMar>
              <w:top w:w="100" w:type="dxa"/>
              <w:start w:w="120" w:type="dxa"/>
              <w:bottom w:w="100" w:type="dxa"/>
              <w:end w:w="120" w:type="dxa"/>
            </w:tcMar>
            <w:shd w:fill="F2F4F7"/>
          </w:tcPr>
          <w:p>
            <w:pPr>
              <w:spacing w:after="0"/>
            </w:pPr>
            <w:r>
              <w:rPr>
                <w:rFonts w:ascii="Calibri" w:hAnsi="Calibri"/>
                <w:b/>
                <w:color w:val="1F4D78"/>
                <w:sz w:val="18"/>
              </w:rPr>
              <w:t>Path</w:t>
            </w:r>
          </w:p>
        </w:tc>
        <w:tc>
          <w:tcPr>
            <w:tcW w:type="dxa" w:w="5256"/>
            <w:vAlign w:val="center"/>
            <w:tcMar>
              <w:top w:w="100" w:type="dxa"/>
              <w:start w:w="120" w:type="dxa"/>
              <w:bottom w:w="100" w:type="dxa"/>
              <w:end w:w="120" w:type="dxa"/>
            </w:tcMar>
            <w:shd w:fill="F2F4F7"/>
          </w:tcPr>
          <w:p>
            <w:pPr>
              <w:spacing w:after="0"/>
            </w:pPr>
            <w:r>
              <w:rPr>
                <w:rFonts w:ascii="Calibri" w:hAnsi="Calibri"/>
                <w:b/>
                <w:color w:val="1F4D78"/>
                <w:sz w:val="18"/>
              </w:rPr>
              <w:t>Role</w:t>
            </w:r>
          </w:p>
        </w:tc>
        <w:tc>
          <w:tcPr>
            <w:tcW w:type="dxa" w:w="1728"/>
            <w:vAlign w:val="center"/>
            <w:tcMar>
              <w:top w:w="100" w:type="dxa"/>
              <w:start w:w="120" w:type="dxa"/>
              <w:bottom w:w="100" w:type="dxa"/>
              <w:end w:w="120" w:type="dxa"/>
            </w:tcMar>
            <w:shd w:fill="F2F4F7"/>
          </w:tcPr>
          <w:p>
            <w:pPr>
              <w:spacing w:after="0"/>
            </w:pPr>
            <w:r>
              <w:rPr>
                <w:rFonts w:ascii="Calibri" w:hAnsi="Calibri"/>
                <w:b/>
                <w:color w:val="1F4D78"/>
                <w:sz w:val="18"/>
              </w:rPr>
              <w:t>Status</w:t>
            </w:r>
          </w:p>
        </w:tc>
      </w:tr>
      <w:tr>
        <w:tc>
          <w:tcPr>
            <w:tcW w:type="dxa" w:w="2376"/>
          </w:tcPr>
          <w:p>
            <w:pPr>
              <w:spacing w:after="0"/>
            </w:pPr>
            <w:r>
              <w:rPr>
                <w:rFonts w:ascii="Calibri" w:hAnsi="Calibri"/>
                <w:color w:val="24313A"/>
                <w:sz w:val="18"/>
              </w:rPr>
              <w:t>src/app</w:t>
            </w:r>
          </w:p>
        </w:tc>
        <w:tc>
          <w:tcPr>
            <w:tcW w:type="dxa" w:w="5256"/>
          </w:tcPr>
          <w:p>
            <w:pPr>
              <w:spacing w:after="0"/>
            </w:pPr>
            <w:r>
              <w:rPr>
                <w:rFonts w:ascii="Calibri" w:hAnsi="Calibri"/>
                <w:color w:val="24313A"/>
                <w:sz w:val="18"/>
              </w:rPr>
              <w:t>Provider, router, theme-mode state, page registry</w:t>
            </w:r>
          </w:p>
        </w:tc>
        <w:tc>
          <w:tcPr>
            <w:tcW w:type="dxa" w:w="1728"/>
          </w:tcPr>
          <w:p>
            <w:pPr>
              <w:spacing w:after="0"/>
            </w:pPr>
            <w:r>
              <w:rPr>
                <w:rFonts w:ascii="Calibri" w:hAnsi="Calibri"/>
                <w:color w:val="24313A"/>
                <w:sz w:val="18"/>
              </w:rPr>
              <w:t>Active</w:t>
            </w:r>
          </w:p>
        </w:tc>
      </w:tr>
      <w:tr>
        <w:tc>
          <w:tcPr>
            <w:tcW w:type="dxa" w:w="2376"/>
          </w:tcPr>
          <w:p>
            <w:pPr>
              <w:spacing w:after="0"/>
            </w:pPr>
            <w:r>
              <w:rPr>
                <w:rFonts w:ascii="Calibri" w:hAnsi="Calibri"/>
                <w:color w:val="24313A"/>
                <w:sz w:val="18"/>
              </w:rPr>
              <w:t>src/components/layout</w:t>
            </w:r>
          </w:p>
        </w:tc>
        <w:tc>
          <w:tcPr>
            <w:tcW w:type="dxa" w:w="5256"/>
          </w:tcPr>
          <w:p>
            <w:pPr>
              <w:spacing w:after="0"/>
            </w:pPr>
            <w:r>
              <w:rPr>
                <w:rFonts w:ascii="Calibri" w:hAnsi="Calibri"/>
                <w:color w:val="24313A"/>
                <w:sz w:val="18"/>
              </w:rPr>
              <w:t>Shared application shell and theme toggle</w:t>
            </w:r>
          </w:p>
        </w:tc>
        <w:tc>
          <w:tcPr>
            <w:tcW w:type="dxa" w:w="1728"/>
          </w:tcPr>
          <w:p>
            <w:pPr>
              <w:spacing w:after="0"/>
            </w:pPr>
            <w:r>
              <w:rPr>
                <w:rFonts w:ascii="Calibri" w:hAnsi="Calibri"/>
                <w:color w:val="24313A"/>
                <w:sz w:val="18"/>
              </w:rPr>
              <w:t>Active</w:t>
            </w:r>
          </w:p>
        </w:tc>
      </w:tr>
      <w:tr>
        <w:tc>
          <w:tcPr>
            <w:tcW w:type="dxa" w:w="2376"/>
          </w:tcPr>
          <w:p>
            <w:pPr>
              <w:spacing w:after="0"/>
            </w:pPr>
            <w:r>
              <w:rPr>
                <w:rFonts w:ascii="Calibri" w:hAnsi="Calibri"/>
                <w:color w:val="24313A"/>
                <w:sz w:val="18"/>
              </w:rPr>
              <w:t>src/components/primitives</w:t>
            </w:r>
          </w:p>
        </w:tc>
        <w:tc>
          <w:tcPr>
            <w:tcW w:type="dxa" w:w="5256"/>
          </w:tcPr>
          <w:p>
            <w:pPr>
              <w:spacing w:after="0"/>
            </w:pPr>
            <w:r>
              <w:rPr>
                <w:rFonts w:ascii="Calibri" w:hAnsi="Calibri"/>
                <w:color w:val="24313A"/>
                <w:sz w:val="18"/>
              </w:rPr>
              <w:t>AppButton, AppCard, AppInput, AppSection, AppState, AppTag</w:t>
            </w:r>
          </w:p>
        </w:tc>
        <w:tc>
          <w:tcPr>
            <w:tcW w:type="dxa" w:w="1728"/>
          </w:tcPr>
          <w:p>
            <w:pPr>
              <w:spacing w:after="0"/>
            </w:pPr>
            <w:r>
              <w:rPr>
                <w:rFonts w:ascii="Calibri" w:hAnsi="Calibri"/>
                <w:color w:val="24313A"/>
                <w:sz w:val="18"/>
              </w:rPr>
              <w:t>Active</w:t>
            </w:r>
          </w:p>
        </w:tc>
      </w:tr>
      <w:tr>
        <w:tc>
          <w:tcPr>
            <w:tcW w:type="dxa" w:w="2376"/>
          </w:tcPr>
          <w:p>
            <w:pPr>
              <w:spacing w:after="0"/>
            </w:pPr>
            <w:r>
              <w:rPr>
                <w:rFonts w:ascii="Calibri" w:hAnsi="Calibri"/>
                <w:color w:val="24313A"/>
                <w:sz w:val="18"/>
              </w:rPr>
              <w:t>src/theme</w:t>
            </w:r>
          </w:p>
        </w:tc>
        <w:tc>
          <w:tcPr>
            <w:tcW w:type="dxa" w:w="5256"/>
          </w:tcPr>
          <w:p>
            <w:pPr>
              <w:spacing w:after="0"/>
            </w:pPr>
            <w:r>
              <w:rPr>
                <w:rFonts w:ascii="Calibri" w:hAnsi="Calibri"/>
                <w:color w:val="24313A"/>
                <w:sz w:val="18"/>
              </w:rPr>
              <w:t>Foundations, semantic tokens, global styles, recipes</w:t>
            </w:r>
          </w:p>
        </w:tc>
        <w:tc>
          <w:tcPr>
            <w:tcW w:type="dxa" w:w="1728"/>
          </w:tcPr>
          <w:p>
            <w:pPr>
              <w:spacing w:after="0"/>
            </w:pPr>
            <w:r>
              <w:rPr>
                <w:rFonts w:ascii="Calibri" w:hAnsi="Calibri"/>
                <w:color w:val="24313A"/>
                <w:sz w:val="18"/>
              </w:rPr>
              <w:t>Active</w:t>
            </w:r>
          </w:p>
        </w:tc>
      </w:tr>
      <w:tr>
        <w:tc>
          <w:tcPr>
            <w:tcW w:type="dxa" w:w="2376"/>
          </w:tcPr>
          <w:p>
            <w:pPr>
              <w:spacing w:after="0"/>
            </w:pPr>
            <w:r>
              <w:rPr>
                <w:rFonts w:ascii="Calibri" w:hAnsi="Calibri"/>
                <w:color w:val="24313A"/>
                <w:sz w:val="18"/>
              </w:rPr>
              <w:t>src/features</w:t>
            </w:r>
          </w:p>
        </w:tc>
        <w:tc>
          <w:tcPr>
            <w:tcW w:type="dxa" w:w="5256"/>
          </w:tcPr>
          <w:p>
            <w:pPr>
              <w:spacing w:after="0"/>
            </w:pPr>
            <w:r>
              <w:rPr>
                <w:rFonts w:ascii="Calibri" w:hAnsi="Calibri"/>
                <w:color w:val="24313A"/>
                <w:sz w:val="18"/>
              </w:rPr>
              <w:t>Area, contestants, home, party, preview, profile, TTS</w:t>
            </w:r>
          </w:p>
        </w:tc>
        <w:tc>
          <w:tcPr>
            <w:tcW w:type="dxa" w:w="1728"/>
          </w:tcPr>
          <w:p>
            <w:pPr>
              <w:spacing w:after="0"/>
            </w:pPr>
            <w:r>
              <w:rPr>
                <w:rFonts w:ascii="Calibri" w:hAnsi="Calibri"/>
                <w:color w:val="24313A"/>
                <w:sz w:val="18"/>
              </w:rPr>
              <w:t>Active</w:t>
            </w:r>
          </w:p>
        </w:tc>
      </w:tr>
      <w:tr>
        <w:tc>
          <w:tcPr>
            <w:tcW w:type="dxa" w:w="2376"/>
          </w:tcPr>
          <w:p>
            <w:pPr>
              <w:spacing w:after="0"/>
            </w:pPr>
            <w:r>
              <w:rPr>
                <w:rFonts w:ascii="Calibri" w:hAnsi="Calibri"/>
                <w:color w:val="24313A"/>
                <w:sz w:val="18"/>
              </w:rPr>
              <w:t>archive/legacy-react-v1</w:t>
            </w:r>
          </w:p>
        </w:tc>
        <w:tc>
          <w:tcPr>
            <w:tcW w:type="dxa" w:w="5256"/>
          </w:tcPr>
          <w:p>
            <w:pPr>
              <w:spacing w:after="0"/>
            </w:pPr>
            <w:r>
              <w:rPr>
                <w:rFonts w:ascii="Calibri" w:hAnsi="Calibri"/>
                <w:color w:val="24313A"/>
                <w:sz w:val="18"/>
              </w:rPr>
              <w:t>Pre-Chakra static-data app</w:t>
            </w:r>
          </w:p>
        </w:tc>
        <w:tc>
          <w:tcPr>
            <w:tcW w:type="dxa" w:w="1728"/>
          </w:tcPr>
          <w:p>
            <w:pPr>
              <w:spacing w:after="0"/>
            </w:pPr>
            <w:r>
              <w:rPr>
                <w:rFonts w:ascii="Calibri" w:hAnsi="Calibri"/>
                <w:color w:val="24313A"/>
                <w:sz w:val="18"/>
              </w:rPr>
              <w:t>Reference only, but checks still scan it</w:t>
            </w:r>
          </w:p>
        </w:tc>
      </w:tr>
      <w:tr>
        <w:tc>
          <w:tcPr>
            <w:tcW w:type="dxa" w:w="2376"/>
          </w:tcPr>
          <w:p>
            <w:pPr>
              <w:spacing w:after="0"/>
            </w:pPr>
            <w:r>
              <w:rPr>
                <w:rFonts w:ascii="Calibri" w:hAnsi="Calibri"/>
                <w:color w:val="24313A"/>
                <w:sz w:val="18"/>
              </w:rPr>
              <w:t>public/design-system.html</w:t>
            </w:r>
          </w:p>
        </w:tc>
        <w:tc>
          <w:tcPr>
            <w:tcW w:type="dxa" w:w="5256"/>
          </w:tcPr>
          <w:p>
            <w:pPr>
              <w:spacing w:after="0"/>
            </w:pPr>
            <w:r>
              <w:rPr>
                <w:rFonts w:ascii="Calibri" w:hAnsi="Calibri"/>
                <w:color w:val="24313A"/>
                <w:sz w:val="18"/>
              </w:rPr>
              <w:t>Standalone design-system laboratory</w:t>
            </w:r>
          </w:p>
        </w:tc>
        <w:tc>
          <w:tcPr>
            <w:tcW w:type="dxa" w:w="1728"/>
          </w:tcPr>
          <w:p>
            <w:pPr>
              <w:spacing w:after="0"/>
            </w:pPr>
            <w:r>
              <w:rPr>
                <w:rFonts w:ascii="Calibri" w:hAnsi="Calibri"/>
                <w:color w:val="24313A"/>
                <w:sz w:val="18"/>
              </w:rPr>
              <w:t>Useful reference; separate from runtime theme</w:t>
            </w:r>
          </w:p>
        </w:tc>
      </w:tr>
      <w:tr>
        <w:tc>
          <w:tcPr>
            <w:tcW w:type="dxa" w:w="2376"/>
          </w:tcPr>
          <w:p>
            <w:pPr>
              <w:spacing w:after="0"/>
            </w:pPr>
            <w:r>
              <w:rPr>
                <w:rFonts w:ascii="Calibri" w:hAnsi="Calibri"/>
                <w:color w:val="24313A"/>
                <w:sz w:val="18"/>
              </w:rPr>
              <w:t>docs</w:t>
            </w:r>
          </w:p>
        </w:tc>
        <w:tc>
          <w:tcPr>
            <w:tcW w:type="dxa" w:w="5256"/>
          </w:tcPr>
          <w:p>
            <w:pPr>
              <w:spacing w:after="0"/>
            </w:pPr>
            <w:r>
              <w:rPr>
                <w:rFonts w:ascii="Calibri" w:hAnsi="Calibri"/>
                <w:color w:val="24313A"/>
                <w:sz w:val="18"/>
              </w:rPr>
              <w:t>Architecture, deployment, data, TTS, and TODO notes</w:t>
            </w:r>
          </w:p>
        </w:tc>
        <w:tc>
          <w:tcPr>
            <w:tcW w:type="dxa" w:w="1728"/>
          </w:tcPr>
          <w:p>
            <w:pPr>
              <w:spacing w:after="0"/>
            </w:pPr>
            <w:r>
              <w:rPr>
                <w:rFonts w:ascii="Calibri" w:hAnsi="Calibri"/>
                <w:color w:val="24313A"/>
                <w:sz w:val="18"/>
              </w:rPr>
              <w:t>Partly stale</w:t>
            </w:r>
          </w:p>
        </w:tc>
      </w:tr>
    </w:tbl>
    <w:p>
      <w:pPr>
        <w:spacing w:after="0"/>
      </w:pPr>
    </w:p>
    <w:p>
      <w:pPr>
        <w:pStyle w:val="Heading2"/>
      </w:pPr>
      <w:r>
        <w:t>Runtime flow</w:t>
      </w:r>
    </w:p>
    <w:p>
      <w:pPr>
        <w:pStyle w:val="ListBullet"/>
      </w:pPr>
      <w:r>
        <w:t>src/main.tsx mounts App.</w:t>
      </w:r>
    </w:p>
    <w:p>
      <w:pPr>
        <w:pStyle w:val="ListBullet"/>
      </w:pPr>
      <w:r>
        <w:t>App wraps RouterProvider with ThemeModeProvider and ChakraProvider.</w:t>
      </w:r>
    </w:p>
    <w:p>
      <w:pPr>
        <w:pStyle w:val="ListBullet"/>
      </w:pPr>
      <w:r>
        <w:t>AppShell supplies the global page launcher, navigation, theme toggle, and route outlet.</w:t>
      </w:r>
    </w:p>
    <w:p>
      <w:pPr>
        <w:pStyle w:val="ListBullet"/>
      </w:pPr>
      <w:r>
        <w:t>router.tsx exposes seven routes: /, /preview, /area-overview, /profile, /contestants-summary, /party-directory, and /tts.</w:t>
      </w:r>
    </w:p>
    <w:p>
      <w:pPr>
        <w:pStyle w:val="ListBullet"/>
      </w:pPr>
      <w:r>
        <w:t>Most route content is imported synchronously, so the initial JavaScript bundle includes the large contestant and party datasets.</w:t>
      </w:r>
    </w:p>
    <w:p>
      <w:pPr>
        <w:pStyle w:val="Heading2"/>
      </w:pPr>
      <w:r>
        <w:t>Architecture judgment</w:t>
      </w:r>
    </w:p>
    <w:p>
      <w:pPr>
        <w:spacing w:before="100" w:after="160"/>
        <w:ind w:left="173" w:right="173"/>
        <w:shd w:fill="E8EEF5"/>
      </w:pPr>
      <w:r>
        <w:rPr>
          <w:rFonts w:ascii="Calibri" w:hAnsi="Calibri"/>
          <w:b/>
          <w:color w:val="1F4D78"/>
          <w:sz w:val="21"/>
        </w:rPr>
        <w:t xml:space="preserve">Keep  </w:t>
      </w:r>
      <w:r>
        <w:rPr>
          <w:rFonts w:ascii="Calibri" w:hAnsi="Calibri"/>
          <w:color w:val="24313A"/>
          <w:sz w:val="21"/>
        </w:rPr>
        <w:t>The feature-folder structure, app-owned Chakra primitives, semantic theme tokens, page registry, and the profile contract/mapper pattern are good foundations.</w:t>
      </w:r>
    </w:p>
    <w:p>
      <w:pPr>
        <w:spacing w:before="100" w:after="160"/>
        <w:ind w:left="173" w:right="173"/>
        <w:shd w:fill="FFF5D6"/>
      </w:pPr>
      <w:r>
        <w:rPr>
          <w:rFonts w:ascii="Calibri" w:hAnsi="Calibri"/>
          <w:b/>
          <w:color w:val="1F4D78"/>
          <w:sz w:val="21"/>
        </w:rPr>
        <w:t xml:space="preserve">Change  </w:t>
      </w:r>
      <w:r>
        <w:rPr>
          <w:rFonts w:ascii="Calibri" w:hAnsi="Calibri"/>
          <w:color w:val="24313A"/>
          <w:sz w:val="21"/>
        </w:rPr>
        <w:t>Move production data outside the JavaScript bundle, separate active tooling from archive tooling, add route-level loading, and make documentation describe the current app rather than the archived starter.</w:t>
      </w:r>
    </w:p>
    <w:p>
      <w:r>
        <w:br w:type="page"/>
      </w:r>
    </w:p>
    <w:p>
      <w:pPr>
        <w:pStyle w:val="Heading1"/>
      </w:pPr>
      <w:r>
        <w:t>2. Feature-by-feature state</w:t>
      </w:r>
    </w:p>
    <w:tbl>
      <w:tblPr>
        <w:tblStyle w:val="TableGrid"/>
        <w:tblW w:type="dxa" w:w="9360"/>
        <w:jc w:val="left"/>
        <w:tblLayout w:type="fixed"/>
        <w:tblLook w:firstColumn="1" w:firstRow="1" w:lastColumn="0" w:lastRow="0" w:noHBand="0" w:noVBand="1" w:val="04A0"/>
        <w:tblInd w:w="120" w:type="dxa"/>
      </w:tblPr>
      <w:tblGrid>
        <w:gridCol w:w="1800"/>
        <w:gridCol w:w="3960"/>
        <w:gridCol w:w="3600"/>
      </w:tblGrid>
      <w:tr>
        <w:trPr>
          <w:tblHeader w:val="true"/>
        </w:trPr>
        <w:tc>
          <w:tcPr>
            <w:tcW w:type="dxa" w:w="1800"/>
            <w:vAlign w:val="center"/>
            <w:tcMar>
              <w:top w:w="100" w:type="dxa"/>
              <w:start w:w="120" w:type="dxa"/>
              <w:bottom w:w="100" w:type="dxa"/>
              <w:end w:w="120" w:type="dxa"/>
            </w:tcMar>
            <w:shd w:fill="F2F4F7"/>
          </w:tcPr>
          <w:p>
            <w:pPr>
              <w:spacing w:after="0"/>
            </w:pPr>
            <w:r>
              <w:rPr>
                <w:rFonts w:ascii="Calibri" w:hAnsi="Calibri"/>
                <w:b/>
                <w:color w:val="1F4D78"/>
                <w:sz w:val="17"/>
              </w:rPr>
              <w:t>Feature</w:t>
            </w:r>
          </w:p>
        </w:tc>
        <w:tc>
          <w:tcPr>
            <w:tcW w:type="dxa" w:w="3960"/>
            <w:vAlign w:val="center"/>
            <w:tcMar>
              <w:top w:w="100" w:type="dxa"/>
              <w:start w:w="120" w:type="dxa"/>
              <w:bottom w:w="100" w:type="dxa"/>
              <w:end w:w="120" w:type="dxa"/>
            </w:tcMar>
            <w:shd w:fill="F2F4F7"/>
          </w:tcPr>
          <w:p>
            <w:pPr>
              <w:spacing w:after="0"/>
            </w:pPr>
            <w:r>
              <w:rPr>
                <w:rFonts w:ascii="Calibri" w:hAnsi="Calibri"/>
                <w:b/>
                <w:color w:val="1F4D78"/>
                <w:sz w:val="17"/>
              </w:rPr>
              <w:t>What exists now</w:t>
            </w:r>
          </w:p>
        </w:tc>
        <w:tc>
          <w:tcPr>
            <w:tcW w:type="dxa" w:w="3600"/>
            <w:vAlign w:val="center"/>
            <w:tcMar>
              <w:top w:w="100" w:type="dxa"/>
              <w:start w:w="120" w:type="dxa"/>
              <w:bottom w:w="100" w:type="dxa"/>
              <w:end w:w="120" w:type="dxa"/>
            </w:tcMar>
            <w:shd w:fill="F2F4F7"/>
          </w:tcPr>
          <w:p>
            <w:pPr>
              <w:spacing w:after="0"/>
            </w:pPr>
            <w:r>
              <w:rPr>
                <w:rFonts w:ascii="Calibri" w:hAnsi="Calibri"/>
                <w:b/>
                <w:color w:val="1F4D78"/>
                <w:sz w:val="17"/>
              </w:rPr>
              <w:t>What is missing</w:t>
            </w:r>
          </w:p>
        </w:tc>
      </w:tr>
      <w:tr>
        <w:tc>
          <w:tcPr>
            <w:tcW w:type="dxa" w:w="1800"/>
          </w:tcPr>
          <w:p>
            <w:pPr>
              <w:spacing w:after="0"/>
            </w:pPr>
            <w:r>
              <w:rPr>
                <w:rFonts w:ascii="Calibri" w:hAnsi="Calibri"/>
                <w:color w:val="24313A"/>
                <w:sz w:val="17"/>
              </w:rPr>
              <w:t>Home / preview</w:t>
            </w:r>
          </w:p>
        </w:tc>
        <w:tc>
          <w:tcPr>
            <w:tcW w:type="dxa" w:w="3960"/>
          </w:tcPr>
          <w:p>
            <w:pPr>
              <w:spacing w:after="0"/>
            </w:pPr>
            <w:r>
              <w:rPr>
                <w:rFonts w:ascii="Calibri" w:hAnsi="Calibri"/>
                <w:color w:val="24313A"/>
                <w:sz w:val="17"/>
              </w:rPr>
              <w:t>Workspace page selector and theme/component showcase</w:t>
            </w:r>
          </w:p>
        </w:tc>
        <w:tc>
          <w:tcPr>
            <w:tcW w:type="dxa" w:w="3600"/>
          </w:tcPr>
          <w:p>
            <w:pPr>
              <w:spacing w:after="0"/>
            </w:pPr>
            <w:r>
              <w:rPr>
                <w:rFonts w:ascii="Calibri" w:hAnsi="Calibri"/>
                <w:color w:val="24313A"/>
                <w:sz w:val="17"/>
              </w:rPr>
              <w:t>A public-facing home page and real information architecture</w:t>
            </w:r>
          </w:p>
        </w:tc>
      </w:tr>
      <w:tr>
        <w:tc>
          <w:tcPr>
            <w:tcW w:type="dxa" w:w="1800"/>
          </w:tcPr>
          <w:p>
            <w:pPr>
              <w:spacing w:after="0"/>
            </w:pPr>
            <w:r>
              <w:rPr>
                <w:rFonts w:ascii="Calibri" w:hAnsi="Calibri"/>
                <w:color w:val="24313A"/>
                <w:sz w:val="17"/>
              </w:rPr>
              <w:t>Area overview</w:t>
            </w:r>
          </w:p>
        </w:tc>
        <w:tc>
          <w:tcPr>
            <w:tcW w:type="dxa" w:w="3960"/>
          </w:tcPr>
          <w:p>
            <w:pPr>
              <w:spacing w:after="0"/>
            </w:pPr>
            <w:r>
              <w:rPr>
                <w:rFonts w:ascii="Calibri" w:hAnsi="Calibri"/>
                <w:color w:val="24313A"/>
                <w:sz w:val="17"/>
              </w:rPr>
              <w:t>Responsive three-row dashboard and inline map illustration</w:t>
            </w:r>
          </w:p>
        </w:tc>
        <w:tc>
          <w:tcPr>
            <w:tcW w:type="dxa" w:w="3600"/>
          </w:tcPr>
          <w:p>
            <w:pPr>
              <w:spacing w:after="0"/>
            </w:pPr>
            <w:r>
              <w:rPr>
                <w:rFonts w:ascii="Calibri" w:hAnsi="Calibri"/>
                <w:color w:val="24313A"/>
                <w:sz w:val="17"/>
              </w:rPr>
              <w:t>Real map asset/data, route parameters, source attribution, loading/error states</w:t>
            </w:r>
          </w:p>
        </w:tc>
      </w:tr>
      <w:tr>
        <w:tc>
          <w:tcPr>
            <w:tcW w:type="dxa" w:w="1800"/>
          </w:tcPr>
          <w:p>
            <w:pPr>
              <w:spacing w:after="0"/>
            </w:pPr>
            <w:r>
              <w:rPr>
                <w:rFonts w:ascii="Calibri" w:hAnsi="Calibri"/>
                <w:color w:val="24313A"/>
                <w:sz w:val="17"/>
              </w:rPr>
              <w:t>Candidate profile</w:t>
            </w:r>
          </w:p>
        </w:tc>
        <w:tc>
          <w:tcPr>
            <w:tcW w:type="dxa" w:w="3960"/>
          </w:tcPr>
          <w:p>
            <w:pPr>
              <w:spacing w:after="0"/>
            </w:pPr>
            <w:r>
              <w:rPr>
                <w:rFonts w:ascii="Calibri" w:hAnsi="Calibri"/>
                <w:color w:val="24313A"/>
                <w:sz w:val="17"/>
              </w:rPr>
              <w:t>Typed contract, mapper, hero, case/summary/assets panels, detail tabs</w:t>
            </w:r>
          </w:p>
        </w:tc>
        <w:tc>
          <w:tcPr>
            <w:tcW w:type="dxa" w:w="3600"/>
          </w:tcPr>
          <w:p>
            <w:pPr>
              <w:spacing w:after="0"/>
            </w:pPr>
            <w:r>
              <w:rPr>
                <w:rFonts w:ascii="Calibri" w:hAnsi="Calibri"/>
                <w:color w:val="24313A"/>
                <w:sz w:val="17"/>
              </w:rPr>
              <w:t>Real route ID, fetch layer, finalized assets/details, corrected tests, i18n implementation</w:t>
            </w:r>
          </w:p>
        </w:tc>
      </w:tr>
      <w:tr>
        <w:tc>
          <w:tcPr>
            <w:tcW w:type="dxa" w:w="1800"/>
          </w:tcPr>
          <w:p>
            <w:pPr>
              <w:spacing w:after="0"/>
            </w:pPr>
            <w:r>
              <w:rPr>
                <w:rFonts w:ascii="Calibri" w:hAnsi="Calibri"/>
                <w:color w:val="24313A"/>
                <w:sz w:val="17"/>
              </w:rPr>
              <w:t>Contestants summary</w:t>
            </w:r>
          </w:p>
        </w:tc>
        <w:tc>
          <w:tcPr>
            <w:tcW w:type="dxa" w:w="3960"/>
          </w:tcPr>
          <w:p>
            <w:pPr>
              <w:spacing w:after="0"/>
            </w:pPr>
            <w:r>
              <w:rPr>
                <w:rFonts w:ascii="Calibri" w:hAnsi="Calibri"/>
                <w:color w:val="24313A"/>
                <w:sz w:val="17"/>
              </w:rPr>
              <w:t>2,246 Telangana rows, pagination, sorting, sticky table header</w:t>
            </w:r>
          </w:p>
        </w:tc>
        <w:tc>
          <w:tcPr>
            <w:tcW w:type="dxa" w:w="3600"/>
          </w:tcPr>
          <w:p>
            <w:pPr>
              <w:spacing w:after="0"/>
            </w:pPr>
            <w:r>
              <w:rPr>
                <w:rFonts w:ascii="Calibri" w:hAnsi="Calibri"/>
                <w:color w:val="24313A"/>
                <w:sz w:val="17"/>
              </w:rPr>
              <w:t>Externalized dataset, filters/search, row-to-profile routing, data validation</w:t>
            </w:r>
          </w:p>
        </w:tc>
      </w:tr>
      <w:tr>
        <w:tc>
          <w:tcPr>
            <w:tcW w:type="dxa" w:w="1800"/>
          </w:tcPr>
          <w:p>
            <w:pPr>
              <w:spacing w:after="0"/>
            </w:pPr>
            <w:r>
              <w:rPr>
                <w:rFonts w:ascii="Calibri" w:hAnsi="Calibri"/>
                <w:color w:val="24313A"/>
                <w:sz w:val="17"/>
              </w:rPr>
              <w:t>Party directory</w:t>
            </w:r>
          </w:p>
        </w:tc>
        <w:tc>
          <w:tcPr>
            <w:tcW w:type="dxa" w:w="3960"/>
          </w:tcPr>
          <w:p>
            <w:pPr>
              <w:spacing w:after="0"/>
            </w:pPr>
            <w:r>
              <w:rPr>
                <w:rFonts w:ascii="Calibri" w:hAnsi="Calibri"/>
                <w:color w:val="24313A"/>
                <w:sz w:val="17"/>
              </w:rPr>
              <w:t>Card grid with 4-card rows and expandable year links</w:t>
            </w:r>
          </w:p>
        </w:tc>
        <w:tc>
          <w:tcPr>
            <w:tcW w:type="dxa" w:w="3600"/>
          </w:tcPr>
          <w:p>
            <w:pPr>
              <w:spacing w:after="0"/>
            </w:pPr>
            <w:r>
              <w:rPr>
                <w:rFonts w:ascii="Calibri" w:hAnsi="Calibri"/>
                <w:color w:val="24313A"/>
                <w:sz w:val="17"/>
              </w:rPr>
              <w:t>Externalized data, local/optimized images, stronger keyboard semantics and dark-mode hover token</w:t>
            </w:r>
          </w:p>
        </w:tc>
      </w:tr>
      <w:tr>
        <w:tc>
          <w:tcPr>
            <w:tcW w:type="dxa" w:w="1800"/>
          </w:tcPr>
          <w:p>
            <w:pPr>
              <w:spacing w:after="0"/>
            </w:pPr>
            <w:r>
              <w:rPr>
                <w:rFonts w:ascii="Calibri" w:hAnsi="Calibri"/>
                <w:color w:val="24313A"/>
                <w:sz w:val="17"/>
              </w:rPr>
              <w:t>Local TTS</w:t>
            </w:r>
          </w:p>
        </w:tc>
        <w:tc>
          <w:tcPr>
            <w:tcW w:type="dxa" w:w="3960"/>
          </w:tcPr>
          <w:p>
            <w:pPr>
              <w:spacing w:after="0"/>
            </w:pPr>
            <w:r>
              <w:rPr>
                <w:rFonts w:ascii="Calibri" w:hAnsi="Calibri"/>
                <w:color w:val="24313A"/>
                <w:sz w:val="17"/>
              </w:rPr>
              <w:t>SpeechSynthesis controls, voice filtering, Indian-language audit</w:t>
            </w:r>
          </w:p>
        </w:tc>
        <w:tc>
          <w:tcPr>
            <w:tcW w:type="dxa" w:w="3600"/>
          </w:tcPr>
          <w:p>
            <w:pPr>
              <w:spacing w:after="0"/>
            </w:pPr>
            <w:r>
              <w:rPr>
                <w:rFonts w:ascii="Calibri" w:hAnsi="Calibri"/>
                <w:color w:val="24313A"/>
                <w:sz w:val="17"/>
              </w:rPr>
              <w:t>Cross-device tests and copy that clearly qualifies browser-reported remote voices</w:t>
            </w:r>
          </w:p>
        </w:tc>
      </w:tr>
      <w:tr>
        <w:tc>
          <w:tcPr>
            <w:tcW w:type="dxa" w:w="1800"/>
          </w:tcPr>
          <w:p>
            <w:pPr>
              <w:spacing w:after="0"/>
            </w:pPr>
            <w:r>
              <w:rPr>
                <w:rFonts w:ascii="Calibri" w:hAnsi="Calibri"/>
                <w:color w:val="24313A"/>
                <w:sz w:val="17"/>
              </w:rPr>
              <w:t>Theme system</w:t>
            </w:r>
          </w:p>
        </w:tc>
        <w:tc>
          <w:tcPr>
            <w:tcW w:type="dxa" w:w="3960"/>
          </w:tcPr>
          <w:p>
            <w:pPr>
              <w:spacing w:after="0"/>
            </w:pPr>
            <w:r>
              <w:rPr>
                <w:rFonts w:ascii="Calibri" w:hAnsi="Calibri"/>
                <w:color w:val="24313A"/>
                <w:sz w:val="17"/>
              </w:rPr>
              <w:t>Warm-neutral light/dark modes, semantic tokens, recipes</w:t>
            </w:r>
          </w:p>
        </w:tc>
        <w:tc>
          <w:tcPr>
            <w:tcW w:type="dxa" w:w="3600"/>
          </w:tcPr>
          <w:p>
            <w:pPr>
              <w:spacing w:after="0"/>
            </w:pPr>
            <w:r>
              <w:rPr>
                <w:rFonts w:ascii="Calibri" w:hAnsi="Calibri"/>
                <w:color w:val="24313A"/>
                <w:sz w:val="17"/>
              </w:rPr>
              <w:t>Automated contrast/a11y checks and removal of remaining one-off literal colors</w:t>
            </w:r>
          </w:p>
        </w:tc>
      </w:tr>
    </w:tbl>
    <w:p>
      <w:pPr>
        <w:spacing w:after="0"/>
      </w:pPr>
    </w:p>
    <w:p>
      <w:pPr>
        <w:pStyle w:val="Heading2"/>
      </w:pPr>
      <w:r>
        <w:t>Data reality</w:t>
      </w:r>
    </w:p>
    <w:p>
      <w:pPr>
        <w:pStyle w:val="ListNumber"/>
        <w:numPr>
          <w:ilvl w:val="0"/>
          <w:numId w:val="11"/>
        </w:numPr>
      </w:pPr>
      <w:r>
        <w:t>The active app does not currently use VITE_DATA_BASE_URL or VITE_IMAGE_BASE_URL, even though README.md and .env.example say it does.</w:t>
      </w:r>
    </w:p>
    <w:p>
      <w:pPr>
        <w:pStyle w:val="ListNumber"/>
        <w:numPr>
          <w:ilvl w:val="0"/>
          <w:numId w:val="11"/>
        </w:numPr>
      </w:pPr>
      <w:r>
        <w:t>The Telangana contestant list is embedded in a 2,340-line TypeScript module and reports 2,246 contestants, 119 constituencies, 37 districts, and 511 contestants with criminal cases.</w:t>
      </w:r>
    </w:p>
    <w:p>
      <w:pPr>
        <w:pStyle w:val="ListNumber"/>
        <w:numPr>
          <w:ilvl w:val="0"/>
          <w:numId w:val="11"/>
        </w:numPr>
      </w:pPr>
      <w:r>
        <w:t>The party directory is embedded in a 6,193-line TypeScript module and links directly to MyNeta pages and remote party images.</w:t>
      </w:r>
    </w:p>
    <w:p>
      <w:pPr>
        <w:pStyle w:val="ListNumber"/>
        <w:numPr>
          <w:ilvl w:val="0"/>
          <w:numId w:val="11"/>
        </w:numPr>
      </w:pPr>
      <w:r>
        <w:t>Those two data modules account for about 55% of active source lines and are a major reason the main bundle is large.</w:t>
      </w:r>
    </w:p>
    <w:p>
      <w:pPr>
        <w:pStyle w:val="ListNumber"/>
        <w:numPr>
          <w:ilvl w:val="0"/>
          <w:numId w:val="11"/>
        </w:numPr>
      </w:pPr>
      <w:r>
        <w:t>The profile page is driven by one featured Telangana contestant record imported from the contestants dataset; it is not parameterized by candidate ID.</w:t>
      </w:r>
    </w:p>
    <w:p>
      <w:pPr>
        <w:pStyle w:val="Heading2"/>
      </w:pPr>
      <w:r>
        <w:t>Important content caveats</w:t>
      </w:r>
    </w:p>
    <w:p>
      <w:pPr>
        <w:pStyle w:val="ListBullet"/>
      </w:pPr>
      <w:r>
        <w:t>Several labels and narrative strings are embedded directly in components. The project is “i18n-aware” in intent but not i18n-ready in implementation.</w:t>
      </w:r>
    </w:p>
    <w:p>
      <w:pPr>
        <w:pStyle w:val="ListBullet"/>
      </w:pPr>
      <w:r>
        <w:t>The area page, page descriptions, featured notes, and summary statistics are prototype content and should not be presented as a verified public election product.</w:t>
      </w:r>
    </w:p>
    <w:p>
      <w:pPr>
        <w:pStyle w:val="ListBullet"/>
      </w:pPr>
      <w:r>
        <w:t>The TTS route does not call an application API, but when no local voice exists it can expose browser-reported remote voices. Product copy should avoid implying guaranteed offline synthesis in every browser configuration.</w:t>
      </w:r>
    </w:p>
    <w:p>
      <w:r>
        <w:br w:type="page"/>
      </w:r>
    </w:p>
    <w:p>
      <w:pPr>
        <w:pStyle w:val="Heading1"/>
      </w:pPr>
      <w:r>
        <w:t>3. Verification results</w:t>
      </w:r>
    </w:p>
    <w:tbl>
      <w:tblPr>
        <w:tblStyle w:val="TableGrid"/>
        <w:tblW w:type="dxa" w:w="9360"/>
        <w:jc w:val="left"/>
        <w:tblLayout w:type="fixed"/>
        <w:tblLook w:firstColumn="1" w:firstRow="1" w:lastColumn="0" w:lastRow="0" w:noHBand="0" w:noVBand="1" w:val="04A0"/>
        <w:tblInd w:w="120" w:type="dxa"/>
      </w:tblPr>
      <w:tblGrid>
        <w:gridCol w:w="1944"/>
        <w:gridCol w:w="1800"/>
        <w:gridCol w:w="5616"/>
      </w:tblGrid>
      <w:tr>
        <w:trPr>
          <w:tblHeader w:val="true"/>
        </w:trPr>
        <w:tc>
          <w:tcPr>
            <w:tcW w:type="dxa" w:w="1944"/>
            <w:vAlign w:val="center"/>
            <w:tcMar>
              <w:top w:w="100" w:type="dxa"/>
              <w:start w:w="120" w:type="dxa"/>
              <w:bottom w:w="100" w:type="dxa"/>
              <w:end w:w="120" w:type="dxa"/>
            </w:tcMar>
            <w:shd w:fill="F2F4F7"/>
          </w:tcPr>
          <w:p>
            <w:pPr>
              <w:spacing w:after="0"/>
            </w:pPr>
            <w:r>
              <w:rPr>
                <w:rFonts w:ascii="Calibri" w:hAnsi="Calibri"/>
                <w:b/>
                <w:color w:val="1F4D78"/>
                <w:sz w:val="18"/>
              </w:rPr>
              <w:t>Check</w:t>
            </w:r>
          </w:p>
        </w:tc>
        <w:tc>
          <w:tcPr>
            <w:tcW w:type="dxa" w:w="1800"/>
            <w:vAlign w:val="center"/>
            <w:tcMar>
              <w:top w:w="100" w:type="dxa"/>
              <w:start w:w="120" w:type="dxa"/>
              <w:bottom w:w="100" w:type="dxa"/>
              <w:end w:w="120" w:type="dxa"/>
            </w:tcMar>
            <w:shd w:fill="F2F4F7"/>
          </w:tcPr>
          <w:p>
            <w:pPr>
              <w:spacing w:after="0"/>
            </w:pPr>
            <w:r>
              <w:rPr>
                <w:rFonts w:ascii="Calibri" w:hAnsi="Calibri"/>
                <w:b/>
                <w:color w:val="1F4D78"/>
                <w:sz w:val="18"/>
              </w:rPr>
              <w:t>Result</w:t>
            </w:r>
          </w:p>
        </w:tc>
        <w:tc>
          <w:tcPr>
            <w:tcW w:type="dxa" w:w="5616"/>
            <w:vAlign w:val="center"/>
            <w:tcMar>
              <w:top w:w="100" w:type="dxa"/>
              <w:start w:w="120" w:type="dxa"/>
              <w:bottom w:w="100" w:type="dxa"/>
              <w:end w:w="120" w:type="dxa"/>
            </w:tcMar>
            <w:shd w:fill="F2F4F7"/>
          </w:tcPr>
          <w:p>
            <w:pPr>
              <w:spacing w:after="0"/>
            </w:pPr>
            <w:r>
              <w:rPr>
                <w:rFonts w:ascii="Calibri" w:hAnsi="Calibri"/>
                <w:b/>
                <w:color w:val="1F4D78"/>
                <w:sz w:val="18"/>
              </w:rPr>
              <w:t>Evidence / implication</w:t>
            </w:r>
          </w:p>
        </w:tc>
      </w:tr>
      <w:tr>
        <w:tc>
          <w:tcPr>
            <w:tcW w:type="dxa" w:w="1944"/>
          </w:tcPr>
          <w:p>
            <w:pPr>
              <w:spacing w:after="0"/>
            </w:pPr>
            <w:r>
              <w:rPr>
                <w:rFonts w:ascii="Calibri" w:hAnsi="Calibri"/>
                <w:color w:val="24313A"/>
                <w:sz w:val="18"/>
              </w:rPr>
              <w:t>git status</w:t>
            </w:r>
          </w:p>
        </w:tc>
        <w:tc>
          <w:tcPr>
            <w:tcW w:type="dxa" w:w="1800"/>
          </w:tcPr>
          <w:p>
            <w:pPr>
              <w:spacing w:after="0"/>
            </w:pPr>
            <w:r>
              <w:rPr>
                <w:rFonts w:ascii="Calibri" w:hAnsi="Calibri"/>
                <w:color w:val="24313A"/>
                <w:sz w:val="18"/>
              </w:rPr>
              <w:t>PASS</w:t>
            </w:r>
          </w:p>
        </w:tc>
        <w:tc>
          <w:tcPr>
            <w:tcW w:type="dxa" w:w="5616"/>
          </w:tcPr>
          <w:p>
            <w:pPr>
              <w:spacing w:after="0"/>
            </w:pPr>
            <w:r>
              <w:rPr>
                <w:rFonts w:ascii="Calibri" w:hAnsi="Calibri"/>
                <w:color w:val="24313A"/>
                <w:sz w:val="18"/>
              </w:rPr>
              <w:t>Working tree was clean at assessment time.</w:t>
            </w:r>
          </w:p>
        </w:tc>
      </w:tr>
      <w:tr>
        <w:tc>
          <w:tcPr>
            <w:tcW w:type="dxa" w:w="1944"/>
          </w:tcPr>
          <w:p>
            <w:pPr>
              <w:spacing w:after="0"/>
            </w:pPr>
            <w:r>
              <w:rPr>
                <w:rFonts w:ascii="Calibri" w:hAnsi="Calibri"/>
                <w:color w:val="24313A"/>
                <w:sz w:val="18"/>
              </w:rPr>
              <w:t>npm run typecheck</w:t>
            </w:r>
          </w:p>
        </w:tc>
        <w:tc>
          <w:tcPr>
            <w:tcW w:type="dxa" w:w="1800"/>
          </w:tcPr>
          <w:p>
            <w:pPr>
              <w:spacing w:after="0"/>
            </w:pPr>
            <w:r>
              <w:rPr>
                <w:rFonts w:ascii="Calibri" w:hAnsi="Calibri"/>
                <w:color w:val="24313A"/>
                <w:sz w:val="18"/>
              </w:rPr>
              <w:t>PASS</w:t>
            </w:r>
          </w:p>
        </w:tc>
        <w:tc>
          <w:tcPr>
            <w:tcW w:type="dxa" w:w="5616"/>
          </w:tcPr>
          <w:p>
            <w:pPr>
              <w:spacing w:after="0"/>
            </w:pPr>
            <w:r>
              <w:rPr>
                <w:rFonts w:ascii="Calibri" w:hAnsi="Calibri"/>
                <w:color w:val="24313A"/>
                <w:sz w:val="18"/>
              </w:rPr>
              <w:t>Strict app TypeScript check completes.</w:t>
            </w:r>
          </w:p>
        </w:tc>
      </w:tr>
      <w:tr>
        <w:tc>
          <w:tcPr>
            <w:tcW w:type="dxa" w:w="1944"/>
          </w:tcPr>
          <w:p>
            <w:pPr>
              <w:spacing w:after="0"/>
            </w:pPr>
            <w:r>
              <w:rPr>
                <w:rFonts w:ascii="Calibri" w:hAnsi="Calibri"/>
                <w:color w:val="24313A"/>
                <w:sz w:val="18"/>
              </w:rPr>
              <w:t>npm run build</w:t>
            </w:r>
          </w:p>
        </w:tc>
        <w:tc>
          <w:tcPr>
            <w:tcW w:type="dxa" w:w="1800"/>
          </w:tcPr>
          <w:p>
            <w:pPr>
              <w:spacing w:after="0"/>
            </w:pPr>
            <w:r>
              <w:rPr>
                <w:rFonts w:ascii="Calibri" w:hAnsi="Calibri"/>
                <w:color w:val="24313A"/>
                <w:sz w:val="18"/>
              </w:rPr>
              <w:t>PASS with warning</w:t>
            </w:r>
          </w:p>
        </w:tc>
        <w:tc>
          <w:tcPr>
            <w:tcW w:type="dxa" w:w="5616"/>
          </w:tcPr>
          <w:p>
            <w:pPr>
              <w:spacing w:after="0"/>
            </w:pPr>
            <w:r>
              <w:rPr>
                <w:rFonts w:ascii="Calibri" w:hAnsi="Calibri"/>
                <w:color w:val="24313A"/>
                <w:sz w:val="18"/>
              </w:rPr>
              <w:t>dist builds; main JS is 1,385.70 kB minified / 268.57 kB gzip.</w:t>
            </w:r>
          </w:p>
        </w:tc>
      </w:tr>
      <w:tr>
        <w:tc>
          <w:tcPr>
            <w:tcW w:type="dxa" w:w="1944"/>
          </w:tcPr>
          <w:p>
            <w:pPr>
              <w:spacing w:after="0"/>
            </w:pPr>
            <w:r>
              <w:rPr>
                <w:rFonts w:ascii="Calibri" w:hAnsi="Calibri"/>
                <w:color w:val="24313A"/>
                <w:sz w:val="18"/>
              </w:rPr>
              <w:t>npm run test</w:t>
            </w:r>
          </w:p>
        </w:tc>
        <w:tc>
          <w:tcPr>
            <w:tcW w:type="dxa" w:w="1800"/>
          </w:tcPr>
          <w:p>
            <w:pPr>
              <w:spacing w:after="0"/>
            </w:pPr>
            <w:r>
              <w:rPr>
                <w:rFonts w:ascii="Calibri" w:hAnsi="Calibri"/>
                <w:color w:val="24313A"/>
                <w:sz w:val="18"/>
              </w:rPr>
              <w:t>FAIL</w:t>
            </w:r>
          </w:p>
        </w:tc>
        <w:tc>
          <w:tcPr>
            <w:tcW w:type="dxa" w:w="5616"/>
          </w:tcPr>
          <w:p>
            <w:pPr>
              <w:spacing w:after="0"/>
            </w:pPr>
            <w:r>
              <w:rPr>
                <w:rFonts w:ascii="Calibri" w:hAnsi="Calibri"/>
                <w:color w:val="24313A"/>
                <w:sz w:val="18"/>
              </w:rPr>
              <w:t>Profile expectations are stale; archive tests are discovered and resolve aliases against active src.</w:t>
            </w:r>
          </w:p>
        </w:tc>
      </w:tr>
      <w:tr>
        <w:tc>
          <w:tcPr>
            <w:tcW w:type="dxa" w:w="1944"/>
          </w:tcPr>
          <w:p>
            <w:pPr>
              <w:spacing w:after="0"/>
            </w:pPr>
            <w:r>
              <w:rPr>
                <w:rFonts w:ascii="Calibri" w:hAnsi="Calibri"/>
                <w:color w:val="24313A"/>
                <w:sz w:val="18"/>
              </w:rPr>
              <w:t>npm run lint</w:t>
            </w:r>
          </w:p>
        </w:tc>
        <w:tc>
          <w:tcPr>
            <w:tcW w:type="dxa" w:w="1800"/>
          </w:tcPr>
          <w:p>
            <w:pPr>
              <w:spacing w:after="0"/>
            </w:pPr>
            <w:r>
              <w:rPr>
                <w:rFonts w:ascii="Calibri" w:hAnsi="Calibri"/>
                <w:color w:val="24313A"/>
                <w:sz w:val="18"/>
              </w:rPr>
              <w:t>FAIL</w:t>
            </w:r>
          </w:p>
        </w:tc>
        <w:tc>
          <w:tcPr>
            <w:tcW w:type="dxa" w:w="5616"/>
          </w:tcPr>
          <w:p>
            <w:pPr>
              <w:spacing w:after="0"/>
            </w:pPr>
            <w:r>
              <w:rPr>
                <w:rFonts w:ascii="Calibri" w:hAnsi="Calibri"/>
                <w:color w:val="24313A"/>
                <w:sz w:val="18"/>
              </w:rPr>
              <w:t>44 errors and 1 warning: archive parsing plus 8 active errors and 1 active warning.</w:t>
            </w:r>
          </w:p>
        </w:tc>
      </w:tr>
    </w:tbl>
    <w:p>
      <w:pPr>
        <w:spacing w:after="0"/>
      </w:pPr>
    </w:p>
    <w:p>
      <w:pPr>
        <w:pStyle w:val="Heading2"/>
      </w:pPr>
      <w:r>
        <w:t>Test failures explained</w:t>
      </w:r>
    </w:p>
    <w:p>
      <w:pPr>
        <w:pStyle w:val="ListBullet"/>
      </w:pPr>
      <w:r>
        <w:t>Profile mapper test expects candidate_id 18 but the selected source record resolves to 1880.</w:t>
      </w:r>
    </w:p>
    <w:p>
      <w:pPr>
        <w:pStyle w:val="ListBullet"/>
      </w:pPr>
      <w:r>
        <w:t>Profile mapper test expects West Bengal but the selected source record is Telangana.</w:t>
      </w:r>
    </w:p>
    <w:p>
      <w:pPr>
        <w:pStyle w:val="ListBullet"/>
      </w:pPr>
      <w:r>
        <w:t>Archive tests are included by Vitest because the configuration does not exclude archive/**.</w:t>
      </w:r>
    </w:p>
    <w:p>
      <w:pPr>
        <w:pStyle w:val="ListBullet"/>
      </w:pPr>
      <w:r>
        <w:t>Archived @/ imports resolve to the active src alias, so legacy tests load the wrong modules or fail to resolve old modules.</w:t>
      </w:r>
    </w:p>
    <w:p>
      <w:pPr>
        <w:pStyle w:val="Heading2"/>
      </w:pPr>
      <w:r>
        <w:t>Lint failures explained</w:t>
      </w:r>
    </w:p>
    <w:p>
      <w:pPr>
        <w:pStyle w:val="ListBullet"/>
      </w:pPr>
      <w:r>
        <w:t>The archive is not excluded from ESLint, but it is also outside the active TypeScript project service.</w:t>
      </w:r>
    </w:p>
    <w:p>
      <w:pPr>
        <w:pStyle w:val="ListBullet"/>
      </w:pPr>
      <w:r>
        <w:t>AppCard declares six empty interfaces that add no type information.</w:t>
      </w:r>
    </w:p>
    <w:p>
      <w:pPr>
        <w:pStyle w:val="ListBullet"/>
      </w:pPr>
      <w:r>
        <w:t>The contestants data module contains one unnecessary type assertion.</w:t>
      </w:r>
    </w:p>
    <w:p>
      <w:pPr>
        <w:pStyle w:val="ListBullet"/>
      </w:pPr>
      <w:r>
        <w:t>The profile mapper contains one unsafe any assignment.</w:t>
      </w:r>
    </w:p>
    <w:p>
      <w:pPr>
        <w:pStyle w:val="ListBullet"/>
      </w:pPr>
      <w:r>
        <w:t>theme-mode.tsx exports a non-component alongside a component, causing a Fast Refresh warning.</w:t>
      </w:r>
    </w:p>
    <w:p>
      <w:pPr>
        <w:spacing w:before="100" w:after="160"/>
        <w:ind w:left="173" w:right="173"/>
        <w:shd w:fill="FDECEC"/>
      </w:pPr>
      <w:r>
        <w:rPr>
          <w:rFonts w:ascii="Calibri" w:hAnsi="Calibri"/>
          <w:b/>
          <w:color w:val="1F4D78"/>
          <w:sz w:val="21"/>
        </w:rPr>
        <w:t xml:space="preserve">Interpretation  </w:t>
      </w:r>
      <w:r>
        <w:rPr>
          <w:rFonts w:ascii="Calibri" w:hAnsi="Calibri"/>
          <w:color w:val="24313A"/>
          <w:sz w:val="21"/>
        </w:rPr>
        <w:t>A passing build currently proves that the app can be compiled, not that it is behaviorally correct or ready to release. The full quality gate is red.</w:t>
      </w:r>
    </w:p>
    <w:p>
      <w:r>
        <w:br w:type="page"/>
      </w:r>
    </w:p>
    <w:p>
      <w:pPr>
        <w:pStyle w:val="Heading1"/>
      </w:pPr>
      <w:r>
        <w:t>4. Highest-priority corrections</w:t>
      </w:r>
    </w:p>
    <w:tbl>
      <w:tblPr>
        <w:tblStyle w:val="TableGrid"/>
        <w:tblW w:type="dxa" w:w="9360"/>
        <w:jc w:val="left"/>
        <w:tblLayout w:type="fixed"/>
        <w:tblLook w:firstColumn="1" w:firstRow="1" w:lastColumn="0" w:lastRow="0" w:noHBand="0" w:noVBand="1" w:val="04A0"/>
        <w:tblInd w:w="120" w:type="dxa"/>
      </w:tblPr>
      <w:tblGrid>
        <w:gridCol w:w="893"/>
        <w:gridCol w:w="2952"/>
        <w:gridCol w:w="5515"/>
      </w:tblGrid>
      <w:tr>
        <w:trPr>
          <w:tblHeader w:val="true"/>
        </w:trPr>
        <w:tc>
          <w:tcPr>
            <w:tcW w:type="dxa" w:w="893"/>
            <w:vAlign w:val="center"/>
            <w:tcMar>
              <w:top w:w="100" w:type="dxa"/>
              <w:start w:w="120" w:type="dxa"/>
              <w:bottom w:w="100" w:type="dxa"/>
              <w:end w:w="120" w:type="dxa"/>
            </w:tcMar>
            <w:shd w:fill="F2F4F7"/>
          </w:tcPr>
          <w:p>
            <w:pPr>
              <w:spacing w:after="0"/>
            </w:pPr>
            <w:r>
              <w:rPr>
                <w:rFonts w:ascii="Calibri" w:hAnsi="Calibri"/>
                <w:b/>
                <w:color w:val="1F4D78"/>
                <w:sz w:val="17"/>
              </w:rPr>
              <w:t>Priority</w:t>
            </w:r>
          </w:p>
        </w:tc>
        <w:tc>
          <w:tcPr>
            <w:tcW w:type="dxa" w:w="2952"/>
            <w:vAlign w:val="center"/>
            <w:tcMar>
              <w:top w:w="100" w:type="dxa"/>
              <w:start w:w="120" w:type="dxa"/>
              <w:bottom w:w="100" w:type="dxa"/>
              <w:end w:w="120" w:type="dxa"/>
            </w:tcMar>
            <w:shd w:fill="F2F4F7"/>
          </w:tcPr>
          <w:p>
            <w:pPr>
              <w:spacing w:after="0"/>
            </w:pPr>
            <w:r>
              <w:rPr>
                <w:rFonts w:ascii="Calibri" w:hAnsi="Calibri"/>
                <w:b/>
                <w:color w:val="1F4D78"/>
                <w:sz w:val="17"/>
              </w:rPr>
              <w:t>Correction</w:t>
            </w:r>
          </w:p>
        </w:tc>
        <w:tc>
          <w:tcPr>
            <w:tcW w:type="dxa" w:w="5515"/>
            <w:vAlign w:val="center"/>
            <w:tcMar>
              <w:top w:w="100" w:type="dxa"/>
              <w:start w:w="120" w:type="dxa"/>
              <w:bottom w:w="100" w:type="dxa"/>
              <w:end w:w="120" w:type="dxa"/>
            </w:tcMar>
            <w:shd w:fill="F2F4F7"/>
          </w:tcPr>
          <w:p>
            <w:pPr>
              <w:spacing w:after="0"/>
            </w:pPr>
            <w:r>
              <w:rPr>
                <w:rFonts w:ascii="Calibri" w:hAnsi="Calibri"/>
                <w:b/>
                <w:color w:val="1F4D78"/>
                <w:sz w:val="17"/>
              </w:rPr>
              <w:t>Definition of done</w:t>
            </w:r>
          </w:p>
        </w:tc>
      </w:tr>
      <w:tr>
        <w:tc>
          <w:tcPr>
            <w:tcW w:type="dxa" w:w="893"/>
          </w:tcPr>
          <w:p>
            <w:pPr>
              <w:spacing w:after="0"/>
            </w:pPr>
            <w:r>
              <w:rPr>
                <w:rFonts w:ascii="Calibri" w:hAnsi="Calibri"/>
                <w:color w:val="24313A"/>
                <w:sz w:val="17"/>
              </w:rPr>
              <w:t>P0</w:t>
            </w:r>
          </w:p>
        </w:tc>
        <w:tc>
          <w:tcPr>
            <w:tcW w:type="dxa" w:w="2952"/>
          </w:tcPr>
          <w:p>
            <w:pPr>
              <w:spacing w:after="0"/>
            </w:pPr>
            <w:r>
              <w:rPr>
                <w:rFonts w:ascii="Calibri" w:hAnsi="Calibri"/>
                <w:color w:val="24313A"/>
                <w:sz w:val="17"/>
              </w:rPr>
              <w:t>Make the quality boundary explicit</w:t>
            </w:r>
          </w:p>
        </w:tc>
        <w:tc>
          <w:tcPr>
            <w:tcW w:type="dxa" w:w="5515"/>
          </w:tcPr>
          <w:p>
            <w:pPr>
              <w:spacing w:after="0"/>
            </w:pPr>
            <w:r>
              <w:rPr>
                <w:rFonts w:ascii="Calibri" w:hAnsi="Calibri"/>
                <w:color w:val="24313A"/>
                <w:sz w:val="17"/>
              </w:rPr>
              <w:t>Exclude archive/** from active lint/test/build checks or give the archive its own isolated config. Active npm test and npm run lint pass.</w:t>
            </w:r>
          </w:p>
        </w:tc>
      </w:tr>
      <w:tr>
        <w:tc>
          <w:tcPr>
            <w:tcW w:type="dxa" w:w="893"/>
          </w:tcPr>
          <w:p>
            <w:pPr>
              <w:spacing w:after="0"/>
            </w:pPr>
            <w:r>
              <w:rPr>
                <w:rFonts w:ascii="Calibri" w:hAnsi="Calibri"/>
                <w:color w:val="24313A"/>
                <w:sz w:val="17"/>
              </w:rPr>
              <w:t>P0</w:t>
            </w:r>
          </w:p>
        </w:tc>
        <w:tc>
          <w:tcPr>
            <w:tcW w:type="dxa" w:w="2952"/>
          </w:tcPr>
          <w:p>
            <w:pPr>
              <w:spacing w:after="0"/>
            </w:pPr>
            <w:r>
              <w:rPr>
                <w:rFonts w:ascii="Calibri" w:hAnsi="Calibri"/>
                <w:color w:val="24313A"/>
                <w:sz w:val="17"/>
              </w:rPr>
              <w:t>Repair profile tests</w:t>
            </w:r>
          </w:p>
        </w:tc>
        <w:tc>
          <w:tcPr>
            <w:tcW w:type="dxa" w:w="5515"/>
          </w:tcPr>
          <w:p>
            <w:pPr>
              <w:spacing w:after="0"/>
            </w:pPr>
            <w:r>
              <w:rPr>
                <w:rFonts w:ascii="Calibri" w:hAnsi="Calibri"/>
                <w:color w:val="24313A"/>
                <w:sz w:val="17"/>
              </w:rPr>
              <w:t>Expectations use the current Telangana record, or tests supply their own stable fixture. Mapper behavior—not one mutable featured row—is tested.</w:t>
            </w:r>
          </w:p>
        </w:tc>
      </w:tr>
      <w:tr>
        <w:tc>
          <w:tcPr>
            <w:tcW w:type="dxa" w:w="893"/>
          </w:tcPr>
          <w:p>
            <w:pPr>
              <w:spacing w:after="0"/>
            </w:pPr>
            <w:r>
              <w:rPr>
                <w:rFonts w:ascii="Calibri" w:hAnsi="Calibri"/>
                <w:color w:val="24313A"/>
                <w:sz w:val="17"/>
              </w:rPr>
              <w:t>P0</w:t>
            </w:r>
          </w:p>
        </w:tc>
        <w:tc>
          <w:tcPr>
            <w:tcW w:type="dxa" w:w="2952"/>
          </w:tcPr>
          <w:p>
            <w:pPr>
              <w:spacing w:after="0"/>
            </w:pPr>
            <w:r>
              <w:rPr>
                <w:rFonts w:ascii="Calibri" w:hAnsi="Calibri"/>
                <w:color w:val="24313A"/>
                <w:sz w:val="17"/>
              </w:rPr>
              <w:t>Rewrite active docs</w:t>
            </w:r>
          </w:p>
        </w:tc>
        <w:tc>
          <w:tcPr>
            <w:tcW w:type="dxa" w:w="5515"/>
          </w:tcPr>
          <w:p>
            <w:pPr>
              <w:spacing w:after="0"/>
            </w:pPr>
            <w:r>
              <w:rPr>
                <w:rFonts w:ascii="Calibri" w:hAnsi="Calibri"/>
                <w:color w:val="24313A"/>
                <w:sz w:val="17"/>
              </w:rPr>
              <w:t>README and architecture docs describe Chakra features, active routes, data reality, current commands, and archive boundary.</w:t>
            </w:r>
          </w:p>
        </w:tc>
      </w:tr>
      <w:tr>
        <w:tc>
          <w:tcPr>
            <w:tcW w:type="dxa" w:w="893"/>
          </w:tcPr>
          <w:p>
            <w:pPr>
              <w:spacing w:after="0"/>
            </w:pPr>
            <w:r>
              <w:rPr>
                <w:rFonts w:ascii="Calibri" w:hAnsi="Calibri"/>
                <w:color w:val="24313A"/>
                <w:sz w:val="17"/>
              </w:rPr>
              <w:t>P1</w:t>
            </w:r>
          </w:p>
        </w:tc>
        <w:tc>
          <w:tcPr>
            <w:tcW w:type="dxa" w:w="2952"/>
          </w:tcPr>
          <w:p>
            <w:pPr>
              <w:spacing w:after="0"/>
            </w:pPr>
            <w:r>
              <w:rPr>
                <w:rFonts w:ascii="Calibri" w:hAnsi="Calibri"/>
                <w:color w:val="24313A"/>
                <w:sz w:val="17"/>
              </w:rPr>
              <w:t>Externalize datasets</w:t>
            </w:r>
          </w:p>
        </w:tc>
        <w:tc>
          <w:tcPr>
            <w:tcW w:type="dxa" w:w="5515"/>
          </w:tcPr>
          <w:p>
            <w:pPr>
              <w:spacing w:after="0"/>
            </w:pPr>
            <w:r>
              <w:rPr>
                <w:rFonts w:ascii="Calibri" w:hAnsi="Calibri"/>
                <w:color w:val="24313A"/>
                <w:sz w:val="17"/>
              </w:rPr>
              <w:t>Candidate and party data load as static JSON/CSV or route-level chunks. Initial bundle falls below an agreed budget.</w:t>
            </w:r>
          </w:p>
        </w:tc>
      </w:tr>
      <w:tr>
        <w:tc>
          <w:tcPr>
            <w:tcW w:type="dxa" w:w="893"/>
          </w:tcPr>
          <w:p>
            <w:pPr>
              <w:spacing w:after="0"/>
            </w:pPr>
            <w:r>
              <w:rPr>
                <w:rFonts w:ascii="Calibri" w:hAnsi="Calibri"/>
                <w:color w:val="24313A"/>
                <w:sz w:val="17"/>
              </w:rPr>
              <w:t>P1</w:t>
            </w:r>
          </w:p>
        </w:tc>
        <w:tc>
          <w:tcPr>
            <w:tcW w:type="dxa" w:w="2952"/>
          </w:tcPr>
          <w:p>
            <w:pPr>
              <w:spacing w:after="0"/>
            </w:pPr>
            <w:r>
              <w:rPr>
                <w:rFonts w:ascii="Calibri" w:hAnsi="Calibri"/>
                <w:color w:val="24313A"/>
                <w:sz w:val="17"/>
              </w:rPr>
              <w:t>Create a real data access contract</w:t>
            </w:r>
          </w:p>
        </w:tc>
        <w:tc>
          <w:tcPr>
            <w:tcW w:type="dxa" w:w="5515"/>
          </w:tcPr>
          <w:p>
            <w:pPr>
              <w:spacing w:after="0"/>
            </w:pPr>
            <w:r>
              <w:rPr>
                <w:rFonts w:ascii="Calibri" w:hAnsi="Calibri"/>
                <w:color w:val="24313A"/>
                <w:sz w:val="17"/>
              </w:rPr>
              <w:t>A typed repository/client handles base URLs, loading, errors, validation, caching, and candidate IDs.</w:t>
            </w:r>
          </w:p>
        </w:tc>
      </w:tr>
      <w:tr>
        <w:tc>
          <w:tcPr>
            <w:tcW w:type="dxa" w:w="893"/>
          </w:tcPr>
          <w:p>
            <w:pPr>
              <w:spacing w:after="0"/>
            </w:pPr>
            <w:r>
              <w:rPr>
                <w:rFonts w:ascii="Calibri" w:hAnsi="Calibri"/>
                <w:color w:val="24313A"/>
                <w:sz w:val="17"/>
              </w:rPr>
              <w:t>P1</w:t>
            </w:r>
          </w:p>
        </w:tc>
        <w:tc>
          <w:tcPr>
            <w:tcW w:type="dxa" w:w="2952"/>
          </w:tcPr>
          <w:p>
            <w:pPr>
              <w:spacing w:after="0"/>
            </w:pPr>
            <w:r>
              <w:rPr>
                <w:rFonts w:ascii="Calibri" w:hAnsi="Calibri"/>
                <w:color w:val="24313A"/>
                <w:sz w:val="17"/>
              </w:rPr>
              <w:t>Parameterize routes</w:t>
            </w:r>
          </w:p>
        </w:tc>
        <w:tc>
          <w:tcPr>
            <w:tcW w:type="dxa" w:w="5515"/>
          </w:tcPr>
          <w:p>
            <w:pPr>
              <w:spacing w:after="0"/>
            </w:pPr>
            <w:r>
              <w:rPr>
                <w:rFonts w:ascii="Calibri" w:hAnsi="Calibri"/>
                <w:color w:val="24313A"/>
                <w:sz w:val="17"/>
              </w:rPr>
              <w:t>Profile and area pages accept stable route identifiers and handle missing/invalid records.</w:t>
            </w:r>
          </w:p>
        </w:tc>
      </w:tr>
      <w:tr>
        <w:tc>
          <w:tcPr>
            <w:tcW w:type="dxa" w:w="893"/>
          </w:tcPr>
          <w:p>
            <w:pPr>
              <w:spacing w:after="0"/>
            </w:pPr>
            <w:r>
              <w:rPr>
                <w:rFonts w:ascii="Calibri" w:hAnsi="Calibri"/>
                <w:color w:val="24313A"/>
                <w:sz w:val="17"/>
              </w:rPr>
              <w:t>P1</w:t>
            </w:r>
          </w:p>
        </w:tc>
        <w:tc>
          <w:tcPr>
            <w:tcW w:type="dxa" w:w="2952"/>
          </w:tcPr>
          <w:p>
            <w:pPr>
              <w:spacing w:after="0"/>
            </w:pPr>
            <w:r>
              <w:rPr>
                <w:rFonts w:ascii="Calibri" w:hAnsi="Calibri"/>
                <w:color w:val="24313A"/>
                <w:sz w:val="17"/>
              </w:rPr>
              <w:t>Finish profile content contract</w:t>
            </w:r>
          </w:p>
        </w:tc>
        <w:tc>
          <w:tcPr>
            <w:tcW w:type="dxa" w:w="5515"/>
          </w:tcPr>
          <w:p>
            <w:pPr>
              <w:spacing w:after="0"/>
            </w:pPr>
            <w:r>
              <w:rPr>
                <w:rFonts w:ascii="Calibri" w:hAnsi="Calibri"/>
                <w:color w:val="24313A"/>
                <w:sz w:val="17"/>
              </w:rPr>
              <w:t>Assets, details, missing-data rules, labels, and visual hierarchy are finalized against real representative records.</w:t>
            </w:r>
          </w:p>
        </w:tc>
      </w:tr>
      <w:tr>
        <w:tc>
          <w:tcPr>
            <w:tcW w:type="dxa" w:w="893"/>
          </w:tcPr>
          <w:p>
            <w:pPr>
              <w:spacing w:after="0"/>
            </w:pPr>
            <w:r>
              <w:rPr>
                <w:rFonts w:ascii="Calibri" w:hAnsi="Calibri"/>
                <w:color w:val="24313A"/>
                <w:sz w:val="17"/>
              </w:rPr>
              <w:t>P2</w:t>
            </w:r>
          </w:p>
        </w:tc>
        <w:tc>
          <w:tcPr>
            <w:tcW w:type="dxa" w:w="2952"/>
          </w:tcPr>
          <w:p>
            <w:pPr>
              <w:spacing w:after="0"/>
            </w:pPr>
            <w:r>
              <w:rPr>
                <w:rFonts w:ascii="Calibri" w:hAnsi="Calibri"/>
                <w:color w:val="24313A"/>
                <w:sz w:val="17"/>
              </w:rPr>
              <w:t>Add product safeguards</w:t>
            </w:r>
          </w:p>
        </w:tc>
        <w:tc>
          <w:tcPr>
            <w:tcW w:type="dxa" w:w="5515"/>
          </w:tcPr>
          <w:p>
            <w:pPr>
              <w:spacing w:after="0"/>
            </w:pPr>
            <w:r>
              <w:rPr>
                <w:rFonts w:ascii="Calibri" w:hAnsi="Calibri"/>
                <w:color w:val="24313A"/>
                <w:sz w:val="17"/>
              </w:rPr>
              <w:t>Accessibility, dark/light mode, mobile layouts, broken images, empty data, and keyboard flows have automated or documented checks.</w:t>
            </w:r>
          </w:p>
        </w:tc>
      </w:tr>
      <w:tr>
        <w:tc>
          <w:tcPr>
            <w:tcW w:type="dxa" w:w="893"/>
          </w:tcPr>
          <w:p>
            <w:pPr>
              <w:spacing w:after="0"/>
            </w:pPr>
            <w:r>
              <w:rPr>
                <w:rFonts w:ascii="Calibri" w:hAnsi="Calibri"/>
                <w:color w:val="24313A"/>
                <w:sz w:val="17"/>
              </w:rPr>
              <w:t>P2</w:t>
            </w:r>
          </w:p>
        </w:tc>
        <w:tc>
          <w:tcPr>
            <w:tcW w:type="dxa" w:w="2952"/>
          </w:tcPr>
          <w:p>
            <w:pPr>
              <w:spacing w:after="0"/>
            </w:pPr>
            <w:r>
              <w:rPr>
                <w:rFonts w:ascii="Calibri" w:hAnsi="Calibri"/>
                <w:color w:val="24313A"/>
                <w:sz w:val="17"/>
              </w:rPr>
              <w:t>Implement i18n architecture</w:t>
            </w:r>
          </w:p>
        </w:tc>
        <w:tc>
          <w:tcPr>
            <w:tcW w:type="dxa" w:w="5515"/>
          </w:tcPr>
          <w:p>
            <w:pPr>
              <w:spacing w:after="0"/>
            </w:pPr>
            <w:r>
              <w:rPr>
                <w:rFonts w:ascii="Calibri" w:hAnsi="Calibri"/>
                <w:color w:val="24313A"/>
                <w:sz w:val="17"/>
              </w:rPr>
              <w:t>UI copy moves to translation keys; formatting utilities handle Indian numbers, currency, dates, and transliteration strategy.</w:t>
            </w:r>
          </w:p>
        </w:tc>
      </w:tr>
    </w:tbl>
    <w:p>
      <w:pPr>
        <w:spacing w:after="0"/>
      </w:pPr>
    </w:p>
    <w:p>
      <w:pPr>
        <w:pStyle w:val="Heading2"/>
      </w:pPr>
      <w:r>
        <w:t>Recommended implementation order</w:t>
      </w:r>
    </w:p>
    <w:p>
      <w:pPr>
        <w:pStyle w:val="ListBullet"/>
      </w:pPr>
      <w:r>
        <w:t>Stabilize tooling and documentation before adding another page.</w:t>
      </w:r>
    </w:p>
    <w:p>
      <w:pPr>
        <w:pStyle w:val="ListBullet"/>
      </w:pPr>
      <w:r>
        <w:t>Freeze a versioned candidate and listing data contract using representative records from multiple states.</w:t>
      </w:r>
    </w:p>
    <w:p>
      <w:pPr>
        <w:pStyle w:val="ListBullet"/>
      </w:pPr>
      <w:r>
        <w:t>Add the static-data client and route parameters while preserving the current UI components.</w:t>
      </w:r>
    </w:p>
    <w:p>
      <w:pPr>
        <w:pStyle w:val="ListBullet"/>
      </w:pPr>
      <w:r>
        <w:t>Move the large datasets out of TypeScript and introduce route-level lazy loading.</w:t>
      </w:r>
    </w:p>
    <w:p>
      <w:pPr>
        <w:pStyle w:val="ListBullet"/>
      </w:pPr>
      <w:r>
        <w:t>Complete the candidate profile against real data, then reuse its patterns for contestants, winners, parties, and areas.</w:t>
      </w:r>
    </w:p>
    <w:p>
      <w:pPr>
        <w:pStyle w:val="ListBullet"/>
      </w:pPr>
      <w:r>
        <w:t>Add accessibility, responsive visual checks, and a release checklist before public deployment.</w:t>
      </w:r>
    </w:p>
    <w:p>
      <w:r>
        <w:br w:type="page"/>
      </w:r>
    </w:p>
    <w:p>
      <w:pPr>
        <w:pStyle w:val="Heading1"/>
      </w:pPr>
      <w:r>
        <w:t>5. What the project chat history shows</w:t>
      </w:r>
    </w:p>
    <w:p>
      <w:pPr>
        <w:spacing w:before="100" w:after="160"/>
        <w:ind w:left="173" w:right="173"/>
        <w:shd w:fill="E8EEF5"/>
      </w:pPr>
      <w:r>
        <w:rPr>
          <w:rFonts w:ascii="Calibri" w:hAnsi="Calibri"/>
          <w:b/>
          <w:color w:val="1F4D78"/>
          <w:sz w:val="21"/>
        </w:rPr>
        <w:t xml:space="preserve">Review scope  </w:t>
      </w:r>
      <w:r>
        <w:rPr>
          <w:rFonts w:ascii="Calibri" w:hAnsi="Calibri"/>
          <w:color w:val="24313A"/>
          <w:sz w:val="21"/>
        </w:rPr>
        <w:t>Nine tasks linked to this exact repository were reviewed, covering 70 turns. The analysis used conversation requests and outcomes, not just the resulting files. Unrelated projects and personal conversations were intentionally excluded.</w:t>
      </w:r>
    </w:p>
    <w:tbl>
      <w:tblPr>
        <w:tblStyle w:val="TableGrid"/>
        <w:tblW w:type="dxa" w:w="9360"/>
        <w:jc w:val="left"/>
        <w:tblLayout w:type="fixed"/>
        <w:tblLook w:firstColumn="1" w:firstRow="1" w:lastColumn="0" w:lastRow="0" w:noHBand="0" w:noVBand="1" w:val="04A0"/>
        <w:tblInd w:w="120" w:type="dxa"/>
      </w:tblPr>
      <w:tblGrid>
        <w:gridCol w:w="1728"/>
        <w:gridCol w:w="3672"/>
        <w:gridCol w:w="3960"/>
      </w:tblGrid>
      <w:tr>
        <w:trPr>
          <w:tblHeader w:val="true"/>
        </w:trPr>
        <w:tc>
          <w:tcPr>
            <w:tcW w:type="dxa" w:w="1728"/>
            <w:vAlign w:val="center"/>
            <w:tcMar>
              <w:top w:w="100" w:type="dxa"/>
              <w:start w:w="120" w:type="dxa"/>
              <w:bottom w:w="100" w:type="dxa"/>
              <w:end w:w="120" w:type="dxa"/>
            </w:tcMar>
            <w:shd w:fill="F2F4F7"/>
          </w:tcPr>
          <w:p>
            <w:pPr>
              <w:spacing w:after="0"/>
            </w:pPr>
            <w:r>
              <w:rPr>
                <w:rFonts w:ascii="Calibri" w:hAnsi="Calibri"/>
                <w:b/>
                <w:color w:val="1F4D78"/>
                <w:sz w:val="17"/>
              </w:rPr>
              <w:t>Conversation theme</w:t>
            </w:r>
          </w:p>
        </w:tc>
        <w:tc>
          <w:tcPr>
            <w:tcW w:type="dxa" w:w="3672"/>
            <w:vAlign w:val="center"/>
            <w:tcMar>
              <w:top w:w="100" w:type="dxa"/>
              <w:start w:w="120" w:type="dxa"/>
              <w:bottom w:w="100" w:type="dxa"/>
              <w:end w:w="120" w:type="dxa"/>
            </w:tcMar>
            <w:shd w:fill="F2F4F7"/>
          </w:tcPr>
          <w:p>
            <w:pPr>
              <w:spacing w:after="0"/>
            </w:pPr>
            <w:r>
              <w:rPr>
                <w:rFonts w:ascii="Calibri" w:hAnsi="Calibri"/>
                <w:b/>
                <w:color w:val="1F4D78"/>
                <w:sz w:val="17"/>
              </w:rPr>
              <w:t>Observed pattern</w:t>
            </w:r>
          </w:p>
        </w:tc>
        <w:tc>
          <w:tcPr>
            <w:tcW w:type="dxa" w:w="3960"/>
            <w:vAlign w:val="center"/>
            <w:tcMar>
              <w:top w:w="100" w:type="dxa"/>
              <w:start w:w="120" w:type="dxa"/>
              <w:bottom w:w="100" w:type="dxa"/>
              <w:end w:w="120" w:type="dxa"/>
            </w:tcMar>
            <w:shd w:fill="F2F4F7"/>
          </w:tcPr>
          <w:p>
            <w:pPr>
              <w:spacing w:after="0"/>
            </w:pPr>
            <w:r>
              <w:rPr>
                <w:rFonts w:ascii="Calibri" w:hAnsi="Calibri"/>
                <w:b/>
                <w:color w:val="1F4D78"/>
                <w:sz w:val="17"/>
              </w:rPr>
              <w:t>Effect on the codebase</w:t>
            </w:r>
          </w:p>
        </w:tc>
      </w:tr>
      <w:tr>
        <w:tc>
          <w:tcPr>
            <w:tcW w:type="dxa" w:w="1728"/>
          </w:tcPr>
          <w:p>
            <w:pPr>
              <w:spacing w:after="0"/>
            </w:pPr>
            <w:r>
              <w:rPr>
                <w:rFonts w:ascii="Calibri" w:hAnsi="Calibri"/>
                <w:color w:val="24313A"/>
                <w:sz w:val="17"/>
              </w:rPr>
              <w:t>Design system</w:t>
            </w:r>
          </w:p>
        </w:tc>
        <w:tc>
          <w:tcPr>
            <w:tcW w:type="dxa" w:w="3672"/>
          </w:tcPr>
          <w:p>
            <w:pPr>
              <w:spacing w:after="0"/>
            </w:pPr>
            <w:r>
              <w:rPr>
                <w:rFonts w:ascii="Calibri" w:hAnsi="Calibri"/>
                <w:color w:val="24313A"/>
                <w:sz w:val="17"/>
              </w:rPr>
              <w:t>Long exploration of palettes, dark mode, Chakra adoption, and reusable primitives</w:t>
            </w:r>
          </w:p>
        </w:tc>
        <w:tc>
          <w:tcPr>
            <w:tcW w:type="dxa" w:w="3960"/>
          </w:tcPr>
          <w:p>
            <w:pPr>
              <w:spacing w:after="0"/>
            </w:pPr>
            <w:r>
              <w:rPr>
                <w:rFonts w:ascii="Calibri" w:hAnsi="Calibri"/>
                <w:color w:val="24313A"/>
                <w:sz w:val="17"/>
              </w:rPr>
              <w:t>Strong visual foundation, but two partially overlapping sources of truth: standalone HTML and Chakra theme</w:t>
            </w:r>
          </w:p>
        </w:tc>
      </w:tr>
      <w:tr>
        <w:tc>
          <w:tcPr>
            <w:tcW w:type="dxa" w:w="1728"/>
          </w:tcPr>
          <w:p>
            <w:pPr>
              <w:spacing w:after="0"/>
            </w:pPr>
            <w:r>
              <w:rPr>
                <w:rFonts w:ascii="Calibri" w:hAnsi="Calibri"/>
                <w:color w:val="24313A"/>
                <w:sz w:val="17"/>
              </w:rPr>
              <w:t>Rewrite boundary</w:t>
            </w:r>
          </w:p>
        </w:tc>
        <w:tc>
          <w:tcPr>
            <w:tcW w:type="dxa" w:w="3672"/>
          </w:tcPr>
          <w:p>
            <w:pPr>
              <w:spacing w:after="0"/>
            </w:pPr>
            <w:r>
              <w:rPr>
                <w:rFonts w:ascii="Calibri" w:hAnsi="Calibri"/>
                <w:color w:val="24313A"/>
                <w:sz w:val="17"/>
              </w:rPr>
              <w:t>Explicit request to archive the old app and rebuild with Chakra</w:t>
            </w:r>
          </w:p>
        </w:tc>
        <w:tc>
          <w:tcPr>
            <w:tcW w:type="dxa" w:w="3960"/>
          </w:tcPr>
          <w:p>
            <w:pPr>
              <w:spacing w:after="0"/>
            </w:pPr>
            <w:r>
              <w:rPr>
                <w:rFonts w:ascii="Calibri" w:hAnsi="Calibri"/>
                <w:color w:val="24313A"/>
                <w:sz w:val="17"/>
              </w:rPr>
              <w:t>Good architectural reset; tooling/docs did not fully follow the new boundary</w:t>
            </w:r>
          </w:p>
        </w:tc>
      </w:tr>
      <w:tr>
        <w:tc>
          <w:tcPr>
            <w:tcW w:type="dxa" w:w="1728"/>
          </w:tcPr>
          <w:p>
            <w:pPr>
              <w:spacing w:after="0"/>
            </w:pPr>
            <w:r>
              <w:rPr>
                <w:rFonts w:ascii="Calibri" w:hAnsi="Calibri"/>
                <w:color w:val="24313A"/>
                <w:sz w:val="17"/>
              </w:rPr>
              <w:t>Profile page</w:t>
            </w:r>
          </w:p>
        </w:tc>
        <w:tc>
          <w:tcPr>
            <w:tcW w:type="dxa" w:w="3672"/>
          </w:tcPr>
          <w:p>
            <w:pPr>
              <w:spacing w:after="0"/>
            </w:pPr>
            <w:r>
              <w:rPr>
                <w:rFonts w:ascii="Calibri" w:hAnsi="Calibri"/>
                <w:color w:val="24313A"/>
                <w:sz w:val="17"/>
              </w:rPr>
              <w:t>24-turn iterative redesign with many micro-adjustments</w:t>
            </w:r>
          </w:p>
        </w:tc>
        <w:tc>
          <w:tcPr>
            <w:tcW w:type="dxa" w:w="3960"/>
          </w:tcPr>
          <w:p>
            <w:pPr>
              <w:spacing w:after="0"/>
            </w:pPr>
            <w:r>
              <w:rPr>
                <w:rFonts w:ascii="Calibri" w:hAnsi="Calibri"/>
                <w:color w:val="24313A"/>
                <w:sz w:val="17"/>
              </w:rPr>
              <w:t>Best modeled feature, but repeated local edits created stale tests and uncertain final acceptance criteria</w:t>
            </w:r>
          </w:p>
        </w:tc>
      </w:tr>
      <w:tr>
        <w:tc>
          <w:tcPr>
            <w:tcW w:type="dxa" w:w="1728"/>
          </w:tcPr>
          <w:p>
            <w:pPr>
              <w:spacing w:after="0"/>
            </w:pPr>
            <w:r>
              <w:rPr>
                <w:rFonts w:ascii="Calibri" w:hAnsi="Calibri"/>
                <w:color w:val="24313A"/>
                <w:sz w:val="17"/>
              </w:rPr>
              <w:t>New pages</w:t>
            </w:r>
          </w:p>
        </w:tc>
        <w:tc>
          <w:tcPr>
            <w:tcW w:type="dxa" w:w="3672"/>
          </w:tcPr>
          <w:p>
            <w:pPr>
              <w:spacing w:after="0"/>
            </w:pPr>
            <w:r>
              <w:rPr>
                <w:rFonts w:ascii="Calibri" w:hAnsi="Calibri"/>
                <w:color w:val="24313A"/>
                <w:sz w:val="17"/>
              </w:rPr>
              <w:t>Area, contestants, and party pages were added from attached HTML/CSV references</w:t>
            </w:r>
          </w:p>
        </w:tc>
        <w:tc>
          <w:tcPr>
            <w:tcW w:type="dxa" w:w="3960"/>
          </w:tcPr>
          <w:p>
            <w:pPr>
              <w:spacing w:after="0"/>
            </w:pPr>
            <w:r>
              <w:rPr>
                <w:rFonts w:ascii="Calibri" w:hAnsi="Calibri"/>
                <w:color w:val="24313A"/>
                <w:sz w:val="17"/>
              </w:rPr>
              <w:t>Fast prototype growth; page-specific data and styles remain embedded</w:t>
            </w:r>
          </w:p>
        </w:tc>
      </w:tr>
      <w:tr>
        <w:tc>
          <w:tcPr>
            <w:tcW w:type="dxa" w:w="1728"/>
          </w:tcPr>
          <w:p>
            <w:pPr>
              <w:spacing w:after="0"/>
            </w:pPr>
            <w:r>
              <w:rPr>
                <w:rFonts w:ascii="Calibri" w:hAnsi="Calibri"/>
                <w:color w:val="24313A"/>
                <w:sz w:val="17"/>
              </w:rPr>
              <w:t>Theme toggle</w:t>
            </w:r>
          </w:p>
        </w:tc>
        <w:tc>
          <w:tcPr>
            <w:tcW w:type="dxa" w:w="3672"/>
          </w:tcPr>
          <w:p>
            <w:pPr>
              <w:spacing w:after="0"/>
            </w:pPr>
            <w:r>
              <w:rPr>
                <w:rFonts w:ascii="Calibri" w:hAnsi="Calibri"/>
                <w:color w:val="24313A"/>
                <w:sz w:val="17"/>
              </w:rPr>
              <w:t>Light/dark behavior corrected after pages already existed</w:t>
            </w:r>
          </w:p>
        </w:tc>
        <w:tc>
          <w:tcPr>
            <w:tcW w:type="dxa" w:w="3960"/>
          </w:tcPr>
          <w:p>
            <w:pPr>
              <w:spacing w:after="0"/>
            </w:pPr>
            <w:r>
              <w:rPr>
                <w:rFonts w:ascii="Calibri" w:hAnsi="Calibri"/>
                <w:color w:val="24313A"/>
                <w:sz w:val="17"/>
              </w:rPr>
              <w:t>Shows the need to include both modes in every feature acceptance checklist</w:t>
            </w:r>
          </w:p>
        </w:tc>
      </w:tr>
      <w:tr>
        <w:tc>
          <w:tcPr>
            <w:tcW w:type="dxa" w:w="1728"/>
          </w:tcPr>
          <w:p>
            <w:pPr>
              <w:spacing w:after="0"/>
            </w:pPr>
            <w:r>
              <w:rPr>
                <w:rFonts w:ascii="Calibri" w:hAnsi="Calibri"/>
                <w:color w:val="24313A"/>
                <w:sz w:val="17"/>
              </w:rPr>
              <w:t>TTS</w:t>
            </w:r>
          </w:p>
        </w:tc>
        <w:tc>
          <w:tcPr>
            <w:tcW w:type="dxa" w:w="3672"/>
          </w:tcPr>
          <w:p>
            <w:pPr>
              <w:spacing w:after="0"/>
            </w:pPr>
            <w:r>
              <w:rPr>
                <w:rFonts w:ascii="Calibri" w:hAnsi="Calibri"/>
                <w:color w:val="24313A"/>
                <w:sz w:val="17"/>
              </w:rPr>
              <w:t>Research and implementation combined in one task</w:t>
            </w:r>
          </w:p>
        </w:tc>
        <w:tc>
          <w:tcPr>
            <w:tcW w:type="dxa" w:w="3960"/>
          </w:tcPr>
          <w:p>
            <w:pPr>
              <w:spacing w:after="0"/>
            </w:pPr>
            <w:r>
              <w:rPr>
                <w:rFonts w:ascii="Calibri" w:hAnsi="Calibri"/>
                <w:color w:val="24313A"/>
                <w:sz w:val="17"/>
              </w:rPr>
              <w:t>Useful experiment; product claims need sharper qualification and device testing</w:t>
            </w:r>
          </w:p>
        </w:tc>
      </w:tr>
    </w:tbl>
    <w:p>
      <w:pPr>
        <w:spacing w:after="0"/>
      </w:pPr>
    </w:p>
    <w:p>
      <w:pPr>
        <w:pStyle w:val="Heading2"/>
      </w:pPr>
      <w:r>
        <w:t>The central collaboration problem</w:t>
      </w:r>
    </w:p>
    <w:p>
      <w:pPr>
        <w:spacing w:before="100" w:after="160"/>
        <w:ind w:left="173" w:right="173"/>
        <w:shd w:fill="FFF5D6"/>
      </w:pPr>
      <w:r>
        <w:rPr>
          <w:rFonts w:ascii="Calibri" w:hAnsi="Calibri"/>
          <w:b/>
          <w:color w:val="1F4D78"/>
          <w:sz w:val="21"/>
        </w:rPr>
        <w:t xml:space="preserve">Pattern  </w:t>
      </w:r>
      <w:r>
        <w:rPr>
          <w:rFonts w:ascii="Calibri" w:hAnsi="Calibri"/>
          <w:color w:val="24313A"/>
          <w:sz w:val="21"/>
        </w:rPr>
        <w:t>The conversations are productive but highly iterative at the pixel and wording level. Requirements are often clarified only after implementation—for example, removing a descriptor rather than its value, changing the profile name color for dark mode and later reversing it for light mode, and moving repeatedly between accordion, tabs, cards, and plain text.</w:t>
      </w:r>
    </w:p>
    <w:p>
      <w:r>
        <w:t>This is not a problem with iteration itself. The missing piece is a lightweight decision and acceptance process. Without one, each new instruction is locally correct but can contradict an earlier state, invalidate tests, or leave documentation behind.</w:t>
      </w:r>
    </w:p>
    <w:p>
      <w:r>
        <w:br w:type="page"/>
      </w:r>
    </w:p>
    <w:p>
      <w:pPr>
        <w:pStyle w:val="Heading1"/>
      </w:pPr>
      <w:r>
        <w:t>6. Corrections to make when working with Codex</w:t>
      </w:r>
    </w:p>
    <w:p>
      <w:pPr>
        <w:pStyle w:val="Heading2"/>
      </w:pPr>
      <w:r>
        <w:t>A. Start every task with a mode</w:t>
      </w:r>
    </w:p>
    <w:p>
      <w:pPr>
        <w:pStyle w:val="ListBullet"/>
      </w:pPr>
      <w:r>
        <w:t>Plan only: inspect and propose; do not change files.</w:t>
      </w:r>
    </w:p>
    <w:p>
      <w:pPr>
        <w:pStyle w:val="ListBullet"/>
      </w:pPr>
      <w:r>
        <w:t>Implement: make the agreed change, run the full relevant checks, and report the result.</w:t>
      </w:r>
    </w:p>
    <w:p>
      <w:pPr>
        <w:pStyle w:val="ListBullet"/>
      </w:pPr>
      <w:r>
        <w:t>Review only: diagnose and prioritize; do not fix unless explicitly asked.</w:t>
      </w:r>
    </w:p>
    <w:p>
      <w:pPr>
        <w:pStyle w:val="Heading2"/>
      </w:pPr>
      <w:r>
        <w:t>B. Describe the outcome, not only the edit</w:t>
      </w:r>
    </w:p>
    <w:p>
      <w:pPr>
        <w:pStyle w:val="ListBullet"/>
      </w:pPr>
      <w:r>
        <w:t>State the user outcome: “On mobile, hide the Party/Age/Profession labels but keep their values.”</w:t>
      </w:r>
    </w:p>
    <w:p>
      <w:pPr>
        <w:pStyle w:val="ListBullet"/>
      </w:pPr>
      <w:r>
        <w:t>Name the exact scope: page, section, component, data field, and breakpoint.</w:t>
      </w:r>
    </w:p>
    <w:p>
      <w:pPr>
        <w:pStyle w:val="ListBullet"/>
      </w:pPr>
      <w:r>
        <w:t>Specify what must remain unchanged: size, order, behavior, route, theme tokens, or data mapping.</w:t>
      </w:r>
    </w:p>
    <w:p>
      <w:pPr>
        <w:pStyle w:val="ListBullet"/>
      </w:pPr>
      <w:r>
        <w:t>Say whether the attached HTML/image is a strict reference, a layout reference, or only inspiration.</w:t>
      </w:r>
    </w:p>
    <w:p>
      <w:pPr>
        <w:pStyle w:val="Heading2"/>
      </w:pPr>
      <w:r>
        <w:t>C. Batch visual feedback</w:t>
      </w:r>
    </w:p>
    <w:p>
      <w:pPr>
        <w:pStyle w:val="ListBullet"/>
      </w:pPr>
      <w:r>
        <w:t>Collect several related observations into one numbered message instead of sending one small change at a time.</w:t>
      </w:r>
    </w:p>
    <w:p>
      <w:pPr>
        <w:pStyle w:val="ListBullet"/>
      </w:pPr>
      <w:r>
        <w:t>After three visual iterations, provide a screenshot with annotations or ask Codex to pause and restate the current design decisions.</w:t>
      </w:r>
    </w:p>
    <w:p>
      <w:pPr>
        <w:pStyle w:val="ListBullet"/>
      </w:pPr>
      <w:r>
        <w:t>For every UI change, name the expected desktop, tablet, mobile, light, and dark behavior—or explicitly say which states are out of scope.</w:t>
      </w:r>
    </w:p>
    <w:p>
      <w:pPr>
        <w:pStyle w:val="Heading2"/>
      </w:pPr>
      <w:r>
        <w:t>D. Establish a source of truth</w:t>
      </w:r>
    </w:p>
    <w:p>
      <w:pPr>
        <w:pStyle w:val="ListBullet"/>
      </w:pPr>
      <w:r>
        <w:t>For data work, name the exact file and fields that are authoritative.</w:t>
      </w:r>
    </w:p>
    <w:p>
      <w:pPr>
        <w:pStyle w:val="ListBullet"/>
      </w:pPr>
      <w:r>
        <w:t>For design work, choose whether public/design-system.html or src/theme is authoritative. The other should be generated, synchronized, or clearly labeled experimental.</w:t>
      </w:r>
    </w:p>
    <w:p>
      <w:pPr>
        <w:pStyle w:val="ListBullet"/>
      </w:pPr>
      <w:r>
        <w:t>For feature work, request an update to the route registry, tests, docs/TODO, and acceptance checklist in the same task.</w:t>
      </w:r>
    </w:p>
    <w:p>
      <w:pPr>
        <w:pStyle w:val="Heading2"/>
      </w:pPr>
      <w:r>
        <w:t>E. Require the right verification</w:t>
      </w:r>
    </w:p>
    <w:p>
      <w:pPr>
        <w:pStyle w:val="ListBullet"/>
      </w:pPr>
      <w:r>
        <w:t>Ask for “full relevant verification,” not only typecheck. For normal UI work this should include typecheck, targeted tests, lint on changed files, build, and a visual check when available.</w:t>
      </w:r>
    </w:p>
    <w:p>
      <w:pPr>
        <w:pStyle w:val="ListBullet"/>
      </w:pPr>
      <w:r>
        <w:t>Ask Codex to distinguish “code verified” from “visually verified.”</w:t>
      </w:r>
    </w:p>
    <w:p>
      <w:pPr>
        <w:pStyle w:val="ListBullet"/>
      </w:pPr>
      <w:r>
        <w:t>Do not accept a new feature as finished while the repository-wide test/lint status is unknown or newly degraded.</w:t>
      </w:r>
    </w:p>
    <w:p>
      <w:r>
        <w:br w:type="page"/>
      </w:r>
    </w:p>
    <w:p>
      <w:pPr>
        <w:pStyle w:val="Heading1"/>
      </w:pPr>
      <w:r>
        <w:t>7. A shared working agreement</w:t>
      </w:r>
    </w:p>
    <w:tbl>
      <w:tblPr>
        <w:tblStyle w:val="TableGrid"/>
        <w:tblW w:type="dxa" w:w="9360"/>
        <w:jc w:val="left"/>
        <w:tblLayout w:type="fixed"/>
        <w:tblLook w:firstColumn="1" w:firstRow="1" w:lastColumn="0" w:lastRow="0" w:noHBand="0" w:noVBand="1" w:val="04A0"/>
        <w:tblInd w:w="120" w:type="dxa"/>
      </w:tblPr>
      <w:tblGrid>
        <w:gridCol w:w="4320"/>
        <w:gridCol w:w="5040"/>
      </w:tblGrid>
      <w:tr>
        <w:trPr>
          <w:tblHeader w:val="true"/>
        </w:trPr>
        <w:tc>
          <w:tcPr>
            <w:tcW w:type="dxa" w:w="4320"/>
            <w:vAlign w:val="center"/>
            <w:tcMar>
              <w:top w:w="100" w:type="dxa"/>
              <w:start w:w="120" w:type="dxa"/>
              <w:bottom w:w="100" w:type="dxa"/>
              <w:end w:w="120" w:type="dxa"/>
            </w:tcMar>
            <w:shd w:fill="F2F4F7"/>
          </w:tcPr>
          <w:p>
            <w:pPr>
              <w:spacing w:after="0"/>
            </w:pPr>
            <w:r>
              <w:rPr>
                <w:rFonts w:ascii="Calibri" w:hAnsi="Calibri"/>
                <w:b/>
                <w:color w:val="1F4D78"/>
                <w:sz w:val="18"/>
              </w:rPr>
              <w:t>You provide</w:t>
            </w:r>
          </w:p>
        </w:tc>
        <w:tc>
          <w:tcPr>
            <w:tcW w:type="dxa" w:w="5040"/>
            <w:vAlign w:val="center"/>
            <w:tcMar>
              <w:top w:w="100" w:type="dxa"/>
              <w:start w:w="120" w:type="dxa"/>
              <w:bottom w:w="100" w:type="dxa"/>
              <w:end w:w="120" w:type="dxa"/>
            </w:tcMar>
            <w:shd w:fill="F2F4F7"/>
          </w:tcPr>
          <w:p>
            <w:pPr>
              <w:spacing w:after="0"/>
            </w:pPr>
            <w:r>
              <w:rPr>
                <w:rFonts w:ascii="Calibri" w:hAnsi="Calibri"/>
                <w:b/>
                <w:color w:val="1F4D78"/>
                <w:sz w:val="18"/>
              </w:rPr>
              <w:t>Codex should do</w:t>
            </w:r>
          </w:p>
        </w:tc>
      </w:tr>
      <w:tr>
        <w:tc>
          <w:tcPr>
            <w:tcW w:type="dxa" w:w="4320"/>
          </w:tcPr>
          <w:p>
            <w:pPr>
              <w:spacing w:after="0"/>
            </w:pPr>
            <w:r>
              <w:rPr>
                <w:rFonts w:ascii="Calibri" w:hAnsi="Calibri"/>
                <w:color w:val="24313A"/>
                <w:sz w:val="18"/>
              </w:rPr>
              <w:t>Goal, task mode, source of truth, and acceptance criteria</w:t>
            </w:r>
          </w:p>
        </w:tc>
        <w:tc>
          <w:tcPr>
            <w:tcW w:type="dxa" w:w="5040"/>
          </w:tcPr>
          <w:p>
            <w:pPr>
              <w:spacing w:after="0"/>
            </w:pPr>
            <w:r>
              <w:rPr>
                <w:rFonts w:ascii="Calibri" w:hAnsi="Calibri"/>
                <w:color w:val="24313A"/>
                <w:sz w:val="18"/>
              </w:rPr>
              <w:t>Restate the interpreted outcome and call out conflicts before editing</w:t>
            </w:r>
          </w:p>
        </w:tc>
      </w:tr>
      <w:tr>
        <w:tc>
          <w:tcPr>
            <w:tcW w:type="dxa" w:w="4320"/>
          </w:tcPr>
          <w:p>
            <w:pPr>
              <w:spacing w:after="0"/>
            </w:pPr>
            <w:r>
              <w:rPr>
                <w:rFonts w:ascii="Calibri" w:hAnsi="Calibri"/>
                <w:color w:val="24313A"/>
                <w:sz w:val="18"/>
              </w:rPr>
              <w:t>A batched list of visual/content changes</w:t>
            </w:r>
          </w:p>
        </w:tc>
        <w:tc>
          <w:tcPr>
            <w:tcW w:type="dxa" w:w="5040"/>
          </w:tcPr>
          <w:p>
            <w:pPr>
              <w:spacing w:after="0"/>
            </w:pPr>
            <w:r>
              <w:rPr>
                <w:rFonts w:ascii="Calibri" w:hAnsi="Calibri"/>
                <w:color w:val="24313A"/>
                <w:sz w:val="18"/>
              </w:rPr>
              <w:t>Implement as one coherent change and preserve unrelated behavior</w:t>
            </w:r>
          </w:p>
        </w:tc>
      </w:tr>
      <w:tr>
        <w:tc>
          <w:tcPr>
            <w:tcW w:type="dxa" w:w="4320"/>
          </w:tcPr>
          <w:p>
            <w:pPr>
              <w:spacing w:after="0"/>
            </w:pPr>
            <w:r>
              <w:rPr>
                <w:rFonts w:ascii="Calibri" w:hAnsi="Calibri"/>
                <w:color w:val="24313A"/>
                <w:sz w:val="18"/>
              </w:rPr>
              <w:t>Explicit responsive and theme expectations</w:t>
            </w:r>
          </w:p>
        </w:tc>
        <w:tc>
          <w:tcPr>
            <w:tcW w:type="dxa" w:w="5040"/>
          </w:tcPr>
          <w:p>
            <w:pPr>
              <w:spacing w:after="0"/>
            </w:pPr>
            <w:r>
              <w:rPr>
                <w:rFonts w:ascii="Calibri" w:hAnsi="Calibri"/>
                <w:color w:val="24313A"/>
                <w:sz w:val="18"/>
              </w:rPr>
              <w:t>Verify each named state and note any state that could not be inspected</w:t>
            </w:r>
          </w:p>
        </w:tc>
      </w:tr>
      <w:tr>
        <w:tc>
          <w:tcPr>
            <w:tcW w:type="dxa" w:w="4320"/>
          </w:tcPr>
          <w:p>
            <w:pPr>
              <w:spacing w:after="0"/>
            </w:pPr>
            <w:r>
              <w:rPr>
                <w:rFonts w:ascii="Calibri" w:hAnsi="Calibri"/>
                <w:color w:val="24313A"/>
                <w:sz w:val="18"/>
              </w:rPr>
              <w:t>Clear permission: plan, diagnose, or implement</w:t>
            </w:r>
          </w:p>
        </w:tc>
        <w:tc>
          <w:tcPr>
            <w:tcW w:type="dxa" w:w="5040"/>
          </w:tcPr>
          <w:p>
            <w:pPr>
              <w:spacing w:after="0"/>
            </w:pPr>
            <w:r>
              <w:rPr>
                <w:rFonts w:ascii="Calibri" w:hAnsi="Calibri"/>
                <w:color w:val="24313A"/>
                <w:sz w:val="18"/>
              </w:rPr>
              <w:t>Stay inside that permission boundary</w:t>
            </w:r>
          </w:p>
        </w:tc>
      </w:tr>
      <w:tr>
        <w:tc>
          <w:tcPr>
            <w:tcW w:type="dxa" w:w="4320"/>
          </w:tcPr>
          <w:p>
            <w:pPr>
              <w:spacing w:after="0"/>
            </w:pPr>
            <w:r>
              <w:rPr>
                <w:rFonts w:ascii="Calibri" w:hAnsi="Calibri"/>
                <w:color w:val="24313A"/>
                <w:sz w:val="18"/>
              </w:rPr>
              <w:t>Definition of done</w:t>
            </w:r>
          </w:p>
        </w:tc>
        <w:tc>
          <w:tcPr>
            <w:tcW w:type="dxa" w:w="5040"/>
          </w:tcPr>
          <w:p>
            <w:pPr>
              <w:spacing w:after="0"/>
            </w:pPr>
            <w:r>
              <w:rPr>
                <w:rFonts w:ascii="Calibri" w:hAnsi="Calibri"/>
                <w:color w:val="24313A"/>
                <w:sz w:val="18"/>
              </w:rPr>
              <w:t>Run proportional checks and report pass/fail honestly</w:t>
            </w:r>
          </w:p>
        </w:tc>
      </w:tr>
      <w:tr>
        <w:tc>
          <w:tcPr>
            <w:tcW w:type="dxa" w:w="4320"/>
          </w:tcPr>
          <w:p>
            <w:pPr>
              <w:spacing w:after="0"/>
            </w:pPr>
            <w:r>
              <w:rPr>
                <w:rFonts w:ascii="Calibri" w:hAnsi="Calibri"/>
                <w:color w:val="24313A"/>
                <w:sz w:val="18"/>
              </w:rPr>
              <w:t>A decision when alternatives materially change the product</w:t>
            </w:r>
          </w:p>
        </w:tc>
        <w:tc>
          <w:tcPr>
            <w:tcW w:type="dxa" w:w="5040"/>
          </w:tcPr>
          <w:p>
            <w:pPr>
              <w:spacing w:after="0"/>
            </w:pPr>
            <w:r>
              <w:rPr>
                <w:rFonts w:ascii="Calibri" w:hAnsi="Calibri"/>
                <w:color w:val="24313A"/>
                <w:sz w:val="18"/>
              </w:rPr>
              <w:t>Offer a small number of concrete options instead of silently choosing</w:t>
            </w:r>
          </w:p>
        </w:tc>
      </w:tr>
    </w:tbl>
    <w:p>
      <w:pPr>
        <w:spacing w:after="0"/>
      </w:pPr>
    </w:p>
    <w:p>
      <w:pPr>
        <w:pStyle w:val="Heading2"/>
      </w:pPr>
      <w:r>
        <w:t>Corrections Codex should make too</w:t>
      </w:r>
    </w:p>
    <w:p>
      <w:pPr>
        <w:pStyle w:val="ListBullet"/>
      </w:pPr>
      <w:r>
        <w:t>Periodically run repository-wide tests and lint instead of relying on repeated typecheck-only validation.</w:t>
      </w:r>
    </w:p>
    <w:p>
      <w:pPr>
        <w:pStyle w:val="ListBullet"/>
      </w:pPr>
      <w:r>
        <w:t>Treat the archived app as out of scope for active tooling unless explicitly reviewing it.</w:t>
      </w:r>
    </w:p>
    <w:p>
      <w:pPr>
        <w:pStyle w:val="ListBullet"/>
      </w:pPr>
      <w:r>
        <w:t>Update documentation and tests when architecture or fixtures change.</w:t>
      </w:r>
    </w:p>
    <w:p>
      <w:pPr>
        <w:pStyle w:val="ListBullet"/>
      </w:pPr>
      <w:r>
        <w:t>Surface bundle warnings, data-contract drift, and contradictory requirements early.</w:t>
      </w:r>
    </w:p>
    <w:p>
      <w:pPr>
        <w:pStyle w:val="ListBullet"/>
      </w:pPr>
      <w:r>
        <w:t>Use browser/visual verification when available and clearly disclose when it is not.</w:t>
      </w:r>
    </w:p>
    <w:p>
      <w:pPr>
        <w:pStyle w:val="ListBullet"/>
      </w:pPr>
      <w:r>
        <w:t>Reduce progress chatter for very small edits while still explaining meaningful assumptions and blockers.</w:t>
      </w:r>
    </w:p>
    <w:p>
      <w:r>
        <w:br w:type="page"/>
      </w:r>
    </w:p>
    <w:p>
      <w:pPr>
        <w:pStyle w:val="Heading1"/>
      </w:pPr>
      <w:r>
        <w:t>8. Reusable prompt template</w:t>
      </w:r>
    </w:p>
    <w:p>
      <w:pPr>
        <w:spacing w:before="100" w:after="160"/>
        <w:ind w:left="173" w:right="173"/>
        <w:shd w:fill="E8EEF5"/>
      </w:pPr>
      <w:r>
        <w:rPr>
          <w:rFonts w:ascii="Calibri" w:hAnsi="Calibri"/>
          <w:b/>
          <w:color w:val="1F4D78"/>
          <w:sz w:val="21"/>
        </w:rPr>
        <w:t xml:space="preserve">Use this for future feature work  </w:t>
      </w:r>
      <w:r>
        <w:rPr>
          <w:rFonts w:ascii="Calibri" w:hAnsi="Calibri"/>
          <w:color w:val="24313A"/>
          <w:sz w:val="21"/>
        </w:rPr>
        <w:t>Copy the structure below and remove any line that does not apply.</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vAlign w:val="center"/>
            <w:tcMar>
              <w:top w:w="100" w:type="dxa"/>
              <w:start w:w="120" w:type="dxa"/>
              <w:bottom w:w="100" w:type="dxa"/>
              <w:end w:w="120" w:type="dxa"/>
            </w:tcMar>
            <w:shd w:fill="E8EEF5"/>
          </w:tcPr>
          <w:p>
            <w:pPr>
              <w:spacing w:after="0"/>
            </w:pPr>
            <w:r>
              <w:rPr>
                <w:rFonts w:ascii="Calibri" w:hAnsi="Calibri"/>
                <w:b/>
                <w:color w:val="1F4D78"/>
                <w:sz w:val="18"/>
              </w:rPr>
              <w:t>Field</w:t>
            </w:r>
          </w:p>
        </w:tc>
        <w:tc>
          <w:tcPr>
            <w:tcW w:type="dxa" w:w="7272"/>
            <w:vAlign w:val="center"/>
            <w:tcMar>
              <w:top w:w="100" w:type="dxa"/>
              <w:start w:w="120" w:type="dxa"/>
              <w:bottom w:w="100" w:type="dxa"/>
              <w:end w:w="120" w:type="dxa"/>
            </w:tcMar>
            <w:shd w:fill="E8EEF5"/>
          </w:tcPr>
          <w:p>
            <w:pPr>
              <w:spacing w:after="0"/>
            </w:pPr>
            <w:r>
              <w:rPr>
                <w:rFonts w:ascii="Calibri" w:hAnsi="Calibri"/>
                <w:b/>
                <w:color w:val="1F4D78"/>
                <w:sz w:val="18"/>
              </w:rPr>
              <w:t>What to write</w:t>
            </w:r>
          </w:p>
        </w:tc>
      </w:tr>
      <w:tr>
        <w:tc>
          <w:tcPr>
            <w:tcW w:type="dxa" w:w="2088"/>
          </w:tcPr>
          <w:p>
            <w:pPr>
              <w:spacing w:after="0"/>
            </w:pPr>
            <w:r>
              <w:rPr>
                <w:rFonts w:ascii="Calibri" w:hAnsi="Calibri"/>
                <w:color w:val="24313A"/>
                <w:sz w:val="18"/>
              </w:rPr>
              <w:t>Task mode</w:t>
            </w:r>
          </w:p>
        </w:tc>
        <w:tc>
          <w:tcPr>
            <w:tcW w:type="dxa" w:w="7272"/>
          </w:tcPr>
          <w:p>
            <w:pPr>
              <w:spacing w:after="0"/>
            </w:pPr>
            <w:r>
              <w:rPr>
                <w:rFonts w:ascii="Calibri" w:hAnsi="Calibri"/>
                <w:color w:val="24313A"/>
                <w:sz w:val="18"/>
              </w:rPr>
              <w:t>Plan only / Implement / Review only</w:t>
            </w:r>
          </w:p>
        </w:tc>
      </w:tr>
      <w:tr>
        <w:tc>
          <w:tcPr>
            <w:tcW w:type="dxa" w:w="2088"/>
          </w:tcPr>
          <w:p>
            <w:pPr>
              <w:spacing w:after="0"/>
            </w:pPr>
            <w:r>
              <w:rPr>
                <w:rFonts w:ascii="Calibri" w:hAnsi="Calibri"/>
                <w:color w:val="24313A"/>
                <w:sz w:val="18"/>
              </w:rPr>
              <w:t>Goal</w:t>
            </w:r>
          </w:p>
        </w:tc>
        <w:tc>
          <w:tcPr>
            <w:tcW w:type="dxa" w:w="7272"/>
          </w:tcPr>
          <w:p>
            <w:pPr>
              <w:spacing w:after="0"/>
            </w:pPr>
            <w:r>
              <w:rPr>
                <w:rFonts w:ascii="Calibri" w:hAnsi="Calibri"/>
                <w:color w:val="24313A"/>
                <w:sz w:val="18"/>
              </w:rPr>
              <w:t>What should the user be able to do when this is finished?</w:t>
            </w:r>
          </w:p>
        </w:tc>
      </w:tr>
      <w:tr>
        <w:tc>
          <w:tcPr>
            <w:tcW w:type="dxa" w:w="2088"/>
          </w:tcPr>
          <w:p>
            <w:pPr>
              <w:spacing w:after="0"/>
            </w:pPr>
            <w:r>
              <w:rPr>
                <w:rFonts w:ascii="Calibri" w:hAnsi="Calibri"/>
                <w:color w:val="24313A"/>
                <w:sz w:val="18"/>
              </w:rPr>
              <w:t>Scope</w:t>
            </w:r>
          </w:p>
        </w:tc>
        <w:tc>
          <w:tcPr>
            <w:tcW w:type="dxa" w:w="7272"/>
          </w:tcPr>
          <w:p>
            <w:pPr>
              <w:spacing w:after="0"/>
            </w:pPr>
            <w:r>
              <w:rPr>
                <w:rFonts w:ascii="Calibri" w:hAnsi="Calibri"/>
                <w:color w:val="24313A"/>
                <w:sz w:val="18"/>
              </w:rPr>
              <w:t>Exact route, component, files, and data fields in scope.</w:t>
            </w:r>
          </w:p>
        </w:tc>
      </w:tr>
      <w:tr>
        <w:tc>
          <w:tcPr>
            <w:tcW w:type="dxa" w:w="2088"/>
          </w:tcPr>
          <w:p>
            <w:pPr>
              <w:spacing w:after="0"/>
            </w:pPr>
            <w:r>
              <w:rPr>
                <w:rFonts w:ascii="Calibri" w:hAnsi="Calibri"/>
                <w:color w:val="24313A"/>
                <w:sz w:val="18"/>
              </w:rPr>
              <w:t>Source of truth</w:t>
            </w:r>
          </w:p>
        </w:tc>
        <w:tc>
          <w:tcPr>
            <w:tcW w:type="dxa" w:w="7272"/>
          </w:tcPr>
          <w:p>
            <w:pPr>
              <w:spacing w:after="0"/>
            </w:pPr>
            <w:r>
              <w:rPr>
                <w:rFonts w:ascii="Calibri" w:hAnsi="Calibri"/>
                <w:color w:val="24313A"/>
                <w:sz w:val="18"/>
              </w:rPr>
              <w:t>Attachment, CSV/JSON, design-system file, screenshot, or existing component.</w:t>
            </w:r>
          </w:p>
        </w:tc>
      </w:tr>
      <w:tr>
        <w:tc>
          <w:tcPr>
            <w:tcW w:type="dxa" w:w="2088"/>
          </w:tcPr>
          <w:p>
            <w:pPr>
              <w:spacing w:after="0"/>
            </w:pPr>
            <w:r>
              <w:rPr>
                <w:rFonts w:ascii="Calibri" w:hAnsi="Calibri"/>
                <w:color w:val="24313A"/>
                <w:sz w:val="18"/>
              </w:rPr>
              <w:t>Required behavior</w:t>
            </w:r>
          </w:p>
        </w:tc>
        <w:tc>
          <w:tcPr>
            <w:tcW w:type="dxa" w:w="7272"/>
          </w:tcPr>
          <w:p>
            <w:pPr>
              <w:spacing w:after="0"/>
            </w:pPr>
            <w:r>
              <w:rPr>
                <w:rFonts w:ascii="Calibri" w:hAnsi="Calibri"/>
                <w:color w:val="24313A"/>
                <w:sz w:val="18"/>
              </w:rPr>
              <w:t>Numbered list of interactions and content rules.</w:t>
            </w:r>
          </w:p>
        </w:tc>
      </w:tr>
      <w:tr>
        <w:tc>
          <w:tcPr>
            <w:tcW w:type="dxa" w:w="2088"/>
          </w:tcPr>
          <w:p>
            <w:pPr>
              <w:spacing w:after="0"/>
            </w:pPr>
            <w:r>
              <w:rPr>
                <w:rFonts w:ascii="Calibri" w:hAnsi="Calibri"/>
                <w:color w:val="24313A"/>
                <w:sz w:val="18"/>
              </w:rPr>
              <w:t>Responsive states</w:t>
            </w:r>
          </w:p>
        </w:tc>
        <w:tc>
          <w:tcPr>
            <w:tcW w:type="dxa" w:w="7272"/>
          </w:tcPr>
          <w:p>
            <w:pPr>
              <w:spacing w:after="0"/>
            </w:pPr>
            <w:r>
              <w:rPr>
                <w:rFonts w:ascii="Calibri" w:hAnsi="Calibri"/>
                <w:color w:val="24313A"/>
                <w:sz w:val="18"/>
              </w:rPr>
              <w:t>Desktop, tablet, mobile expectations.</w:t>
            </w:r>
          </w:p>
        </w:tc>
      </w:tr>
      <w:tr>
        <w:tc>
          <w:tcPr>
            <w:tcW w:type="dxa" w:w="2088"/>
          </w:tcPr>
          <w:p>
            <w:pPr>
              <w:spacing w:after="0"/>
            </w:pPr>
            <w:r>
              <w:rPr>
                <w:rFonts w:ascii="Calibri" w:hAnsi="Calibri"/>
                <w:color w:val="24313A"/>
                <w:sz w:val="18"/>
              </w:rPr>
              <w:t>Theme states</w:t>
            </w:r>
          </w:p>
        </w:tc>
        <w:tc>
          <w:tcPr>
            <w:tcW w:type="dxa" w:w="7272"/>
          </w:tcPr>
          <w:p>
            <w:pPr>
              <w:spacing w:after="0"/>
            </w:pPr>
            <w:r>
              <w:rPr>
                <w:rFonts w:ascii="Calibri" w:hAnsi="Calibri"/>
                <w:color w:val="24313A"/>
                <w:sz w:val="18"/>
              </w:rPr>
              <w:t>Light and dark expectations.</w:t>
            </w:r>
          </w:p>
        </w:tc>
      </w:tr>
      <w:tr>
        <w:tc>
          <w:tcPr>
            <w:tcW w:type="dxa" w:w="2088"/>
          </w:tcPr>
          <w:p>
            <w:pPr>
              <w:spacing w:after="0"/>
            </w:pPr>
            <w:r>
              <w:rPr>
                <w:rFonts w:ascii="Calibri" w:hAnsi="Calibri"/>
                <w:color w:val="24313A"/>
                <w:sz w:val="18"/>
              </w:rPr>
              <w:t>Keep unchanged</w:t>
            </w:r>
          </w:p>
        </w:tc>
        <w:tc>
          <w:tcPr>
            <w:tcW w:type="dxa" w:w="7272"/>
          </w:tcPr>
          <w:p>
            <w:pPr>
              <w:spacing w:after="0"/>
            </w:pPr>
            <w:r>
              <w:rPr>
                <w:rFonts w:ascii="Calibri" w:hAnsi="Calibri"/>
                <w:color w:val="24313A"/>
                <w:sz w:val="18"/>
              </w:rPr>
              <w:t>Behaviors, sizes, data, or visual elements that must remain.</w:t>
            </w:r>
          </w:p>
        </w:tc>
      </w:tr>
      <w:tr>
        <w:tc>
          <w:tcPr>
            <w:tcW w:type="dxa" w:w="2088"/>
          </w:tcPr>
          <w:p>
            <w:pPr>
              <w:spacing w:after="0"/>
            </w:pPr>
            <w:r>
              <w:rPr>
                <w:rFonts w:ascii="Calibri" w:hAnsi="Calibri"/>
                <w:color w:val="24313A"/>
                <w:sz w:val="18"/>
              </w:rPr>
              <w:t>Non-goals</w:t>
            </w:r>
          </w:p>
        </w:tc>
        <w:tc>
          <w:tcPr>
            <w:tcW w:type="dxa" w:w="7272"/>
          </w:tcPr>
          <w:p>
            <w:pPr>
              <w:spacing w:after="0"/>
            </w:pPr>
            <w:r>
              <w:rPr>
                <w:rFonts w:ascii="Calibri" w:hAnsi="Calibri"/>
                <w:color w:val="24313A"/>
                <w:sz w:val="18"/>
              </w:rPr>
              <w:t>What not to change.</w:t>
            </w:r>
          </w:p>
        </w:tc>
      </w:tr>
      <w:tr>
        <w:tc>
          <w:tcPr>
            <w:tcW w:type="dxa" w:w="2088"/>
          </w:tcPr>
          <w:p>
            <w:pPr>
              <w:spacing w:after="0"/>
            </w:pPr>
            <w:r>
              <w:rPr>
                <w:rFonts w:ascii="Calibri" w:hAnsi="Calibri"/>
                <w:color w:val="24313A"/>
                <w:sz w:val="18"/>
              </w:rPr>
              <w:t>Verification</w:t>
            </w:r>
          </w:p>
        </w:tc>
        <w:tc>
          <w:tcPr>
            <w:tcW w:type="dxa" w:w="7272"/>
          </w:tcPr>
          <w:p>
            <w:pPr>
              <w:spacing w:after="0"/>
            </w:pPr>
            <w:r>
              <w:rPr>
                <w:rFonts w:ascii="Calibri" w:hAnsi="Calibri"/>
                <w:color w:val="24313A"/>
                <w:sz w:val="18"/>
              </w:rPr>
              <w:t>Typecheck, targeted tests, lint, build, browser/visual check.</w:t>
            </w:r>
          </w:p>
        </w:tc>
      </w:tr>
      <w:tr>
        <w:tc>
          <w:tcPr>
            <w:tcW w:type="dxa" w:w="2088"/>
          </w:tcPr>
          <w:p>
            <w:pPr>
              <w:spacing w:after="0"/>
            </w:pPr>
            <w:r>
              <w:rPr>
                <w:rFonts w:ascii="Calibri" w:hAnsi="Calibri"/>
                <w:color w:val="24313A"/>
                <w:sz w:val="18"/>
              </w:rPr>
              <w:t>Definition of done</w:t>
            </w:r>
          </w:p>
        </w:tc>
        <w:tc>
          <w:tcPr>
            <w:tcW w:type="dxa" w:w="7272"/>
          </w:tcPr>
          <w:p>
            <w:pPr>
              <w:spacing w:after="0"/>
            </w:pPr>
            <w:r>
              <w:rPr>
                <w:rFonts w:ascii="Calibri" w:hAnsi="Calibri"/>
                <w:color w:val="24313A"/>
                <w:sz w:val="18"/>
              </w:rPr>
              <w:t>Observable acceptance criteria.</w:t>
            </w:r>
          </w:p>
        </w:tc>
      </w:tr>
    </w:tbl>
    <w:p>
      <w:pPr>
        <w:spacing w:after="0"/>
      </w:pPr>
    </w:p>
    <w:p>
      <w:pPr>
        <w:pStyle w:val="Heading2"/>
      </w:pPr>
      <w:r>
        <w:t>Example</w:t>
      </w:r>
    </w:p>
    <w:p>
      <w:pPr>
        <w:spacing w:before="100" w:after="160"/>
        <w:ind w:left="173" w:right="173"/>
        <w:shd w:fill="F2F4F7"/>
      </w:pPr>
      <w:r>
        <w:rPr>
          <w:rFonts w:ascii="Calibri" w:hAnsi="Calibri"/>
          <w:b/>
          <w:color w:val="1F4D78"/>
          <w:sz w:val="21"/>
        </w:rPr>
        <w:t xml:space="preserve">Prompt  </w:t>
      </w:r>
      <w:r>
        <w:rPr>
          <w:rFonts w:ascii="Calibri" w:hAnsi="Calibri"/>
          <w:color w:val="24313A"/>
          <w:sz w:val="21"/>
        </w:rPr>
        <w:t>Implement. On /profile, update only the hero. On tablet and mobile, hide the labels “Party,” “Age,” and “Profession” but keep their values. Keep candidate name size and image dimensions unchanged. Use src/theme semantic tokens; verify light and dark modes at desktop and mobile widths. Do not change the mapper or data. Run typecheck, the profile tests, lint on changed files, and a visual check. Done means the values remain readable in all four states and existing profile sections are unchanged.</w:t>
      </w:r>
    </w:p>
    <w:p>
      <w:r>
        <w:br w:type="page"/>
      </w:r>
    </w:p>
    <w:p>
      <w:pPr>
        <w:pStyle w:val="Heading1"/>
      </w:pPr>
      <w:r>
        <w:t>9. Suggested next task</w:t>
      </w:r>
    </w:p>
    <w:p>
      <w:pPr>
        <w:spacing w:before="100" w:after="160"/>
        <w:ind w:left="173" w:right="173"/>
        <w:shd w:fill="E8EEF5"/>
      </w:pPr>
      <w:r>
        <w:rPr>
          <w:rFonts w:ascii="Calibri" w:hAnsi="Calibri"/>
          <w:b/>
          <w:color w:val="1F4D78"/>
          <w:sz w:val="21"/>
        </w:rPr>
        <w:t xml:space="preserve">Recommendation  </w:t>
      </w:r>
      <w:r>
        <w:rPr>
          <w:rFonts w:ascii="Calibri" w:hAnsi="Calibri"/>
          <w:color w:val="24313A"/>
          <w:sz w:val="21"/>
        </w:rPr>
        <w:t>Before building another page, run a focused stabilization task: isolate the archive from active tooling, repair the profile tests, make lint green, rewrite README/architecture for the Chakra app, and set a bundle/data-loading plan. This creates a trustworthy baseline without changing the visual product.</w:t>
      </w:r>
    </w:p>
    <w:p>
      <w:pPr>
        <w:pStyle w:val="Heading2"/>
      </w:pPr>
      <w:r>
        <w:t>Acceptance checklist for that task</w:t>
      </w:r>
    </w:p>
    <w:p>
      <w:pPr>
        <w:pStyle w:val="ListBullet"/>
      </w:pPr>
      <w:r>
        <w:t>npm run typecheck passes.</w:t>
      </w:r>
    </w:p>
    <w:p>
      <w:pPr>
        <w:pStyle w:val="ListBullet"/>
      </w:pPr>
      <w:r>
        <w:t>npm run test passes with active tests only.</w:t>
      </w:r>
    </w:p>
    <w:p>
      <w:pPr>
        <w:pStyle w:val="ListBullet"/>
      </w:pPr>
      <w:r>
        <w:t>npm run lint passes with no errors.</w:t>
      </w:r>
    </w:p>
    <w:p>
      <w:pPr>
        <w:pStyle w:val="ListBullet"/>
      </w:pPr>
      <w:r>
        <w:t>npm run build passes and the bundle warning is either fixed or captured with an agreed budget and issue.</w:t>
      </w:r>
    </w:p>
    <w:p>
      <w:pPr>
        <w:pStyle w:val="ListBullet"/>
      </w:pPr>
      <w:r>
        <w:t>README and docs/architecture.md match the active Chakra application.</w:t>
      </w:r>
    </w:p>
    <w:p>
      <w:pPr>
        <w:pStyle w:val="ListBullet"/>
      </w:pPr>
      <w:r>
        <w:t>archive/legacy-react-v1 remains inspectable but does not affect active checks.</w:t>
      </w:r>
    </w:p>
    <w:p>
      <w:pPr>
        <w:pStyle w:val="ListBullet"/>
      </w:pPr>
      <w:r>
        <w:t>No visual behavior changes unless explicitly approved.</w:t>
      </w:r>
    </w:p>
    <w:p>
      <w:pPr>
        <w:pStyle w:val="Heading1"/>
      </w:pPr>
      <w:r>
        <w:t>Appendix: evidence reviewed</w:t>
      </w:r>
    </w:p>
    <w:p>
      <w:pPr>
        <w:pStyle w:val="ListBullet"/>
      </w:pPr>
      <w:r>
        <w:t>Repository structure, tracked files, Git state, active source, package/configuration files, project documentation, and archive boundary.</w:t>
      </w:r>
    </w:p>
    <w:p>
      <w:pPr>
        <w:pStyle w:val="ListBullet"/>
      </w:pPr>
      <w:r>
        <w:t>Commands: npm run typecheck, npm run test, npm run lint, and npm run build.</w:t>
      </w:r>
    </w:p>
    <w:p>
      <w:pPr>
        <w:pStyle w:val="ListBullet"/>
      </w:pPr>
      <w:r>
        <w:t>Repository-linked tasks: design system, Chakra rewrite, profile build/rebuild, theme toggle, TTS research, area overview, contestants summary, and party directory.</w:t>
      </w:r>
    </w:p>
    <w:p>
      <w:pPr>
        <w:pStyle w:val="ListBullet"/>
      </w:pPr>
      <w:r>
        <w:t>Assessment is a point-in-time baseline from 11 July 2026; no source code corrections were made as part of this review.</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81" w:right="1440" w:bottom="1181"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B73"/>
        <w:sz w:val="17"/>
      </w:rPr>
      <w:t xml:space="preserve">Election Info Display | Codebase Review  •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B73"/>
        <w:sz w:val="17"/>
      </w:rPr>
      <w:t xml:space="preserve">Election Info Display | Codebase Review  •  </w:t>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B73"/>
        <w:sz w:val="17"/>
      </w:rPr>
      <w:t xml:space="preserve">Election Info Display | Codebase Review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Pr>
        <w:rFonts w:ascii="Calibri" w:hAnsi="Calibri"/>
        <w:b/>
        <w:color w:val="5F6B73"/>
        <w:sz w:val="17"/>
      </w:rPr>
      <w:t>ENGINEERING BASELINE  |  11 JULY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Pr>
        <w:rFonts w:ascii="Calibri" w:hAnsi="Calibri"/>
        <w:b/>
        <w:color w:val="5F6B73"/>
        <w:sz w:val="17"/>
      </w:rPr>
      <w:t>ENGINEERING BASELINE  |  11 JULY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Pr>
        <w:rFonts w:ascii="Calibri" w:hAnsi="Calibri"/>
        <w:b/>
        <w:color w:val="5F6B73"/>
        <w:sz w:val="17"/>
      </w:rPr>
      <w:t>ENGINEERING BASELINE  |  11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val="0"/>
      <w:color w:val="2431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F6B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