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2E74B5"/>
          <w:sz w:val="19"/>
        </w:rPr>
        <w:t>COMPETITIVE PRODUCT REVIEW</w:t>
      </w:r>
    </w:p>
    <w:p>
      <w:pPr>
        <w:pStyle w:val="Title"/>
      </w:pPr>
      <w:r>
        <w:t>Election Info Display vs MyNeta</w:t>
      </w:r>
    </w:p>
    <w:p>
      <w:pPr>
        <w:pStyle w:val="Subtitle"/>
      </w:pPr>
      <w:r>
        <w:t>Missing pages, missing content, parity boundaries, and a prioritized build roadmap</w:t>
      </w:r>
    </w:p>
    <w:p>
      <w:pPr>
        <w:spacing w:after="40"/>
      </w:pPr>
      <w:r>
        <w:rPr>
          <w:rFonts w:ascii="Calibri" w:hAnsi="Calibri"/>
          <w:b/>
          <w:color w:val="24313A"/>
          <w:sz w:val="20"/>
        </w:rPr>
        <w:t xml:space="preserve">Local product: </w:t>
      </w:r>
      <w:r>
        <w:rPr>
          <w:rFonts w:ascii="Calibri" w:hAnsi="Calibri"/>
          <w:color w:val="5F6B73"/>
          <w:sz w:val="20"/>
        </w:rPr>
        <w:t>/Users/saml16/projects/Election_info_dispaly</w:t>
      </w:r>
    </w:p>
    <w:p>
      <w:pPr>
        <w:spacing w:after="40"/>
      </w:pPr>
      <w:r>
        <w:rPr>
          <w:rFonts w:ascii="Calibri" w:hAnsi="Calibri"/>
          <w:b/>
          <w:color w:val="24313A"/>
          <w:sz w:val="20"/>
        </w:rPr>
        <w:t xml:space="preserve">Reference site: </w:t>
      </w:r>
      <w:r>
        <w:rPr>
          <w:rFonts w:ascii="Calibri" w:hAnsi="Calibri"/>
          <w:color w:val="5F6B73"/>
          <w:sz w:val="20"/>
        </w:rPr>
        <w:t>https://www.myneta.info/</w:t>
      </w:r>
    </w:p>
    <w:p>
      <w:pPr>
        <w:spacing w:after="40"/>
      </w:pPr>
      <w:r>
        <w:rPr>
          <w:rFonts w:ascii="Calibri" w:hAnsi="Calibri"/>
          <w:b/>
          <w:color w:val="24313A"/>
          <w:sz w:val="20"/>
        </w:rPr>
        <w:t xml:space="preserve">Assessment date: </w:t>
      </w:r>
      <w:r>
        <w:rPr>
          <w:rFonts w:ascii="Calibri" w:hAnsi="Calibri"/>
          <w:color w:val="5F6B73"/>
          <w:sz w:val="20"/>
        </w:rPr>
        <w:t>12 July 2026</w:t>
      </w:r>
    </w:p>
    <w:p>
      <w:pPr>
        <w:spacing w:after="40"/>
      </w:pPr>
      <w:r>
        <w:rPr>
          <w:rFonts w:ascii="Calibri" w:hAnsi="Calibri"/>
          <w:b/>
          <w:color w:val="24313A"/>
          <w:sz w:val="20"/>
        </w:rPr>
        <w:t xml:space="preserve">Comparison basis: </w:t>
      </w:r>
      <w:r>
        <w:rPr>
          <w:rFonts w:ascii="Calibri" w:hAnsi="Calibri"/>
          <w:color w:val="5F6B73"/>
          <w:sz w:val="20"/>
        </w:rPr>
        <w:t>Active Chakra application only; archived React code excluded</w:t>
      </w:r>
    </w:p>
    <w:p>
      <w:pPr>
        <w:spacing w:after="40"/>
      </w:pPr>
      <w:r>
        <w:rPr>
          <w:rFonts w:ascii="Calibri" w:hAnsi="Calibri"/>
          <w:b/>
          <w:color w:val="24313A"/>
          <w:sz w:val="20"/>
        </w:rPr>
        <w:t xml:space="preserve">Method: </w:t>
      </w:r>
      <w:r>
        <w:rPr>
          <w:rFonts w:ascii="Calibri" w:hAnsi="Calibri"/>
          <w:color w:val="5F6B73"/>
          <w:sz w:val="20"/>
        </w:rPr>
        <w:t>Local route/code inventory plus live inspection of representative MyNeta page families</w:t>
      </w:r>
    </w:p>
    <w:p>
      <w:pPr>
        <w:pStyle w:val="Heading1"/>
      </w:pPr>
      <w:r>
        <w:t>Executive conclusion</w:t>
      </w:r>
    </w:p>
    <w:p>
      <w:pPr>
        <w:spacing w:before="100" w:after="160"/>
        <w:ind w:left="173" w:right="173"/>
        <w:shd w:fill="E8EEF5"/>
      </w:pPr>
      <w:r>
        <w:rPr>
          <w:rFonts w:ascii="Calibri" w:hAnsi="Calibri"/>
          <w:b/>
          <w:color w:val="1F4D78"/>
          <w:sz w:val="21"/>
        </w:rPr>
        <w:t xml:space="preserve">Bottom line  </w:t>
      </w:r>
      <w:r>
        <w:rPr>
          <w:rFonts w:ascii="Calibri" w:hAnsi="Calibri"/>
          <w:color w:val="24313A"/>
          <w:sz w:val="21"/>
        </w:rPr>
        <w:t>Your app currently demonstrates four MyNeta-adjacent product areas—candidate profile, contestant listing, party directory, and an area overview—but none is yet a complete data-driven public journey. MyNeta’s primary strength is not its page styling; it is the connected archive from election discovery to constituency, list, profile, history, finance, and source evidence.</w:t>
      </w:r>
    </w:p>
    <w:tbl>
      <w:tblPr>
        <w:tblStyle w:val="TableGrid"/>
        <w:tblW w:type="dxa" w:w="9360"/>
        <w:jc w:val="left"/>
        <w:tblLayout w:type="fixed"/>
        <w:tblLook w:firstColumn="1" w:firstRow="1" w:lastColumn="0" w:lastRow="0" w:noHBand="0" w:noVBand="1" w:val="04A0"/>
        <w:tblInd w:w="120" w:type="dxa"/>
      </w:tblPr>
      <w:tblGrid>
        <w:gridCol w:w="3888"/>
        <w:gridCol w:w="5472"/>
      </w:tblGrid>
      <w:tr>
        <w:trPr>
          <w:tblHeader w:val="true"/>
        </w:trPr>
        <w:tc>
          <w:tcPr>
            <w:tcW w:type="dxa" w:w="3888"/>
            <w:vAlign w:val="center"/>
            <w:tcMar>
              <w:top w:w="90" w:type="dxa"/>
              <w:start w:w="110" w:type="dxa"/>
              <w:bottom w:w="90" w:type="dxa"/>
              <w:end w:w="110" w:type="dxa"/>
            </w:tcMar>
            <w:shd w:fill="F2F4F7"/>
          </w:tcPr>
          <w:p>
            <w:pPr>
              <w:spacing w:after="0"/>
            </w:pPr>
            <w:r>
              <w:rPr>
                <w:rFonts w:ascii="Calibri" w:hAnsi="Calibri"/>
                <w:b/>
                <w:color w:val="1F4D78"/>
                <w:sz w:val="18"/>
              </w:rPr>
              <w:t>Measure</w:t>
            </w:r>
          </w:p>
        </w:tc>
        <w:tc>
          <w:tcPr>
            <w:tcW w:type="dxa" w:w="5472"/>
            <w:vAlign w:val="center"/>
            <w:tcMar>
              <w:top w:w="90" w:type="dxa"/>
              <w:start w:w="110" w:type="dxa"/>
              <w:bottom w:w="90" w:type="dxa"/>
              <w:end w:w="110" w:type="dxa"/>
            </w:tcMar>
            <w:shd w:fill="F2F4F7"/>
          </w:tcPr>
          <w:p>
            <w:pPr>
              <w:spacing w:after="0"/>
            </w:pPr>
            <w:r>
              <w:rPr>
                <w:rFonts w:ascii="Calibri" w:hAnsi="Calibri"/>
                <w:b/>
                <w:color w:val="1F4D78"/>
                <w:sz w:val="18"/>
              </w:rPr>
              <w:t>Current assessment</w:t>
            </w:r>
          </w:p>
        </w:tc>
      </w:tr>
      <w:tr>
        <w:tc>
          <w:tcPr>
            <w:tcW w:type="dxa" w:w="3888"/>
          </w:tcPr>
          <w:p>
            <w:pPr>
              <w:spacing w:after="0"/>
            </w:pPr>
            <w:r>
              <w:rPr>
                <w:rFonts w:ascii="Calibri" w:hAnsi="Calibri"/>
                <w:color w:val="24313A"/>
                <w:sz w:val="18"/>
              </w:rPr>
              <w:t>Major MyNeta page families identified</w:t>
            </w:r>
          </w:p>
        </w:tc>
        <w:tc>
          <w:tcPr>
            <w:tcW w:type="dxa" w:w="5472"/>
          </w:tcPr>
          <w:p>
            <w:pPr>
              <w:spacing w:after="0"/>
            </w:pPr>
            <w:r>
              <w:rPr>
                <w:rFonts w:ascii="Calibri" w:hAnsi="Calibri"/>
                <w:color w:val="24313A"/>
                <w:sz w:val="18"/>
              </w:rPr>
              <w:t>16</w:t>
            </w:r>
          </w:p>
        </w:tc>
      </w:tr>
      <w:tr>
        <w:tc>
          <w:tcPr>
            <w:tcW w:type="dxa" w:w="3888"/>
          </w:tcPr>
          <w:p>
            <w:pPr>
              <w:spacing w:after="0"/>
            </w:pPr>
            <w:r>
              <w:rPr>
                <w:rFonts w:ascii="Calibri" w:hAnsi="Calibri"/>
                <w:color w:val="24313A"/>
                <w:sz w:val="18"/>
              </w:rPr>
              <w:t>Present in your active app</w:t>
            </w:r>
          </w:p>
        </w:tc>
        <w:tc>
          <w:tcPr>
            <w:tcW w:type="dxa" w:w="5472"/>
          </w:tcPr>
          <w:p>
            <w:pPr>
              <w:spacing w:after="0"/>
            </w:pPr>
            <w:r>
              <w:rPr>
                <w:rFonts w:ascii="Calibri" w:hAnsi="Calibri"/>
                <w:color w:val="24313A"/>
                <w:sz w:val="18"/>
              </w:rPr>
              <w:t>4 partial implementations</w:t>
            </w:r>
          </w:p>
        </w:tc>
      </w:tr>
      <w:tr>
        <w:tc>
          <w:tcPr>
            <w:tcW w:type="dxa" w:w="3888"/>
          </w:tcPr>
          <w:p>
            <w:pPr>
              <w:spacing w:after="0"/>
            </w:pPr>
            <w:r>
              <w:rPr>
                <w:rFonts w:ascii="Calibri" w:hAnsi="Calibri"/>
                <w:color w:val="24313A"/>
                <w:sz w:val="18"/>
              </w:rPr>
              <w:t>Absent</w:t>
            </w:r>
          </w:p>
        </w:tc>
        <w:tc>
          <w:tcPr>
            <w:tcW w:type="dxa" w:w="5472"/>
          </w:tcPr>
          <w:p>
            <w:pPr>
              <w:spacing w:after="0"/>
            </w:pPr>
            <w:r>
              <w:rPr>
                <w:rFonts w:ascii="Calibri" w:hAnsi="Calibri"/>
                <w:color w:val="24313A"/>
                <w:sz w:val="18"/>
              </w:rPr>
              <w:t>12 page families</w:t>
            </w:r>
          </w:p>
        </w:tc>
      </w:tr>
      <w:tr>
        <w:tc>
          <w:tcPr>
            <w:tcW w:type="dxa" w:w="3888"/>
          </w:tcPr>
          <w:p>
            <w:pPr>
              <w:spacing w:after="0"/>
            </w:pPr>
            <w:r>
              <w:rPr>
                <w:rFonts w:ascii="Calibri" w:hAnsi="Calibri"/>
                <w:color w:val="24313A"/>
                <w:sz w:val="18"/>
              </w:rPr>
              <w:t>Production-complete parity areas</w:t>
            </w:r>
          </w:p>
        </w:tc>
        <w:tc>
          <w:tcPr>
            <w:tcW w:type="dxa" w:w="5472"/>
          </w:tcPr>
          <w:p>
            <w:pPr>
              <w:spacing w:after="0"/>
            </w:pPr>
            <w:r>
              <w:rPr>
                <w:rFonts w:ascii="Calibri" w:hAnsi="Calibri"/>
                <w:color w:val="24313A"/>
                <w:sz w:val="18"/>
              </w:rPr>
              <w:t>0</w:t>
            </w:r>
          </w:p>
        </w:tc>
      </w:tr>
      <w:tr>
        <w:tc>
          <w:tcPr>
            <w:tcW w:type="dxa" w:w="3888"/>
          </w:tcPr>
          <w:p>
            <w:pPr>
              <w:spacing w:after="0"/>
            </w:pPr>
            <w:r>
              <w:rPr>
                <w:rFonts w:ascii="Calibri" w:hAnsi="Calibri"/>
                <w:color w:val="24313A"/>
                <w:sz w:val="18"/>
              </w:rPr>
              <w:t>Recommended immediate focus</w:t>
            </w:r>
          </w:p>
        </w:tc>
        <w:tc>
          <w:tcPr>
            <w:tcW w:type="dxa" w:w="5472"/>
          </w:tcPr>
          <w:p>
            <w:pPr>
              <w:spacing w:after="0"/>
            </w:pPr>
            <w:r>
              <w:rPr>
                <w:rFonts w:ascii="Calibri" w:hAnsi="Calibri"/>
                <w:color w:val="24313A"/>
                <w:sz w:val="18"/>
              </w:rPr>
              <w:t>Election discovery → list → dynamic profile → source trail</w:t>
            </w:r>
          </w:p>
        </w:tc>
      </w:tr>
    </w:tbl>
    <w:p>
      <w:pPr>
        <w:spacing w:after="0"/>
      </w:pPr>
    </w:p>
    <w:p>
      <w:pPr>
        <w:spacing w:before="100" w:after="160"/>
        <w:ind w:left="173" w:right="173"/>
        <w:shd w:fill="FFF5D6"/>
      </w:pPr>
      <w:r>
        <w:rPr>
          <w:rFonts w:ascii="Calibri" w:hAnsi="Calibri"/>
          <w:b/>
          <w:color w:val="1F4D78"/>
          <w:sz w:val="21"/>
        </w:rPr>
        <w:t xml:space="preserve">Do not clone MyNeta literally  </w:t>
      </w:r>
      <w:r>
        <w:rPr>
          <w:rFonts w:ascii="Calibri" w:hAnsi="Calibri"/>
          <w:color w:val="24313A"/>
          <w:sz w:val="21"/>
        </w:rPr>
        <w:t>Use MyNeta as an information-architecture and data-coverage benchmark. Preserve your cleaner visual system, accessibility goals, mobile behavior, and future Indian-language strategy. Build only page families supported by trustworthy data.</w:t>
      </w:r>
    </w:p>
    <w:p>
      <w:r>
        <w:br w:type="page"/>
      </w:r>
    </w:p>
    <w:p>
      <w:pPr>
        <w:pStyle w:val="Heading1"/>
      </w:pPr>
      <w:r>
        <w:t>1. What MyNeta provides as a product</w:t>
      </w:r>
    </w:p>
    <w:p>
      <w:r>
        <w:t>The live site is organized around a hierarchy of election archives and linked evidence, not a single dashboard.</w:t>
      </w:r>
    </w:p>
    <w:tbl>
      <w:tblPr>
        <w:tblStyle w:val="TableGrid"/>
        <w:tblW w:type="dxa" w:w="9360"/>
        <w:jc w:val="left"/>
        <w:tblLayout w:type="fixed"/>
        <w:tblLook w:firstColumn="1" w:firstRow="1" w:lastColumn="0" w:lastRow="0" w:noHBand="0" w:noVBand="1" w:val="04A0"/>
        <w:tblInd w:w="120" w:type="dxa"/>
      </w:tblPr>
      <w:tblGrid>
        <w:gridCol w:w="1440"/>
        <w:gridCol w:w="4320"/>
        <w:gridCol w:w="3600"/>
      </w:tblGrid>
      <w:tr>
        <w:trPr>
          <w:tblHeader w:val="true"/>
        </w:trPr>
        <w:tc>
          <w:tcPr>
            <w:tcW w:type="dxa" w:w="1440"/>
            <w:vAlign w:val="center"/>
            <w:tcMar>
              <w:top w:w="90" w:type="dxa"/>
              <w:start w:w="110" w:type="dxa"/>
              <w:bottom w:w="90" w:type="dxa"/>
              <w:end w:w="110" w:type="dxa"/>
            </w:tcMar>
            <w:shd w:fill="F2F4F7"/>
          </w:tcPr>
          <w:p>
            <w:pPr>
              <w:spacing w:after="0"/>
            </w:pPr>
            <w:r>
              <w:rPr>
                <w:rFonts w:ascii="Calibri" w:hAnsi="Calibri"/>
                <w:b/>
                <w:color w:val="1F4D78"/>
                <w:sz w:val="17"/>
              </w:rPr>
              <w:t>Layer</w:t>
            </w:r>
          </w:p>
        </w:tc>
        <w:tc>
          <w:tcPr>
            <w:tcW w:type="dxa" w:w="4320"/>
            <w:vAlign w:val="center"/>
            <w:tcMar>
              <w:top w:w="90" w:type="dxa"/>
              <w:start w:w="110" w:type="dxa"/>
              <w:bottom w:w="90" w:type="dxa"/>
              <w:end w:w="110" w:type="dxa"/>
            </w:tcMar>
            <w:shd w:fill="F2F4F7"/>
          </w:tcPr>
          <w:p>
            <w:pPr>
              <w:spacing w:after="0"/>
            </w:pPr>
            <w:r>
              <w:rPr>
                <w:rFonts w:ascii="Calibri" w:hAnsi="Calibri"/>
                <w:b/>
                <w:color w:val="1F4D78"/>
                <w:sz w:val="17"/>
              </w:rPr>
              <w:t>Observed MyNeta capability</w:t>
            </w:r>
          </w:p>
        </w:tc>
        <w:tc>
          <w:tcPr>
            <w:tcW w:type="dxa" w:w="3600"/>
            <w:vAlign w:val="center"/>
            <w:tcMar>
              <w:top w:w="90" w:type="dxa"/>
              <w:start w:w="110" w:type="dxa"/>
              <w:bottom w:w="90" w:type="dxa"/>
              <w:end w:w="110" w:type="dxa"/>
            </w:tcMar>
            <w:shd w:fill="F2F4F7"/>
          </w:tcPr>
          <w:p>
            <w:pPr>
              <w:spacing w:after="0"/>
            </w:pPr>
            <w:r>
              <w:rPr>
                <w:rFonts w:ascii="Calibri" w:hAnsi="Calibri"/>
                <w:b/>
                <w:color w:val="1F4D78"/>
                <w:sz w:val="17"/>
              </w:rPr>
              <w:t>Why it matters</w:t>
            </w:r>
          </w:p>
        </w:tc>
      </w:tr>
      <w:tr>
        <w:tc>
          <w:tcPr>
            <w:tcW w:type="dxa" w:w="1440"/>
          </w:tcPr>
          <w:p>
            <w:pPr>
              <w:spacing w:after="0"/>
            </w:pPr>
            <w:r>
              <w:rPr>
                <w:rFonts w:ascii="Calibri" w:hAnsi="Calibri"/>
                <w:color w:val="24313A"/>
                <w:sz w:val="17"/>
              </w:rPr>
              <w:t>Discovery</w:t>
            </w:r>
          </w:p>
        </w:tc>
        <w:tc>
          <w:tcPr>
            <w:tcW w:type="dxa" w:w="4320"/>
          </w:tcPr>
          <w:p>
            <w:pPr>
              <w:spacing w:after="0"/>
            </w:pPr>
            <w:r>
              <w:rPr>
                <w:rFonts w:ascii="Calibri" w:hAnsi="Calibri"/>
                <w:color w:val="24313A"/>
                <w:sz w:val="17"/>
              </w:rPr>
              <w:t>Recent elections, Lok Sabha, assemblies, Rajya Sabha, local bodies</w:t>
            </w:r>
          </w:p>
        </w:tc>
        <w:tc>
          <w:tcPr>
            <w:tcW w:type="dxa" w:w="3600"/>
          </w:tcPr>
          <w:p>
            <w:pPr>
              <w:spacing w:after="0"/>
            </w:pPr>
            <w:r>
              <w:rPr>
                <w:rFonts w:ascii="Calibri" w:hAnsi="Calibri"/>
                <w:color w:val="24313A"/>
                <w:sz w:val="17"/>
              </w:rPr>
              <w:t>Users can enter through the election they care about.</w:t>
            </w:r>
          </w:p>
        </w:tc>
      </w:tr>
      <w:tr>
        <w:tc>
          <w:tcPr>
            <w:tcW w:type="dxa" w:w="1440"/>
          </w:tcPr>
          <w:p>
            <w:pPr>
              <w:spacing w:after="0"/>
            </w:pPr>
            <w:r>
              <w:rPr>
                <w:rFonts w:ascii="Calibri" w:hAnsi="Calibri"/>
                <w:color w:val="24313A"/>
                <w:sz w:val="17"/>
              </w:rPr>
              <w:t>Archive</w:t>
            </w:r>
          </w:p>
        </w:tc>
        <w:tc>
          <w:tcPr>
            <w:tcW w:type="dxa" w:w="4320"/>
          </w:tcPr>
          <w:p>
            <w:pPr>
              <w:spacing w:after="0"/>
            </w:pPr>
            <w:r>
              <w:rPr>
                <w:rFonts w:ascii="Calibri" w:hAnsi="Calibri"/>
                <w:color w:val="24313A"/>
                <w:sz w:val="17"/>
              </w:rPr>
              <w:t>State and election-year history</w:t>
            </w:r>
          </w:p>
        </w:tc>
        <w:tc>
          <w:tcPr>
            <w:tcW w:type="dxa" w:w="3600"/>
          </w:tcPr>
          <w:p>
            <w:pPr>
              <w:spacing w:after="0"/>
            </w:pPr>
            <w:r>
              <w:rPr>
                <w:rFonts w:ascii="Calibri" w:hAnsi="Calibri"/>
                <w:color w:val="24313A"/>
                <w:sz w:val="17"/>
              </w:rPr>
              <w:t>Older records remain discoverable and comparable.</w:t>
            </w:r>
          </w:p>
        </w:tc>
      </w:tr>
      <w:tr>
        <w:tc>
          <w:tcPr>
            <w:tcW w:type="dxa" w:w="1440"/>
          </w:tcPr>
          <w:p>
            <w:pPr>
              <w:spacing w:after="0"/>
            </w:pPr>
            <w:r>
              <w:rPr>
                <w:rFonts w:ascii="Calibri" w:hAnsi="Calibri"/>
                <w:color w:val="24313A"/>
                <w:sz w:val="17"/>
              </w:rPr>
              <w:t>Election</w:t>
            </w:r>
          </w:p>
        </w:tc>
        <w:tc>
          <w:tcPr>
            <w:tcW w:type="dxa" w:w="4320"/>
          </w:tcPr>
          <w:p>
            <w:pPr>
              <w:spacing w:after="0"/>
            </w:pPr>
            <w:r>
              <w:rPr>
                <w:rFonts w:ascii="Calibri" w:hAnsi="Calibri"/>
                <w:color w:val="24313A"/>
                <w:sz w:val="17"/>
              </w:rPr>
              <w:t>Candidate/winner highlights and constituency directory</w:t>
            </w:r>
          </w:p>
        </w:tc>
        <w:tc>
          <w:tcPr>
            <w:tcW w:type="dxa" w:w="3600"/>
          </w:tcPr>
          <w:p>
            <w:pPr>
              <w:spacing w:after="0"/>
            </w:pPr>
            <w:r>
              <w:rPr>
                <w:rFonts w:ascii="Calibri" w:hAnsi="Calibri"/>
                <w:color w:val="24313A"/>
                <w:sz w:val="17"/>
              </w:rPr>
              <w:t>Provides context before opening a list.</w:t>
            </w:r>
          </w:p>
        </w:tc>
      </w:tr>
      <w:tr>
        <w:tc>
          <w:tcPr>
            <w:tcW w:type="dxa" w:w="1440"/>
          </w:tcPr>
          <w:p>
            <w:pPr>
              <w:spacing w:after="0"/>
            </w:pPr>
            <w:r>
              <w:rPr>
                <w:rFonts w:ascii="Calibri" w:hAnsi="Calibri"/>
                <w:color w:val="24313A"/>
                <w:sz w:val="17"/>
              </w:rPr>
              <w:t>Lists</w:t>
            </w:r>
          </w:p>
        </w:tc>
        <w:tc>
          <w:tcPr>
            <w:tcW w:type="dxa" w:w="4320"/>
          </w:tcPr>
          <w:p>
            <w:pPr>
              <w:spacing w:after="0"/>
            </w:pPr>
            <w:r>
              <w:rPr>
                <w:rFonts w:ascii="Calibri" w:hAnsi="Calibri"/>
                <w:color w:val="24313A"/>
                <w:sz w:val="17"/>
              </w:rPr>
              <w:t>All candidates, winners, sortable metrics</w:t>
            </w:r>
          </w:p>
        </w:tc>
        <w:tc>
          <w:tcPr>
            <w:tcW w:type="dxa" w:w="3600"/>
          </w:tcPr>
          <w:p>
            <w:pPr>
              <w:spacing w:after="0"/>
            </w:pPr>
            <w:r>
              <w:rPr>
                <w:rFonts w:ascii="Calibri" w:hAnsi="Calibri"/>
                <w:color w:val="24313A"/>
                <w:sz w:val="17"/>
              </w:rPr>
              <w:t>Supports scanning and ranking.</w:t>
            </w:r>
          </w:p>
        </w:tc>
      </w:tr>
      <w:tr>
        <w:tc>
          <w:tcPr>
            <w:tcW w:type="dxa" w:w="1440"/>
          </w:tcPr>
          <w:p>
            <w:pPr>
              <w:spacing w:after="0"/>
            </w:pPr>
            <w:r>
              <w:rPr>
                <w:rFonts w:ascii="Calibri" w:hAnsi="Calibri"/>
                <w:color w:val="24313A"/>
                <w:sz w:val="17"/>
              </w:rPr>
              <w:t>Candidate</w:t>
            </w:r>
          </w:p>
        </w:tc>
        <w:tc>
          <w:tcPr>
            <w:tcW w:type="dxa" w:w="4320"/>
          </w:tcPr>
          <w:p>
            <w:pPr>
              <w:spacing w:after="0"/>
            </w:pPr>
            <w:r>
              <w:rPr>
                <w:rFonts w:ascii="Calibri" w:hAnsi="Calibri"/>
                <w:color w:val="24313A"/>
                <w:sz w:val="17"/>
              </w:rPr>
              <w:t>Affidavit summary plus legal, financial, tax, income, and source details</w:t>
            </w:r>
          </w:p>
        </w:tc>
        <w:tc>
          <w:tcPr>
            <w:tcW w:type="dxa" w:w="3600"/>
          </w:tcPr>
          <w:p>
            <w:pPr>
              <w:spacing w:after="0"/>
            </w:pPr>
            <w:r>
              <w:rPr>
                <w:rFonts w:ascii="Calibri" w:hAnsi="Calibri"/>
                <w:color w:val="24313A"/>
                <w:sz w:val="17"/>
              </w:rPr>
              <w:t>Creates an auditable evidence trail.</w:t>
            </w:r>
          </w:p>
        </w:tc>
      </w:tr>
      <w:tr>
        <w:tc>
          <w:tcPr>
            <w:tcW w:type="dxa" w:w="1440"/>
          </w:tcPr>
          <w:p>
            <w:pPr>
              <w:spacing w:after="0"/>
            </w:pPr>
            <w:r>
              <w:rPr>
                <w:rFonts w:ascii="Calibri" w:hAnsi="Calibri"/>
                <w:color w:val="24313A"/>
                <w:sz w:val="17"/>
              </w:rPr>
              <w:t>History</w:t>
            </w:r>
          </w:p>
        </w:tc>
        <w:tc>
          <w:tcPr>
            <w:tcW w:type="dxa" w:w="4320"/>
          </w:tcPr>
          <w:p>
            <w:pPr>
              <w:spacing w:after="0"/>
            </w:pPr>
            <w:r>
              <w:rPr>
                <w:rFonts w:ascii="Calibri" w:hAnsi="Calibri"/>
                <w:color w:val="24313A"/>
                <w:sz w:val="17"/>
              </w:rPr>
              <w:t>Other elections and re-contesting asset comparison</w:t>
            </w:r>
          </w:p>
        </w:tc>
        <w:tc>
          <w:tcPr>
            <w:tcW w:type="dxa" w:w="3600"/>
          </w:tcPr>
          <w:p>
            <w:pPr>
              <w:spacing w:after="0"/>
            </w:pPr>
            <w:r>
              <w:rPr>
                <w:rFonts w:ascii="Calibri" w:hAnsi="Calibri"/>
                <w:color w:val="24313A"/>
                <w:sz w:val="17"/>
              </w:rPr>
              <w:t>Shows change over time.</w:t>
            </w:r>
          </w:p>
        </w:tc>
      </w:tr>
      <w:tr>
        <w:tc>
          <w:tcPr>
            <w:tcW w:type="dxa" w:w="1440"/>
          </w:tcPr>
          <w:p>
            <w:pPr>
              <w:spacing w:after="0"/>
            </w:pPr>
            <w:r>
              <w:rPr>
                <w:rFonts w:ascii="Calibri" w:hAnsi="Calibri"/>
                <w:color w:val="24313A"/>
                <w:sz w:val="17"/>
              </w:rPr>
              <w:t>Party finance</w:t>
            </w:r>
          </w:p>
        </w:tc>
        <w:tc>
          <w:tcPr>
            <w:tcW w:type="dxa" w:w="4320"/>
          </w:tcPr>
          <w:p>
            <w:pPr>
              <w:spacing w:after="0"/>
            </w:pPr>
            <w:r>
              <w:rPr>
                <w:rFonts w:ascii="Calibri" w:hAnsi="Calibri"/>
                <w:color w:val="24313A"/>
                <w:sz w:val="17"/>
              </w:rPr>
              <w:t>Party directory, annual financials, donations, donors</w:t>
            </w:r>
          </w:p>
        </w:tc>
        <w:tc>
          <w:tcPr>
            <w:tcW w:type="dxa" w:w="3600"/>
          </w:tcPr>
          <w:p>
            <w:pPr>
              <w:spacing w:after="0"/>
            </w:pPr>
            <w:r>
              <w:rPr>
                <w:rFonts w:ascii="Calibri" w:hAnsi="Calibri"/>
                <w:color w:val="24313A"/>
                <w:sz w:val="17"/>
              </w:rPr>
              <w:t>Extends beyond candidate affidavits.</w:t>
            </w:r>
          </w:p>
        </w:tc>
      </w:tr>
      <w:tr>
        <w:tc>
          <w:tcPr>
            <w:tcW w:type="dxa" w:w="1440"/>
          </w:tcPr>
          <w:p>
            <w:pPr>
              <w:spacing w:after="0"/>
            </w:pPr>
            <w:r>
              <w:rPr>
                <w:rFonts w:ascii="Calibri" w:hAnsi="Calibri"/>
                <w:color w:val="24313A"/>
                <w:sz w:val="17"/>
              </w:rPr>
              <w:t>Special datasets</w:t>
            </w:r>
          </w:p>
        </w:tc>
        <w:tc>
          <w:tcPr>
            <w:tcW w:type="dxa" w:w="4320"/>
          </w:tcPr>
          <w:p>
            <w:pPr>
              <w:spacing w:after="0"/>
            </w:pPr>
            <w:r>
              <w:rPr>
                <w:rFonts w:ascii="Calibri" w:hAnsi="Calibri"/>
                <w:color w:val="24313A"/>
                <w:sz w:val="17"/>
              </w:rPr>
              <w:t>Election expenses, electoral bonds, minister declarations</w:t>
            </w:r>
          </w:p>
        </w:tc>
        <w:tc>
          <w:tcPr>
            <w:tcW w:type="dxa" w:w="3600"/>
          </w:tcPr>
          <w:p>
            <w:pPr>
              <w:spacing w:after="0"/>
            </w:pPr>
            <w:r>
              <w:rPr>
                <w:rFonts w:ascii="Calibri" w:hAnsi="Calibri"/>
                <w:color w:val="24313A"/>
                <w:sz w:val="17"/>
              </w:rPr>
              <w:t>Adds public-interest investigations.</w:t>
            </w:r>
          </w:p>
        </w:tc>
      </w:tr>
    </w:tbl>
    <w:p>
      <w:pPr>
        <w:spacing w:after="0"/>
      </w:pPr>
    </w:p>
    <w:p>
      <w:pPr>
        <w:pStyle w:val="Heading2"/>
      </w:pPr>
      <w:r>
        <w:t>Your active product today</w:t>
      </w:r>
    </w:p>
    <w:p>
      <w:pPr>
        <w:pStyle w:val="ListBullet"/>
      </w:pPr>
      <w:r>
        <w:t>Seven active routes exist: page directory, theme preview, area overview, candidate profile, contestants summary, party directory, and local TTS.</w:t>
      </w:r>
    </w:p>
    <w:p>
      <w:pPr>
        <w:pStyle w:val="ListBullet"/>
      </w:pPr>
      <w:r>
        <w:t>Only the profile, contestants, party, and area routes overlap MyNeta’s public information architecture.</w:t>
      </w:r>
    </w:p>
    <w:p>
      <w:pPr>
        <w:pStyle w:val="ListBullet"/>
      </w:pPr>
      <w:r>
        <w:t>The root route is still an internal page launcher; Theme Preview and TTS are experiments rather than core election-navigation pages.</w:t>
      </w:r>
    </w:p>
    <w:p>
      <w:pPr>
        <w:pStyle w:val="ListBullet"/>
      </w:pPr>
      <w:r>
        <w:t>The app is driven mostly by embedded fixtures and one Telangana 2023 dataset, not by a multi-election archive.</w:t>
      </w:r>
    </w:p>
    <w:p>
      <w:r>
        <w:br w:type="page"/>
      </w:r>
    </w:p>
    <w:p>
      <w:pPr>
        <w:pStyle w:val="Heading1"/>
      </w:pPr>
      <w:r>
        <w:t>2. Missing page-family matrix</w:t>
      </w:r>
    </w:p>
    <w:tbl>
      <w:tblPr>
        <w:tblStyle w:val="TableGrid"/>
        <w:tblW w:type="dxa" w:w="9360"/>
        <w:jc w:val="left"/>
        <w:tblLayout w:type="fixed"/>
        <w:tblLook w:firstColumn="1" w:firstRow="1" w:lastColumn="0" w:lastRow="0" w:noHBand="0" w:noVBand="1" w:val="04A0"/>
        <w:tblInd w:w="120" w:type="dxa"/>
      </w:tblPr>
      <w:tblGrid>
        <w:gridCol w:w="504"/>
        <w:gridCol w:w="2232"/>
        <w:gridCol w:w="1296"/>
        <w:gridCol w:w="792"/>
        <w:gridCol w:w="4536"/>
      </w:tblGrid>
      <w:tr>
        <w:trPr>
          <w:tblHeader w:val="true"/>
        </w:trPr>
        <w:tc>
          <w:tcPr>
            <w:tcW w:type="dxa" w:w="504"/>
            <w:vAlign w:val="center"/>
            <w:tcMar>
              <w:top w:w="90" w:type="dxa"/>
              <w:start w:w="110" w:type="dxa"/>
              <w:bottom w:w="90" w:type="dxa"/>
              <w:end w:w="110" w:type="dxa"/>
            </w:tcMar>
            <w:shd w:fill="F2F4F7"/>
          </w:tcPr>
          <w:p>
            <w:pPr>
              <w:spacing w:after="0"/>
            </w:pPr>
            <w:r>
              <w:rPr>
                <w:rFonts w:ascii="Calibri" w:hAnsi="Calibri"/>
                <w:b/>
                <w:color w:val="1F4D78"/>
                <w:sz w:val="15"/>
              </w:rPr>
              <w:t>#</w:t>
            </w:r>
          </w:p>
        </w:tc>
        <w:tc>
          <w:tcPr>
            <w:tcW w:type="dxa" w:w="2232"/>
            <w:vAlign w:val="center"/>
            <w:tcMar>
              <w:top w:w="90" w:type="dxa"/>
              <w:start w:w="110" w:type="dxa"/>
              <w:bottom w:w="90" w:type="dxa"/>
              <w:end w:w="110" w:type="dxa"/>
            </w:tcMar>
            <w:shd w:fill="F2F4F7"/>
          </w:tcPr>
          <w:p>
            <w:pPr>
              <w:spacing w:after="0"/>
            </w:pPr>
            <w:r>
              <w:rPr>
                <w:rFonts w:ascii="Calibri" w:hAnsi="Calibri"/>
                <w:b/>
                <w:color w:val="1F4D78"/>
                <w:sz w:val="15"/>
              </w:rPr>
              <w:t>Page family</w:t>
            </w:r>
          </w:p>
        </w:tc>
        <w:tc>
          <w:tcPr>
            <w:tcW w:type="dxa" w:w="1296"/>
            <w:vAlign w:val="center"/>
            <w:tcMar>
              <w:top w:w="90" w:type="dxa"/>
              <w:start w:w="110" w:type="dxa"/>
              <w:bottom w:w="90" w:type="dxa"/>
              <w:end w:w="110" w:type="dxa"/>
            </w:tcMar>
            <w:shd w:fill="F2F4F7"/>
          </w:tcPr>
          <w:p>
            <w:pPr>
              <w:spacing w:after="0"/>
            </w:pPr>
            <w:r>
              <w:rPr>
                <w:rFonts w:ascii="Calibri" w:hAnsi="Calibri"/>
                <w:b/>
                <w:color w:val="1F4D78"/>
                <w:sz w:val="15"/>
              </w:rPr>
              <w:t>Local state</w:t>
            </w:r>
          </w:p>
        </w:tc>
        <w:tc>
          <w:tcPr>
            <w:tcW w:type="dxa" w:w="792"/>
            <w:vAlign w:val="center"/>
            <w:tcMar>
              <w:top w:w="90" w:type="dxa"/>
              <w:start w:w="110" w:type="dxa"/>
              <w:bottom w:w="90" w:type="dxa"/>
              <w:end w:w="110" w:type="dxa"/>
            </w:tcMar>
            <w:shd w:fill="F2F4F7"/>
          </w:tcPr>
          <w:p>
            <w:pPr>
              <w:spacing w:after="0"/>
            </w:pPr>
            <w:r>
              <w:rPr>
                <w:rFonts w:ascii="Calibri" w:hAnsi="Calibri"/>
                <w:b/>
                <w:color w:val="1F4D78"/>
                <w:sz w:val="15"/>
              </w:rPr>
              <w:t>Priority</w:t>
            </w:r>
          </w:p>
        </w:tc>
        <w:tc>
          <w:tcPr>
            <w:tcW w:type="dxa" w:w="4536"/>
            <w:vAlign w:val="center"/>
            <w:tcMar>
              <w:top w:w="90" w:type="dxa"/>
              <w:start w:w="110" w:type="dxa"/>
              <w:bottom w:w="90" w:type="dxa"/>
              <w:end w:w="110" w:type="dxa"/>
            </w:tcMar>
            <w:shd w:fill="F2F4F7"/>
          </w:tcPr>
          <w:p>
            <w:pPr>
              <w:spacing w:after="0"/>
            </w:pPr>
            <w:r>
              <w:rPr>
                <w:rFonts w:ascii="Calibri" w:hAnsi="Calibri"/>
                <w:b/>
                <w:color w:val="1F4D78"/>
                <w:sz w:val="15"/>
              </w:rPr>
              <w:t>Main gap</w:t>
            </w:r>
          </w:p>
        </w:tc>
      </w:tr>
      <w:tr>
        <w:tc>
          <w:tcPr>
            <w:tcW w:type="dxa" w:w="504"/>
          </w:tcPr>
          <w:p>
            <w:pPr>
              <w:spacing w:after="0"/>
            </w:pPr>
            <w:r>
              <w:rPr>
                <w:rFonts w:ascii="Calibri" w:hAnsi="Calibri"/>
                <w:color w:val="24313A"/>
                <w:sz w:val="15"/>
              </w:rPr>
              <w:t>1</w:t>
            </w:r>
          </w:p>
        </w:tc>
        <w:tc>
          <w:tcPr>
            <w:tcW w:type="dxa" w:w="2232"/>
          </w:tcPr>
          <w:p>
            <w:pPr>
              <w:spacing w:after="0"/>
            </w:pPr>
            <w:r>
              <w:rPr>
                <w:rFonts w:ascii="Calibri" w:hAnsi="Calibri"/>
                <w:color w:val="24313A"/>
                <w:sz w:val="15"/>
              </w:rPr>
              <w:t>Public election home</w:t>
            </w:r>
          </w:p>
        </w:tc>
        <w:tc>
          <w:tcPr>
            <w:tcW w:type="dxa" w:w="1296"/>
          </w:tcPr>
          <w:p>
            <w:pPr>
              <w:spacing w:after="0"/>
            </w:pPr>
            <w:r>
              <w:rPr>
                <w:rFonts w:ascii="Calibri" w:hAnsi="Calibri"/>
                <w:color w:val="24313A"/>
                <w:sz w:val="15"/>
              </w:rPr>
              <w:t>Absent</w:t>
            </w:r>
          </w:p>
        </w:tc>
        <w:tc>
          <w:tcPr>
            <w:tcW w:type="dxa" w:w="792"/>
          </w:tcPr>
          <w:p>
            <w:pPr>
              <w:spacing w:after="0"/>
            </w:pPr>
            <w:r>
              <w:rPr>
                <w:rFonts w:ascii="Calibri" w:hAnsi="Calibri"/>
                <w:color w:val="24313A"/>
                <w:sz w:val="15"/>
              </w:rPr>
              <w:t>P0</w:t>
            </w:r>
          </w:p>
        </w:tc>
        <w:tc>
          <w:tcPr>
            <w:tcW w:type="dxa" w:w="4536"/>
          </w:tcPr>
          <w:p>
            <w:pPr>
              <w:spacing w:after="0"/>
            </w:pPr>
            <w:r>
              <w:rPr>
                <w:rFonts w:ascii="Calibri" w:hAnsi="Calibri"/>
                <w:color w:val="24313A"/>
                <w:sz w:val="15"/>
              </w:rPr>
              <w:t>Recent elections, primary election types, browse/search entry points</w:t>
            </w:r>
          </w:p>
        </w:tc>
      </w:tr>
      <w:tr>
        <w:tc>
          <w:tcPr>
            <w:tcW w:type="dxa" w:w="504"/>
          </w:tcPr>
          <w:p>
            <w:pPr>
              <w:spacing w:after="0"/>
            </w:pPr>
            <w:r>
              <w:rPr>
                <w:rFonts w:ascii="Calibri" w:hAnsi="Calibri"/>
                <w:color w:val="24313A"/>
                <w:sz w:val="15"/>
              </w:rPr>
              <w:t>2</w:t>
            </w:r>
          </w:p>
        </w:tc>
        <w:tc>
          <w:tcPr>
            <w:tcW w:type="dxa" w:w="2232"/>
          </w:tcPr>
          <w:p>
            <w:pPr>
              <w:spacing w:after="0"/>
            </w:pPr>
            <w:r>
              <w:rPr>
                <w:rFonts w:ascii="Calibri" w:hAnsi="Calibri"/>
                <w:color w:val="24313A"/>
                <w:sz w:val="15"/>
              </w:rPr>
              <w:t>Election-type archive</w:t>
            </w:r>
          </w:p>
        </w:tc>
        <w:tc>
          <w:tcPr>
            <w:tcW w:type="dxa" w:w="1296"/>
          </w:tcPr>
          <w:p>
            <w:pPr>
              <w:spacing w:after="0"/>
            </w:pPr>
            <w:r>
              <w:rPr>
                <w:rFonts w:ascii="Calibri" w:hAnsi="Calibri"/>
                <w:color w:val="24313A"/>
                <w:sz w:val="15"/>
              </w:rPr>
              <w:t>Absent</w:t>
            </w:r>
          </w:p>
        </w:tc>
        <w:tc>
          <w:tcPr>
            <w:tcW w:type="dxa" w:w="792"/>
          </w:tcPr>
          <w:p>
            <w:pPr>
              <w:spacing w:after="0"/>
            </w:pPr>
            <w:r>
              <w:rPr>
                <w:rFonts w:ascii="Calibri" w:hAnsi="Calibri"/>
                <w:color w:val="24313A"/>
                <w:sz w:val="15"/>
              </w:rPr>
              <w:t>P0</w:t>
            </w:r>
          </w:p>
        </w:tc>
        <w:tc>
          <w:tcPr>
            <w:tcW w:type="dxa" w:w="4536"/>
          </w:tcPr>
          <w:p>
            <w:pPr>
              <w:spacing w:after="0"/>
            </w:pPr>
            <w:r>
              <w:rPr>
                <w:rFonts w:ascii="Calibri" w:hAnsi="Calibri"/>
                <w:color w:val="24313A"/>
                <w:sz w:val="15"/>
              </w:rPr>
              <w:t>Lok Sabha, assembly, Rajya Sabha, local-body archives</w:t>
            </w:r>
          </w:p>
        </w:tc>
      </w:tr>
      <w:tr>
        <w:tc>
          <w:tcPr>
            <w:tcW w:type="dxa" w:w="504"/>
          </w:tcPr>
          <w:p>
            <w:pPr>
              <w:spacing w:after="0"/>
            </w:pPr>
            <w:r>
              <w:rPr>
                <w:rFonts w:ascii="Calibri" w:hAnsi="Calibri"/>
                <w:color w:val="24313A"/>
                <w:sz w:val="15"/>
              </w:rPr>
              <w:t>3</w:t>
            </w:r>
          </w:p>
        </w:tc>
        <w:tc>
          <w:tcPr>
            <w:tcW w:type="dxa" w:w="2232"/>
          </w:tcPr>
          <w:p>
            <w:pPr>
              <w:spacing w:after="0"/>
            </w:pPr>
            <w:r>
              <w:rPr>
                <w:rFonts w:ascii="Calibri" w:hAnsi="Calibri"/>
                <w:color w:val="24313A"/>
                <w:sz w:val="15"/>
              </w:rPr>
              <w:t>State + year archive</w:t>
            </w:r>
          </w:p>
        </w:tc>
        <w:tc>
          <w:tcPr>
            <w:tcW w:type="dxa" w:w="1296"/>
          </w:tcPr>
          <w:p>
            <w:pPr>
              <w:spacing w:after="0"/>
            </w:pPr>
            <w:r>
              <w:rPr>
                <w:rFonts w:ascii="Calibri" w:hAnsi="Calibri"/>
                <w:color w:val="24313A"/>
                <w:sz w:val="15"/>
              </w:rPr>
              <w:t>Absent</w:t>
            </w:r>
          </w:p>
        </w:tc>
        <w:tc>
          <w:tcPr>
            <w:tcW w:type="dxa" w:w="792"/>
          </w:tcPr>
          <w:p>
            <w:pPr>
              <w:spacing w:after="0"/>
            </w:pPr>
            <w:r>
              <w:rPr>
                <w:rFonts w:ascii="Calibri" w:hAnsi="Calibri"/>
                <w:color w:val="24313A"/>
                <w:sz w:val="15"/>
              </w:rPr>
              <w:t>P0</w:t>
            </w:r>
          </w:p>
        </w:tc>
        <w:tc>
          <w:tcPr>
            <w:tcW w:type="dxa" w:w="4536"/>
          </w:tcPr>
          <w:p>
            <w:pPr>
              <w:spacing w:after="0"/>
            </w:pPr>
            <w:r>
              <w:rPr>
                <w:rFonts w:ascii="Calibri" w:hAnsi="Calibri"/>
                <w:color w:val="24313A"/>
                <w:sz w:val="15"/>
              </w:rPr>
              <w:t>Available election years with candidates/winners/re-contesting links</w:t>
            </w:r>
          </w:p>
        </w:tc>
      </w:tr>
      <w:tr>
        <w:tc>
          <w:tcPr>
            <w:tcW w:type="dxa" w:w="504"/>
          </w:tcPr>
          <w:p>
            <w:pPr>
              <w:spacing w:after="0"/>
            </w:pPr>
            <w:r>
              <w:rPr>
                <w:rFonts w:ascii="Calibri" w:hAnsi="Calibri"/>
                <w:color w:val="24313A"/>
                <w:sz w:val="15"/>
              </w:rPr>
              <w:t>4</w:t>
            </w:r>
          </w:p>
        </w:tc>
        <w:tc>
          <w:tcPr>
            <w:tcW w:type="dxa" w:w="2232"/>
          </w:tcPr>
          <w:p>
            <w:pPr>
              <w:spacing w:after="0"/>
            </w:pPr>
            <w:r>
              <w:rPr>
                <w:rFonts w:ascii="Calibri" w:hAnsi="Calibri"/>
                <w:color w:val="24313A"/>
                <w:sz w:val="15"/>
              </w:rPr>
              <w:t>Election summary</w:t>
            </w:r>
          </w:p>
        </w:tc>
        <w:tc>
          <w:tcPr>
            <w:tcW w:type="dxa" w:w="1296"/>
          </w:tcPr>
          <w:p>
            <w:pPr>
              <w:spacing w:after="0"/>
            </w:pPr>
            <w:r>
              <w:rPr>
                <w:rFonts w:ascii="Calibri" w:hAnsi="Calibri"/>
                <w:color w:val="24313A"/>
                <w:sz w:val="15"/>
              </w:rPr>
              <w:t>Concept only</w:t>
            </w:r>
          </w:p>
        </w:tc>
        <w:tc>
          <w:tcPr>
            <w:tcW w:type="dxa" w:w="792"/>
          </w:tcPr>
          <w:p>
            <w:pPr>
              <w:spacing w:after="0"/>
            </w:pPr>
            <w:r>
              <w:rPr>
                <w:rFonts w:ascii="Calibri" w:hAnsi="Calibri"/>
                <w:color w:val="24313A"/>
                <w:sz w:val="15"/>
              </w:rPr>
              <w:t>P0</w:t>
            </w:r>
          </w:p>
        </w:tc>
        <w:tc>
          <w:tcPr>
            <w:tcW w:type="dxa" w:w="4536"/>
          </w:tcPr>
          <w:p>
            <w:pPr>
              <w:spacing w:after="0"/>
            </w:pPr>
            <w:r>
              <w:rPr>
                <w:rFonts w:ascii="Calibri" w:hAnsi="Calibri"/>
                <w:color w:val="24313A"/>
                <w:sz w:val="15"/>
              </w:rPr>
              <w:t>Candidate/winner highlights and trustworthy totals</w:t>
            </w:r>
          </w:p>
        </w:tc>
      </w:tr>
      <w:tr>
        <w:tc>
          <w:tcPr>
            <w:tcW w:type="dxa" w:w="504"/>
          </w:tcPr>
          <w:p>
            <w:pPr>
              <w:spacing w:after="0"/>
            </w:pPr>
            <w:r>
              <w:rPr>
                <w:rFonts w:ascii="Calibri" w:hAnsi="Calibri"/>
                <w:color w:val="24313A"/>
                <w:sz w:val="15"/>
              </w:rPr>
              <w:t>5</w:t>
            </w:r>
          </w:p>
        </w:tc>
        <w:tc>
          <w:tcPr>
            <w:tcW w:type="dxa" w:w="2232"/>
          </w:tcPr>
          <w:p>
            <w:pPr>
              <w:spacing w:after="0"/>
            </w:pPr>
            <w:r>
              <w:rPr>
                <w:rFonts w:ascii="Calibri" w:hAnsi="Calibri"/>
                <w:color w:val="24313A"/>
                <w:sz w:val="15"/>
              </w:rPr>
              <w:t>Constituency directory</w:t>
            </w:r>
          </w:p>
        </w:tc>
        <w:tc>
          <w:tcPr>
            <w:tcW w:type="dxa" w:w="1296"/>
          </w:tcPr>
          <w:p>
            <w:pPr>
              <w:spacing w:after="0"/>
            </w:pPr>
            <w:r>
              <w:rPr>
                <w:rFonts w:ascii="Calibri" w:hAnsi="Calibri"/>
                <w:color w:val="24313A"/>
                <w:sz w:val="15"/>
              </w:rPr>
              <w:t>Absent</w:t>
            </w:r>
          </w:p>
        </w:tc>
        <w:tc>
          <w:tcPr>
            <w:tcW w:type="dxa" w:w="792"/>
          </w:tcPr>
          <w:p>
            <w:pPr>
              <w:spacing w:after="0"/>
            </w:pPr>
            <w:r>
              <w:rPr>
                <w:rFonts w:ascii="Calibri" w:hAnsi="Calibri"/>
                <w:color w:val="24313A"/>
                <w:sz w:val="15"/>
              </w:rPr>
              <w:t>P0</w:t>
            </w:r>
          </w:p>
        </w:tc>
        <w:tc>
          <w:tcPr>
            <w:tcW w:type="dxa" w:w="4536"/>
          </w:tcPr>
          <w:p>
            <w:pPr>
              <w:spacing w:after="0"/>
            </w:pPr>
            <w:r>
              <w:rPr>
                <w:rFonts w:ascii="Calibri" w:hAnsi="Calibri"/>
                <w:color w:val="24313A"/>
                <w:sz w:val="15"/>
              </w:rPr>
              <w:t>State/district/constituency browse and reservation labels</w:t>
            </w:r>
          </w:p>
        </w:tc>
      </w:tr>
      <w:tr>
        <w:tc>
          <w:tcPr>
            <w:tcW w:type="dxa" w:w="504"/>
          </w:tcPr>
          <w:p>
            <w:pPr>
              <w:spacing w:after="0"/>
            </w:pPr>
            <w:r>
              <w:rPr>
                <w:rFonts w:ascii="Calibri" w:hAnsi="Calibri"/>
                <w:color w:val="24313A"/>
                <w:sz w:val="15"/>
              </w:rPr>
              <w:t>6</w:t>
            </w:r>
          </w:p>
        </w:tc>
        <w:tc>
          <w:tcPr>
            <w:tcW w:type="dxa" w:w="2232"/>
          </w:tcPr>
          <w:p>
            <w:pPr>
              <w:spacing w:after="0"/>
            </w:pPr>
            <w:r>
              <w:rPr>
                <w:rFonts w:ascii="Calibri" w:hAnsi="Calibri"/>
                <w:color w:val="24313A"/>
                <w:sz w:val="15"/>
              </w:rPr>
              <w:t>All candidates list</w:t>
            </w:r>
          </w:p>
        </w:tc>
        <w:tc>
          <w:tcPr>
            <w:tcW w:type="dxa" w:w="1296"/>
          </w:tcPr>
          <w:p>
            <w:pPr>
              <w:spacing w:after="0"/>
            </w:pPr>
            <w:r>
              <w:rPr>
                <w:rFonts w:ascii="Calibri" w:hAnsi="Calibri"/>
                <w:color w:val="24313A"/>
                <w:sz w:val="15"/>
              </w:rPr>
              <w:t>Partial</w:t>
            </w:r>
          </w:p>
        </w:tc>
        <w:tc>
          <w:tcPr>
            <w:tcW w:type="dxa" w:w="792"/>
          </w:tcPr>
          <w:p>
            <w:pPr>
              <w:spacing w:after="0"/>
            </w:pPr>
            <w:r>
              <w:rPr>
                <w:rFonts w:ascii="Calibri" w:hAnsi="Calibri"/>
                <w:color w:val="24313A"/>
                <w:sz w:val="15"/>
              </w:rPr>
              <w:t>P0</w:t>
            </w:r>
          </w:p>
        </w:tc>
        <w:tc>
          <w:tcPr>
            <w:tcW w:type="dxa" w:w="4536"/>
          </w:tcPr>
          <w:p>
            <w:pPr>
              <w:spacing w:after="0"/>
            </w:pPr>
            <w:r>
              <w:rPr>
                <w:rFonts w:ascii="Calibri" w:hAnsi="Calibri"/>
                <w:color w:val="24313A"/>
                <w:sz w:val="15"/>
              </w:rPr>
              <w:t>Multi-election data, filters, serious cases, gender, PAN, profile routing</w:t>
            </w:r>
          </w:p>
        </w:tc>
      </w:tr>
      <w:tr>
        <w:tc>
          <w:tcPr>
            <w:tcW w:type="dxa" w:w="504"/>
          </w:tcPr>
          <w:p>
            <w:pPr>
              <w:spacing w:after="0"/>
            </w:pPr>
            <w:r>
              <w:rPr>
                <w:rFonts w:ascii="Calibri" w:hAnsi="Calibri"/>
                <w:color w:val="24313A"/>
                <w:sz w:val="15"/>
              </w:rPr>
              <w:t>7</w:t>
            </w:r>
          </w:p>
        </w:tc>
        <w:tc>
          <w:tcPr>
            <w:tcW w:type="dxa" w:w="2232"/>
          </w:tcPr>
          <w:p>
            <w:pPr>
              <w:spacing w:after="0"/>
            </w:pPr>
            <w:r>
              <w:rPr>
                <w:rFonts w:ascii="Calibri" w:hAnsi="Calibri"/>
                <w:color w:val="24313A"/>
                <w:sz w:val="15"/>
              </w:rPr>
              <w:t>Winners list</w:t>
            </w:r>
          </w:p>
        </w:tc>
        <w:tc>
          <w:tcPr>
            <w:tcW w:type="dxa" w:w="1296"/>
          </w:tcPr>
          <w:p>
            <w:pPr>
              <w:spacing w:after="0"/>
            </w:pPr>
            <w:r>
              <w:rPr>
                <w:rFonts w:ascii="Calibri" w:hAnsi="Calibri"/>
                <w:color w:val="24313A"/>
                <w:sz w:val="15"/>
              </w:rPr>
              <w:t>Absent</w:t>
            </w:r>
          </w:p>
        </w:tc>
        <w:tc>
          <w:tcPr>
            <w:tcW w:type="dxa" w:w="792"/>
          </w:tcPr>
          <w:p>
            <w:pPr>
              <w:spacing w:after="0"/>
            </w:pPr>
            <w:r>
              <w:rPr>
                <w:rFonts w:ascii="Calibri" w:hAnsi="Calibri"/>
                <w:color w:val="24313A"/>
                <w:sz w:val="15"/>
              </w:rPr>
              <w:t>P0</w:t>
            </w:r>
          </w:p>
        </w:tc>
        <w:tc>
          <w:tcPr>
            <w:tcW w:type="dxa" w:w="4536"/>
          </w:tcPr>
          <w:p>
            <w:pPr>
              <w:spacing w:after="0"/>
            </w:pPr>
            <w:r>
              <w:rPr>
                <w:rFonts w:ascii="Calibri" w:hAnsi="Calibri"/>
                <w:color w:val="24313A"/>
                <w:sz w:val="15"/>
              </w:rPr>
              <w:t>Winner-specific list and summary metrics</w:t>
            </w:r>
          </w:p>
        </w:tc>
      </w:tr>
      <w:tr>
        <w:tc>
          <w:tcPr>
            <w:tcW w:type="dxa" w:w="504"/>
          </w:tcPr>
          <w:p>
            <w:pPr>
              <w:spacing w:after="0"/>
            </w:pPr>
            <w:r>
              <w:rPr>
                <w:rFonts w:ascii="Calibri" w:hAnsi="Calibri"/>
                <w:color w:val="24313A"/>
                <w:sz w:val="15"/>
              </w:rPr>
              <w:t>8</w:t>
            </w:r>
          </w:p>
        </w:tc>
        <w:tc>
          <w:tcPr>
            <w:tcW w:type="dxa" w:w="2232"/>
          </w:tcPr>
          <w:p>
            <w:pPr>
              <w:spacing w:after="0"/>
            </w:pPr>
            <w:r>
              <w:rPr>
                <w:rFonts w:ascii="Calibri" w:hAnsi="Calibri"/>
                <w:color w:val="24313A"/>
                <w:sz w:val="15"/>
              </w:rPr>
              <w:t>Dynamic candidate profile</w:t>
            </w:r>
          </w:p>
        </w:tc>
        <w:tc>
          <w:tcPr>
            <w:tcW w:type="dxa" w:w="1296"/>
          </w:tcPr>
          <w:p>
            <w:pPr>
              <w:spacing w:after="0"/>
            </w:pPr>
            <w:r>
              <w:rPr>
                <w:rFonts w:ascii="Calibri" w:hAnsi="Calibri"/>
                <w:color w:val="24313A"/>
                <w:sz w:val="15"/>
              </w:rPr>
              <w:t>Partial</w:t>
            </w:r>
          </w:p>
        </w:tc>
        <w:tc>
          <w:tcPr>
            <w:tcW w:type="dxa" w:w="792"/>
          </w:tcPr>
          <w:p>
            <w:pPr>
              <w:spacing w:after="0"/>
            </w:pPr>
            <w:r>
              <w:rPr>
                <w:rFonts w:ascii="Calibri" w:hAnsi="Calibri"/>
                <w:color w:val="24313A"/>
                <w:sz w:val="15"/>
              </w:rPr>
              <w:t>P0</w:t>
            </w:r>
          </w:p>
        </w:tc>
        <w:tc>
          <w:tcPr>
            <w:tcW w:type="dxa" w:w="4536"/>
          </w:tcPr>
          <w:p>
            <w:pPr>
              <w:spacing w:after="0"/>
            </w:pPr>
            <w:r>
              <w:rPr>
                <w:rFonts w:ascii="Calibri" w:hAnsi="Calibri"/>
                <w:color w:val="24313A"/>
                <w:sz w:val="15"/>
              </w:rPr>
              <w:t>Candidate ID route, complete fields, source/recency/disclaimer</w:t>
            </w:r>
          </w:p>
        </w:tc>
      </w:tr>
      <w:tr>
        <w:tc>
          <w:tcPr>
            <w:tcW w:type="dxa" w:w="504"/>
          </w:tcPr>
          <w:p>
            <w:pPr>
              <w:spacing w:after="0"/>
            </w:pPr>
            <w:r>
              <w:rPr>
                <w:rFonts w:ascii="Calibri" w:hAnsi="Calibri"/>
                <w:color w:val="24313A"/>
                <w:sz w:val="15"/>
              </w:rPr>
              <w:t>9</w:t>
            </w:r>
          </w:p>
        </w:tc>
        <w:tc>
          <w:tcPr>
            <w:tcW w:type="dxa" w:w="2232"/>
          </w:tcPr>
          <w:p>
            <w:pPr>
              <w:spacing w:after="0"/>
            </w:pPr>
            <w:r>
              <w:rPr>
                <w:rFonts w:ascii="Calibri" w:hAnsi="Calibri"/>
                <w:color w:val="24313A"/>
                <w:sz w:val="15"/>
              </w:rPr>
              <w:t>Re-contesting comparison</w:t>
            </w:r>
          </w:p>
        </w:tc>
        <w:tc>
          <w:tcPr>
            <w:tcW w:type="dxa" w:w="1296"/>
          </w:tcPr>
          <w:p>
            <w:pPr>
              <w:spacing w:after="0"/>
            </w:pPr>
            <w:r>
              <w:rPr>
                <w:rFonts w:ascii="Calibri" w:hAnsi="Calibri"/>
                <w:color w:val="24313A"/>
                <w:sz w:val="15"/>
              </w:rPr>
              <w:t>Absent</w:t>
            </w:r>
          </w:p>
        </w:tc>
        <w:tc>
          <w:tcPr>
            <w:tcW w:type="dxa" w:w="792"/>
          </w:tcPr>
          <w:p>
            <w:pPr>
              <w:spacing w:after="0"/>
            </w:pPr>
            <w:r>
              <w:rPr>
                <w:rFonts w:ascii="Calibri" w:hAnsi="Calibri"/>
                <w:color w:val="24313A"/>
                <w:sz w:val="15"/>
              </w:rPr>
              <w:t>P1</w:t>
            </w:r>
          </w:p>
        </w:tc>
        <w:tc>
          <w:tcPr>
            <w:tcW w:type="dxa" w:w="4536"/>
          </w:tcPr>
          <w:p>
            <w:pPr>
              <w:spacing w:after="0"/>
            </w:pPr>
            <w:r>
              <w:rPr>
                <w:rFonts w:ascii="Calibri" w:hAnsi="Calibri"/>
                <w:color w:val="24313A"/>
                <w:sz w:val="15"/>
              </w:rPr>
              <w:t>Election-to-election assets and percentage change</w:t>
            </w:r>
          </w:p>
        </w:tc>
      </w:tr>
      <w:tr>
        <w:tc>
          <w:tcPr>
            <w:tcW w:type="dxa" w:w="504"/>
          </w:tcPr>
          <w:p>
            <w:pPr>
              <w:spacing w:after="0"/>
            </w:pPr>
            <w:r>
              <w:rPr>
                <w:rFonts w:ascii="Calibri" w:hAnsi="Calibri"/>
                <w:color w:val="24313A"/>
                <w:sz w:val="15"/>
              </w:rPr>
              <w:t>10</w:t>
            </w:r>
          </w:p>
        </w:tc>
        <w:tc>
          <w:tcPr>
            <w:tcW w:type="dxa" w:w="2232"/>
          </w:tcPr>
          <w:p>
            <w:pPr>
              <w:spacing w:after="0"/>
            </w:pPr>
            <w:r>
              <w:rPr>
                <w:rFonts w:ascii="Calibri" w:hAnsi="Calibri"/>
                <w:color w:val="24313A"/>
                <w:sz w:val="15"/>
              </w:rPr>
              <w:t>Election expenses</w:t>
            </w:r>
          </w:p>
        </w:tc>
        <w:tc>
          <w:tcPr>
            <w:tcW w:type="dxa" w:w="1296"/>
          </w:tcPr>
          <w:p>
            <w:pPr>
              <w:spacing w:after="0"/>
            </w:pPr>
            <w:r>
              <w:rPr>
                <w:rFonts w:ascii="Calibri" w:hAnsi="Calibri"/>
                <w:color w:val="24313A"/>
                <w:sz w:val="15"/>
              </w:rPr>
              <w:t>Absent</w:t>
            </w:r>
          </w:p>
        </w:tc>
        <w:tc>
          <w:tcPr>
            <w:tcW w:type="dxa" w:w="792"/>
          </w:tcPr>
          <w:p>
            <w:pPr>
              <w:spacing w:after="0"/>
            </w:pPr>
            <w:r>
              <w:rPr>
                <w:rFonts w:ascii="Calibri" w:hAnsi="Calibri"/>
                <w:color w:val="24313A"/>
                <w:sz w:val="15"/>
              </w:rPr>
              <w:t>P1</w:t>
            </w:r>
          </w:p>
        </w:tc>
        <w:tc>
          <w:tcPr>
            <w:tcW w:type="dxa" w:w="4536"/>
          </w:tcPr>
          <w:p>
            <w:pPr>
              <w:spacing w:after="0"/>
            </w:pPr>
            <w:r>
              <w:rPr>
                <w:rFonts w:ascii="Calibri" w:hAnsi="Calibri"/>
                <w:color w:val="24313A"/>
                <w:sz w:val="15"/>
              </w:rPr>
              <w:t>Winner expense list and expense-detail view</w:t>
            </w:r>
          </w:p>
        </w:tc>
      </w:tr>
      <w:tr>
        <w:tc>
          <w:tcPr>
            <w:tcW w:type="dxa" w:w="504"/>
          </w:tcPr>
          <w:p>
            <w:pPr>
              <w:spacing w:after="0"/>
            </w:pPr>
            <w:r>
              <w:rPr>
                <w:rFonts w:ascii="Calibri" w:hAnsi="Calibri"/>
                <w:color w:val="24313A"/>
                <w:sz w:val="15"/>
              </w:rPr>
              <w:t>11</w:t>
            </w:r>
          </w:p>
        </w:tc>
        <w:tc>
          <w:tcPr>
            <w:tcW w:type="dxa" w:w="2232"/>
          </w:tcPr>
          <w:p>
            <w:pPr>
              <w:spacing w:after="0"/>
            </w:pPr>
            <w:r>
              <w:rPr>
                <w:rFonts w:ascii="Calibri" w:hAnsi="Calibri"/>
                <w:color w:val="24313A"/>
                <w:sz w:val="15"/>
              </w:rPr>
              <w:t>Party directory</w:t>
            </w:r>
          </w:p>
        </w:tc>
        <w:tc>
          <w:tcPr>
            <w:tcW w:type="dxa" w:w="1296"/>
          </w:tcPr>
          <w:p>
            <w:pPr>
              <w:spacing w:after="0"/>
            </w:pPr>
            <w:r>
              <w:rPr>
                <w:rFonts w:ascii="Calibri" w:hAnsi="Calibri"/>
                <w:color w:val="24313A"/>
                <w:sz w:val="15"/>
              </w:rPr>
              <w:t>Partial</w:t>
            </w:r>
          </w:p>
        </w:tc>
        <w:tc>
          <w:tcPr>
            <w:tcW w:type="dxa" w:w="792"/>
          </w:tcPr>
          <w:p>
            <w:pPr>
              <w:spacing w:after="0"/>
            </w:pPr>
            <w:r>
              <w:rPr>
                <w:rFonts w:ascii="Calibri" w:hAnsi="Calibri"/>
                <w:color w:val="24313A"/>
                <w:sz w:val="15"/>
              </w:rPr>
              <w:t>P1</w:t>
            </w:r>
          </w:p>
        </w:tc>
        <w:tc>
          <w:tcPr>
            <w:tcW w:type="dxa" w:w="4536"/>
          </w:tcPr>
          <w:p>
            <w:pPr>
              <w:spacing w:after="0"/>
            </w:pPr>
            <w:r>
              <w:rPr>
                <w:rFonts w:ascii="Calibri" w:hAnsi="Calibri"/>
                <w:color w:val="24313A"/>
                <w:sz w:val="15"/>
              </w:rPr>
              <w:t>Internal party routes and complete metadata</w:t>
            </w:r>
          </w:p>
        </w:tc>
      </w:tr>
      <w:tr>
        <w:tc>
          <w:tcPr>
            <w:tcW w:type="dxa" w:w="504"/>
          </w:tcPr>
          <w:p>
            <w:pPr>
              <w:spacing w:after="0"/>
            </w:pPr>
            <w:r>
              <w:rPr>
                <w:rFonts w:ascii="Calibri" w:hAnsi="Calibri"/>
                <w:color w:val="24313A"/>
                <w:sz w:val="15"/>
              </w:rPr>
              <w:t>12</w:t>
            </w:r>
          </w:p>
        </w:tc>
        <w:tc>
          <w:tcPr>
            <w:tcW w:type="dxa" w:w="2232"/>
          </w:tcPr>
          <w:p>
            <w:pPr>
              <w:spacing w:after="0"/>
            </w:pPr>
            <w:r>
              <w:rPr>
                <w:rFonts w:ascii="Calibri" w:hAnsi="Calibri"/>
                <w:color w:val="24313A"/>
                <w:sz w:val="15"/>
              </w:rPr>
              <w:t>Party financial summary</w:t>
            </w:r>
          </w:p>
        </w:tc>
        <w:tc>
          <w:tcPr>
            <w:tcW w:type="dxa" w:w="1296"/>
          </w:tcPr>
          <w:p>
            <w:pPr>
              <w:spacing w:after="0"/>
            </w:pPr>
            <w:r>
              <w:rPr>
                <w:rFonts w:ascii="Calibri" w:hAnsi="Calibri"/>
                <w:color w:val="24313A"/>
                <w:sz w:val="15"/>
              </w:rPr>
              <w:t>Absent</w:t>
            </w:r>
          </w:p>
        </w:tc>
        <w:tc>
          <w:tcPr>
            <w:tcW w:type="dxa" w:w="792"/>
          </w:tcPr>
          <w:p>
            <w:pPr>
              <w:spacing w:after="0"/>
            </w:pPr>
            <w:r>
              <w:rPr>
                <w:rFonts w:ascii="Calibri" w:hAnsi="Calibri"/>
                <w:color w:val="24313A"/>
                <w:sz w:val="15"/>
              </w:rPr>
              <w:t>P1</w:t>
            </w:r>
          </w:p>
        </w:tc>
        <w:tc>
          <w:tcPr>
            <w:tcW w:type="dxa" w:w="4536"/>
          </w:tcPr>
          <w:p>
            <w:pPr>
              <w:spacing w:after="0"/>
            </w:pPr>
            <w:r>
              <w:rPr>
                <w:rFonts w:ascii="Calibri" w:hAnsi="Calibri"/>
                <w:color w:val="24313A"/>
                <w:sz w:val="15"/>
              </w:rPr>
              <w:t>Assets, liabilities, income, expenditure, donation totals by year</w:t>
            </w:r>
          </w:p>
        </w:tc>
      </w:tr>
      <w:tr>
        <w:tc>
          <w:tcPr>
            <w:tcW w:type="dxa" w:w="504"/>
          </w:tcPr>
          <w:p>
            <w:pPr>
              <w:spacing w:after="0"/>
            </w:pPr>
            <w:r>
              <w:rPr>
                <w:rFonts w:ascii="Calibri" w:hAnsi="Calibri"/>
                <w:color w:val="24313A"/>
                <w:sz w:val="15"/>
              </w:rPr>
              <w:t>13</w:t>
            </w:r>
          </w:p>
        </w:tc>
        <w:tc>
          <w:tcPr>
            <w:tcW w:type="dxa" w:w="2232"/>
          </w:tcPr>
          <w:p>
            <w:pPr>
              <w:spacing w:after="0"/>
            </w:pPr>
            <w:r>
              <w:rPr>
                <w:rFonts w:ascii="Calibri" w:hAnsi="Calibri"/>
                <w:color w:val="24313A"/>
                <w:sz w:val="15"/>
              </w:rPr>
              <w:t>Annual party statements/donors</w:t>
            </w:r>
          </w:p>
        </w:tc>
        <w:tc>
          <w:tcPr>
            <w:tcW w:type="dxa" w:w="1296"/>
          </w:tcPr>
          <w:p>
            <w:pPr>
              <w:spacing w:after="0"/>
            </w:pPr>
            <w:r>
              <w:rPr>
                <w:rFonts w:ascii="Calibri" w:hAnsi="Calibri"/>
                <w:color w:val="24313A"/>
                <w:sz w:val="15"/>
              </w:rPr>
              <w:t>Absent</w:t>
            </w:r>
          </w:p>
        </w:tc>
        <w:tc>
          <w:tcPr>
            <w:tcW w:type="dxa" w:w="792"/>
          </w:tcPr>
          <w:p>
            <w:pPr>
              <w:spacing w:after="0"/>
            </w:pPr>
            <w:r>
              <w:rPr>
                <w:rFonts w:ascii="Calibri" w:hAnsi="Calibri"/>
                <w:color w:val="24313A"/>
                <w:sz w:val="15"/>
              </w:rPr>
              <w:t>P1</w:t>
            </w:r>
          </w:p>
        </w:tc>
        <w:tc>
          <w:tcPr>
            <w:tcW w:type="dxa" w:w="4536"/>
          </w:tcPr>
          <w:p>
            <w:pPr>
              <w:spacing w:after="0"/>
            </w:pPr>
            <w:r>
              <w:rPr>
                <w:rFonts w:ascii="Calibri" w:hAnsi="Calibri"/>
                <w:color w:val="24313A"/>
                <w:sz w:val="15"/>
              </w:rPr>
              <w:t>Year detail, donor lists, source documents</w:t>
            </w:r>
          </w:p>
        </w:tc>
      </w:tr>
      <w:tr>
        <w:tc>
          <w:tcPr>
            <w:tcW w:type="dxa" w:w="504"/>
          </w:tcPr>
          <w:p>
            <w:pPr>
              <w:spacing w:after="0"/>
            </w:pPr>
            <w:r>
              <w:rPr>
                <w:rFonts w:ascii="Calibri" w:hAnsi="Calibri"/>
                <w:color w:val="24313A"/>
                <w:sz w:val="15"/>
              </w:rPr>
              <w:t>14</w:t>
            </w:r>
          </w:p>
        </w:tc>
        <w:tc>
          <w:tcPr>
            <w:tcW w:type="dxa" w:w="2232"/>
          </w:tcPr>
          <w:p>
            <w:pPr>
              <w:spacing w:after="0"/>
            </w:pPr>
            <w:r>
              <w:rPr>
                <w:rFonts w:ascii="Calibri" w:hAnsi="Calibri"/>
                <w:color w:val="24313A"/>
                <w:sz w:val="15"/>
              </w:rPr>
              <w:t>Electoral bonds: parties</w:t>
            </w:r>
          </w:p>
        </w:tc>
        <w:tc>
          <w:tcPr>
            <w:tcW w:type="dxa" w:w="1296"/>
          </w:tcPr>
          <w:p>
            <w:pPr>
              <w:spacing w:after="0"/>
            </w:pPr>
            <w:r>
              <w:rPr>
                <w:rFonts w:ascii="Calibri" w:hAnsi="Calibri"/>
                <w:color w:val="24313A"/>
                <w:sz w:val="15"/>
              </w:rPr>
              <w:t>Absent</w:t>
            </w:r>
          </w:p>
        </w:tc>
        <w:tc>
          <w:tcPr>
            <w:tcW w:type="dxa" w:w="792"/>
          </w:tcPr>
          <w:p>
            <w:pPr>
              <w:spacing w:after="0"/>
            </w:pPr>
            <w:r>
              <w:rPr>
                <w:rFonts w:ascii="Calibri" w:hAnsi="Calibri"/>
                <w:color w:val="24313A"/>
                <w:sz w:val="15"/>
              </w:rPr>
              <w:t>P2</w:t>
            </w:r>
          </w:p>
        </w:tc>
        <w:tc>
          <w:tcPr>
            <w:tcW w:type="dxa" w:w="4536"/>
          </w:tcPr>
          <w:p>
            <w:pPr>
              <w:spacing w:after="0"/>
            </w:pPr>
            <w:r>
              <w:rPr>
                <w:rFonts w:ascii="Calibri" w:hAnsi="Calibri"/>
                <w:color w:val="24313A"/>
                <w:sz w:val="15"/>
              </w:rPr>
              <w:t>Party leaderboard and payer detail</w:t>
            </w:r>
          </w:p>
        </w:tc>
      </w:tr>
      <w:tr>
        <w:tc>
          <w:tcPr>
            <w:tcW w:type="dxa" w:w="504"/>
          </w:tcPr>
          <w:p>
            <w:pPr>
              <w:spacing w:after="0"/>
            </w:pPr>
            <w:r>
              <w:rPr>
                <w:rFonts w:ascii="Calibri" w:hAnsi="Calibri"/>
                <w:color w:val="24313A"/>
                <w:sz w:val="15"/>
              </w:rPr>
              <w:t>15</w:t>
            </w:r>
          </w:p>
        </w:tc>
        <w:tc>
          <w:tcPr>
            <w:tcW w:type="dxa" w:w="2232"/>
          </w:tcPr>
          <w:p>
            <w:pPr>
              <w:spacing w:after="0"/>
            </w:pPr>
            <w:r>
              <w:rPr>
                <w:rFonts w:ascii="Calibri" w:hAnsi="Calibri"/>
                <w:color w:val="24313A"/>
                <w:sz w:val="15"/>
              </w:rPr>
              <w:t>Electoral bonds: donors</w:t>
            </w:r>
          </w:p>
        </w:tc>
        <w:tc>
          <w:tcPr>
            <w:tcW w:type="dxa" w:w="1296"/>
          </w:tcPr>
          <w:p>
            <w:pPr>
              <w:spacing w:after="0"/>
            </w:pPr>
            <w:r>
              <w:rPr>
                <w:rFonts w:ascii="Calibri" w:hAnsi="Calibri"/>
                <w:color w:val="24313A"/>
                <w:sz w:val="15"/>
              </w:rPr>
              <w:t>Absent</w:t>
            </w:r>
          </w:p>
        </w:tc>
        <w:tc>
          <w:tcPr>
            <w:tcW w:type="dxa" w:w="792"/>
          </w:tcPr>
          <w:p>
            <w:pPr>
              <w:spacing w:after="0"/>
            </w:pPr>
            <w:r>
              <w:rPr>
                <w:rFonts w:ascii="Calibri" w:hAnsi="Calibri"/>
                <w:color w:val="24313A"/>
                <w:sz w:val="15"/>
              </w:rPr>
              <w:t>P2</w:t>
            </w:r>
          </w:p>
        </w:tc>
        <w:tc>
          <w:tcPr>
            <w:tcW w:type="dxa" w:w="4536"/>
          </w:tcPr>
          <w:p>
            <w:pPr>
              <w:spacing w:after="0"/>
            </w:pPr>
            <w:r>
              <w:rPr>
                <w:rFonts w:ascii="Calibri" w:hAnsi="Calibri"/>
                <w:color w:val="24313A"/>
                <w:sz w:val="15"/>
              </w:rPr>
              <w:t>Donor leaderboard and recipient detail</w:t>
            </w:r>
          </w:p>
        </w:tc>
      </w:tr>
      <w:tr>
        <w:tc>
          <w:tcPr>
            <w:tcW w:type="dxa" w:w="504"/>
          </w:tcPr>
          <w:p>
            <w:pPr>
              <w:spacing w:after="0"/>
            </w:pPr>
            <w:r>
              <w:rPr>
                <w:rFonts w:ascii="Calibri" w:hAnsi="Calibri"/>
                <w:color w:val="24313A"/>
                <w:sz w:val="15"/>
              </w:rPr>
              <w:t>16</w:t>
            </w:r>
          </w:p>
        </w:tc>
        <w:tc>
          <w:tcPr>
            <w:tcW w:type="dxa" w:w="2232"/>
          </w:tcPr>
          <w:p>
            <w:pPr>
              <w:spacing w:after="0"/>
            </w:pPr>
            <w:r>
              <w:rPr>
                <w:rFonts w:ascii="Calibri" w:hAnsi="Calibri"/>
                <w:color w:val="24313A"/>
                <w:sz w:val="15"/>
              </w:rPr>
              <w:t>Minister/Rajya/local archives</w:t>
            </w:r>
          </w:p>
        </w:tc>
        <w:tc>
          <w:tcPr>
            <w:tcW w:type="dxa" w:w="1296"/>
          </w:tcPr>
          <w:p>
            <w:pPr>
              <w:spacing w:after="0"/>
            </w:pPr>
            <w:r>
              <w:rPr>
                <w:rFonts w:ascii="Calibri" w:hAnsi="Calibri"/>
                <w:color w:val="24313A"/>
                <w:sz w:val="15"/>
              </w:rPr>
              <w:t>Absent</w:t>
            </w:r>
          </w:p>
        </w:tc>
        <w:tc>
          <w:tcPr>
            <w:tcW w:type="dxa" w:w="792"/>
          </w:tcPr>
          <w:p>
            <w:pPr>
              <w:spacing w:after="0"/>
            </w:pPr>
            <w:r>
              <w:rPr>
                <w:rFonts w:ascii="Calibri" w:hAnsi="Calibri"/>
                <w:color w:val="24313A"/>
                <w:sz w:val="15"/>
              </w:rPr>
              <w:t>P2</w:t>
            </w:r>
          </w:p>
        </w:tc>
        <w:tc>
          <w:tcPr>
            <w:tcW w:type="dxa" w:w="4536"/>
          </w:tcPr>
          <w:p>
            <w:pPr>
              <w:spacing w:after="0"/>
            </w:pPr>
            <w:r>
              <w:rPr>
                <w:rFonts w:ascii="Calibri" w:hAnsi="Calibri"/>
                <w:color w:val="24313A"/>
                <w:sz w:val="15"/>
              </w:rPr>
              <w:t>Special collections after core election journeys stabilize</w:t>
            </w:r>
          </w:p>
        </w:tc>
      </w:tr>
    </w:tbl>
    <w:p>
      <w:pPr>
        <w:spacing w:after="0"/>
      </w:pPr>
    </w:p>
    <w:p>
      <w:r>
        <w:br w:type="page"/>
      </w:r>
    </w:p>
    <w:p>
      <w:pPr>
        <w:pStyle w:val="Heading1"/>
      </w:pPr>
      <w:r>
        <w:t>3. Missing items in pages you already have</w:t>
      </w:r>
    </w:p>
    <w:p>
      <w:pPr>
        <w:pStyle w:val="Heading2"/>
      </w:pPr>
      <w:r>
        <w:t>Candidate profile</w:t>
      </w:r>
    </w:p>
    <w:tbl>
      <w:tblPr>
        <w:tblStyle w:val="TableGrid"/>
        <w:tblW w:type="dxa" w:w="9360"/>
        <w:jc w:val="left"/>
        <w:tblLayout w:type="fixed"/>
        <w:tblLook w:firstColumn="1" w:firstRow="1" w:lastColumn="0" w:lastRow="0" w:noHBand="0" w:noVBand="1" w:val="04A0"/>
        <w:tblInd w:w="120" w:type="dxa"/>
      </w:tblPr>
      <w:tblGrid>
        <w:gridCol w:w="4032"/>
        <w:gridCol w:w="5328"/>
      </w:tblGrid>
      <w:tr>
        <w:trPr>
          <w:tblHeader w:val="true"/>
        </w:trPr>
        <w:tc>
          <w:tcPr>
            <w:tcW w:type="dxa" w:w="4032"/>
            <w:vAlign w:val="center"/>
            <w:tcMar>
              <w:top w:w="90" w:type="dxa"/>
              <w:start w:w="110" w:type="dxa"/>
              <w:bottom w:w="90" w:type="dxa"/>
              <w:end w:w="110" w:type="dxa"/>
            </w:tcMar>
            <w:shd w:fill="F2F4F7"/>
          </w:tcPr>
          <w:p>
            <w:pPr>
              <w:spacing w:after="0"/>
            </w:pPr>
            <w:r>
              <w:rPr>
                <w:rFonts w:ascii="Calibri" w:hAnsi="Calibri"/>
                <w:b/>
                <w:color w:val="1F4D78"/>
                <w:sz w:val="17"/>
              </w:rPr>
              <w:t>Already modeled</w:t>
            </w:r>
          </w:p>
        </w:tc>
        <w:tc>
          <w:tcPr>
            <w:tcW w:type="dxa" w:w="5328"/>
            <w:vAlign w:val="center"/>
            <w:tcMar>
              <w:top w:w="90" w:type="dxa"/>
              <w:start w:w="110" w:type="dxa"/>
              <w:bottom w:w="90" w:type="dxa"/>
              <w:end w:w="110" w:type="dxa"/>
            </w:tcMar>
            <w:shd w:fill="F2F4F7"/>
          </w:tcPr>
          <w:p>
            <w:pPr>
              <w:spacing w:after="0"/>
            </w:pPr>
            <w:r>
              <w:rPr>
                <w:rFonts w:ascii="Calibri" w:hAnsi="Calibri"/>
                <w:b/>
                <w:color w:val="1F4D78"/>
                <w:sz w:val="17"/>
              </w:rPr>
              <w:t>Still missing or incomplete</w:t>
            </w:r>
          </w:p>
        </w:tc>
      </w:tr>
      <w:tr>
        <w:tc>
          <w:tcPr>
            <w:tcW w:type="dxa" w:w="4032"/>
          </w:tcPr>
          <w:p>
            <w:pPr>
              <w:spacing w:after="0"/>
            </w:pPr>
            <w:r>
              <w:rPr>
                <w:rFonts w:ascii="Calibri" w:hAnsi="Calibri"/>
                <w:color w:val="24313A"/>
                <w:sz w:val="17"/>
              </w:rPr>
              <w:t>Election context, age, party, constituency, education, cases, top-line assets/liabilities, professions, voter/source URL</w:t>
            </w:r>
          </w:p>
        </w:tc>
        <w:tc>
          <w:tcPr>
            <w:tcW w:type="dxa" w:w="5328"/>
          </w:tcPr>
          <w:p>
            <w:pPr>
              <w:spacing w:after="0"/>
            </w:pPr>
            <w:r>
              <w:rPr>
                <w:rFonts w:ascii="Calibri" w:hAnsi="Calibri"/>
                <w:color w:val="24313A"/>
                <w:sz w:val="17"/>
              </w:rPr>
              <w:t>Dynamic /candidate/:id route and real loading/error/empty states</w:t>
            </w:r>
          </w:p>
        </w:tc>
      </w:tr>
      <w:tr>
        <w:tc>
          <w:tcPr>
            <w:tcW w:type="dxa" w:w="4032"/>
          </w:tcPr>
          <w:p>
            <w:pPr>
              <w:spacing w:after="0"/>
            </w:pPr>
            <w:r>
              <w:rPr>
                <w:rFonts w:ascii="Calibri" w:hAnsi="Calibri"/>
                <w:color w:val="24313A"/>
                <w:sz w:val="17"/>
              </w:rPr>
              <w:t>Accused/convicted tables and movable/immovable/liability breakdown fields exist in the contract</w:t>
            </w:r>
          </w:p>
        </w:tc>
        <w:tc>
          <w:tcPr>
            <w:tcW w:type="dxa" w:w="5328"/>
          </w:tcPr>
          <w:p>
            <w:pPr>
              <w:spacing w:after="0"/>
            </w:pPr>
            <w:r>
              <w:rPr>
                <w:rFonts w:ascii="Calibri" w:hAnsi="Calibri"/>
                <w:color w:val="24313A"/>
                <w:sz w:val="17"/>
              </w:rPr>
              <w:t>PAN and income-tax return history for self/spouse/dependents</w:t>
            </w:r>
          </w:p>
        </w:tc>
      </w:tr>
      <w:tr>
        <w:tc>
          <w:tcPr>
            <w:tcW w:type="dxa" w:w="4032"/>
          </w:tcPr>
          <w:p>
            <w:pPr>
              <w:spacing w:after="0"/>
            </w:pPr>
            <w:r>
              <w:rPr>
                <w:rFonts w:ascii="Calibri" w:hAnsi="Calibri"/>
                <w:color w:val="24313A"/>
                <w:sz w:val="17"/>
              </w:rPr>
              <w:t>Source URL is represented</w:t>
            </w:r>
          </w:p>
        </w:tc>
        <w:tc>
          <w:tcPr>
            <w:tcW w:type="dxa" w:w="5328"/>
          </w:tcPr>
          <w:p>
            <w:pPr>
              <w:spacing w:after="0"/>
            </w:pPr>
            <w:r>
              <w:rPr>
                <w:rFonts w:ascii="Calibri" w:hAnsi="Calibri"/>
                <w:color w:val="24313A"/>
                <w:sz w:val="17"/>
              </w:rPr>
              <w:t>Other-election history and election-to-election asset comparison</w:t>
            </w:r>
          </w:p>
        </w:tc>
      </w:tr>
      <w:tr>
        <w:tc>
          <w:tcPr>
            <w:tcW w:type="dxa" w:w="4032"/>
          </w:tcPr>
          <w:p>
            <w:pPr>
              <w:spacing w:after="0"/>
            </w:pPr>
            <w:r>
              <w:rPr>
                <w:rFonts w:ascii="Calibri" w:hAnsi="Calibri"/>
                <w:color w:val="24313A"/>
                <w:sz w:val="17"/>
              </w:rPr>
              <w:t>Missing-data gating exists</w:t>
            </w:r>
          </w:p>
        </w:tc>
        <w:tc>
          <w:tcPr>
            <w:tcW w:type="dxa" w:w="5328"/>
          </w:tcPr>
          <w:p>
            <w:pPr>
              <w:spacing w:after="0"/>
            </w:pPr>
            <w:r>
              <w:rPr>
                <w:rFonts w:ascii="Calibri" w:hAnsi="Calibri"/>
                <w:color w:val="24313A"/>
                <w:sz w:val="17"/>
              </w:rPr>
              <w:t>Sources of income, government/public-company contracts, expense records</w:t>
            </w:r>
          </w:p>
        </w:tc>
      </w:tr>
      <w:tr>
        <w:tc>
          <w:tcPr>
            <w:tcW w:type="dxa" w:w="4032"/>
          </w:tcPr>
          <w:p>
            <w:pPr>
              <w:spacing w:after="0"/>
            </w:pPr>
            <w:r>
              <w:rPr>
                <w:rFonts w:ascii="Calibri" w:hAnsi="Calibri"/>
                <w:color w:val="24313A"/>
                <w:sz w:val="17"/>
              </w:rPr>
              <w:t>Profile layout and light/dark theme exist</w:t>
            </w:r>
          </w:p>
        </w:tc>
        <w:tc>
          <w:tcPr>
            <w:tcW w:type="dxa" w:w="5328"/>
          </w:tcPr>
          <w:p>
            <w:pPr>
              <w:spacing w:after="0"/>
            </w:pPr>
            <w:r>
              <w:rPr>
                <w:rFonts w:ascii="Calibri" w:hAnsi="Calibri"/>
                <w:color w:val="24313A"/>
                <w:sz w:val="17"/>
              </w:rPr>
              <w:t>Affidavit date/version, current-vs-archive warning, readability report, source document</w:t>
            </w:r>
          </w:p>
        </w:tc>
      </w:tr>
      <w:tr>
        <w:tc>
          <w:tcPr>
            <w:tcW w:type="dxa" w:w="4032"/>
          </w:tcPr>
          <w:p>
            <w:pPr>
              <w:spacing w:after="0"/>
            </w:pPr>
            <w:r>
              <w:rPr>
                <w:rFonts w:ascii="Calibri" w:hAnsi="Calibri"/>
                <w:color w:val="24313A"/>
                <w:sz w:val="17"/>
              </w:rPr>
            </w:r>
          </w:p>
        </w:tc>
        <w:tc>
          <w:tcPr>
            <w:tcW w:type="dxa" w:w="5328"/>
          </w:tcPr>
          <w:p>
            <w:pPr>
              <w:spacing w:after="0"/>
            </w:pPr>
            <w:r>
              <w:rPr>
                <w:rFonts w:ascii="Calibri" w:hAnsi="Calibri"/>
                <w:color w:val="24313A"/>
                <w:sz w:val="17"/>
              </w:rPr>
              <w:t>Print/share, discrepancy reporting, data freshness, and attribution/legal copy</w:t>
            </w:r>
          </w:p>
        </w:tc>
      </w:tr>
    </w:tbl>
    <w:p>
      <w:pPr>
        <w:spacing w:after="0"/>
      </w:pPr>
    </w:p>
    <w:p>
      <w:pPr>
        <w:pStyle w:val="Heading2"/>
      </w:pPr>
      <w:r>
        <w:t>Contestants summary</w:t>
      </w:r>
    </w:p>
    <w:p>
      <w:pPr>
        <w:pStyle w:val="ListBullet"/>
      </w:pPr>
      <w:r>
        <w:t>Add election/state/year/constituency filters and a winner/contestant mode.</w:t>
      </w:r>
    </w:p>
    <w:p>
      <w:pPr>
        <w:pStyle w:val="ListBullet"/>
      </w:pPr>
      <w:r>
        <w:t>Add winner status, serious criminal cases, gender, PAN declaration status, and richer education grouping when the source supports them.</w:t>
      </w:r>
    </w:p>
    <w:p>
      <w:pPr>
        <w:pStyle w:val="ListBullet"/>
      </w:pPr>
      <w:r>
        <w:t>Link every row to an internal dynamic profile, not only an external MyNeta URL.</w:t>
      </w:r>
    </w:p>
    <w:p>
      <w:pPr>
        <w:pStyle w:val="ListBullet"/>
      </w:pPr>
      <w:r>
        <w:t>Add search, stable query parameters, empty/error states, data date, source attribution, and downloadable/exportable data where permitted.</w:t>
      </w:r>
    </w:p>
    <w:p>
      <w:pPr>
        <w:pStyle w:val="Heading2"/>
      </w:pPr>
      <w:r>
        <w:t>Party directory</w:t>
      </w:r>
    </w:p>
    <w:p>
      <w:pPr>
        <w:pStyle w:val="ListBullet"/>
      </w:pPr>
      <w:r>
        <w:t>Add an internal party profile with type, registered state, address, symbol, and source metadata.</w:t>
      </w:r>
    </w:p>
    <w:p>
      <w:pPr>
        <w:pStyle w:val="ListBullet"/>
      </w:pPr>
      <w:r>
        <w:t>Add annual financial summaries: assets, liabilities, income, expenditure.</w:t>
      </w:r>
    </w:p>
    <w:p>
      <w:pPr>
        <w:pStyle w:val="ListBullet"/>
      </w:pPr>
      <w:r>
        <w:t>Add annual donation totals, donor counts, average donation, and donor-detail pages only if the data pipeline supports them.</w:t>
      </w:r>
    </w:p>
    <w:p>
      <w:pPr>
        <w:pStyle w:val="ListBullet"/>
      </w:pPr>
      <w:r>
        <w:t>Replace remote image dependencies with validated, optimized, attributed assets or robust fallbacks.</w:t>
      </w:r>
    </w:p>
    <w:p>
      <w:pPr>
        <w:pStyle w:val="Heading2"/>
      </w:pPr>
      <w:r>
        <w:t>Area overview</w:t>
      </w:r>
    </w:p>
    <w:p>
      <w:pPr>
        <w:pStyle w:val="ListBullet"/>
      </w:pPr>
      <w:r>
        <w:t>Replace the placeholder map with a real state/district/constituency geography and documented source.</w:t>
      </w:r>
    </w:p>
    <w:p>
      <w:pPr>
        <w:pStyle w:val="ListBullet"/>
      </w:pPr>
      <w:r>
        <w:t>Connect the area to election summary metrics, winners, candidates, and constituency links.</w:t>
      </w:r>
    </w:p>
    <w:p>
      <w:pPr>
        <w:pStyle w:val="ListBullet"/>
      </w:pPr>
      <w:r>
        <w:t>Support stable area identifiers, boundary/version dates, reservation status, election history, and missing-boundary states.</w:t>
      </w:r>
    </w:p>
    <w:p>
      <w:r>
        <w:br w:type="page"/>
      </w:r>
    </w:p>
    <w:p>
      <w:pPr>
        <w:pStyle w:val="Heading1"/>
      </w:pPr>
      <w:r>
        <w:t>4. Recommended information architecture</w:t>
      </w:r>
    </w:p>
    <w:p>
      <w:pPr>
        <w:spacing w:before="100" w:after="160"/>
        <w:ind w:left="173" w:right="173"/>
        <w:shd w:fill="E8EEF5"/>
      </w:pPr>
      <w:r>
        <w:rPr>
          <w:rFonts w:ascii="Calibri" w:hAnsi="Calibri"/>
          <w:b/>
          <w:color w:val="1F4D78"/>
          <w:sz w:val="21"/>
        </w:rPr>
        <w:t xml:space="preserve">Core navigation  </w:t>
      </w:r>
      <w:r>
        <w:rPr>
          <w:rFonts w:ascii="Calibri" w:hAnsi="Calibri"/>
          <w:color w:val="24313A"/>
          <w:sz w:val="21"/>
        </w:rPr>
        <w:t>Home  →  Elections  →  Election overview  →  Constituency  →  Candidate list / Winners  →  Candidate profile</w:t>
      </w:r>
    </w:p>
    <w:tbl>
      <w:tblPr>
        <w:tblStyle w:val="TableGrid"/>
        <w:tblW w:type="dxa" w:w="9360"/>
        <w:jc w:val="left"/>
        <w:tblLayout w:type="fixed"/>
        <w:tblLook w:firstColumn="1" w:firstRow="1" w:lastColumn="0" w:lastRow="0" w:noHBand="0" w:noVBand="1" w:val="04A0"/>
        <w:tblInd w:w="120" w:type="dxa"/>
      </w:tblPr>
      <w:tblGrid>
        <w:gridCol w:w="3888"/>
        <w:gridCol w:w="4464"/>
        <w:gridCol w:w="1008"/>
      </w:tblGrid>
      <w:tr>
        <w:trPr>
          <w:tblHeader w:val="true"/>
        </w:trPr>
        <w:tc>
          <w:tcPr>
            <w:tcW w:type="dxa" w:w="3888"/>
            <w:vAlign w:val="center"/>
            <w:tcMar>
              <w:top w:w="90" w:type="dxa"/>
              <w:start w:w="110" w:type="dxa"/>
              <w:bottom w:w="90" w:type="dxa"/>
              <w:end w:w="110" w:type="dxa"/>
            </w:tcMar>
            <w:shd w:fill="F2F4F7"/>
          </w:tcPr>
          <w:p>
            <w:pPr>
              <w:spacing w:after="0"/>
            </w:pPr>
            <w:r>
              <w:rPr>
                <w:rFonts w:ascii="Calibri" w:hAnsi="Calibri"/>
                <w:b/>
                <w:color w:val="1F4D78"/>
                <w:sz w:val="17"/>
              </w:rPr>
              <w:t>Proposed route</w:t>
            </w:r>
          </w:p>
        </w:tc>
        <w:tc>
          <w:tcPr>
            <w:tcW w:type="dxa" w:w="4464"/>
            <w:vAlign w:val="center"/>
            <w:tcMar>
              <w:top w:w="90" w:type="dxa"/>
              <w:start w:w="110" w:type="dxa"/>
              <w:bottom w:w="90" w:type="dxa"/>
              <w:end w:w="110" w:type="dxa"/>
            </w:tcMar>
            <w:shd w:fill="F2F4F7"/>
          </w:tcPr>
          <w:p>
            <w:pPr>
              <w:spacing w:after="0"/>
            </w:pPr>
            <w:r>
              <w:rPr>
                <w:rFonts w:ascii="Calibri" w:hAnsi="Calibri"/>
                <w:b/>
                <w:color w:val="1F4D78"/>
                <w:sz w:val="17"/>
              </w:rPr>
              <w:t>Purpose</w:t>
            </w:r>
          </w:p>
        </w:tc>
        <w:tc>
          <w:tcPr>
            <w:tcW w:type="dxa" w:w="1008"/>
            <w:vAlign w:val="center"/>
            <w:tcMar>
              <w:top w:w="90" w:type="dxa"/>
              <w:start w:w="110" w:type="dxa"/>
              <w:bottom w:w="90" w:type="dxa"/>
              <w:end w:w="110" w:type="dxa"/>
            </w:tcMar>
            <w:shd w:fill="F2F4F7"/>
          </w:tcPr>
          <w:p>
            <w:pPr>
              <w:spacing w:after="0"/>
            </w:pPr>
            <w:r>
              <w:rPr>
                <w:rFonts w:ascii="Calibri" w:hAnsi="Calibri"/>
                <w:b/>
                <w:color w:val="1F4D78"/>
                <w:sz w:val="17"/>
              </w:rPr>
              <w:t>Phase</w:t>
            </w:r>
          </w:p>
        </w:tc>
      </w:tr>
      <w:tr>
        <w:tc>
          <w:tcPr>
            <w:tcW w:type="dxa" w:w="3888"/>
          </w:tcPr>
          <w:p>
            <w:pPr>
              <w:spacing w:after="0"/>
            </w:pPr>
            <w:r>
              <w:rPr>
                <w:rFonts w:ascii="Calibri" w:hAnsi="Calibri"/>
                <w:color w:val="24313A"/>
                <w:sz w:val="17"/>
              </w:rPr>
              <w:t>/</w:t>
            </w:r>
          </w:p>
        </w:tc>
        <w:tc>
          <w:tcPr>
            <w:tcW w:type="dxa" w:w="4464"/>
          </w:tcPr>
          <w:p>
            <w:pPr>
              <w:spacing w:after="0"/>
            </w:pPr>
            <w:r>
              <w:rPr>
                <w:rFonts w:ascii="Calibri" w:hAnsi="Calibri"/>
                <w:color w:val="24313A"/>
                <w:sz w:val="17"/>
              </w:rPr>
              <w:t>Public home with recent elections and browse entry points</w:t>
            </w:r>
          </w:p>
        </w:tc>
        <w:tc>
          <w:tcPr>
            <w:tcW w:type="dxa" w:w="1008"/>
          </w:tcPr>
          <w:p>
            <w:pPr>
              <w:spacing w:after="0"/>
            </w:pPr>
            <w:r>
              <w:rPr>
                <w:rFonts w:ascii="Calibri" w:hAnsi="Calibri"/>
                <w:color w:val="24313A"/>
                <w:sz w:val="17"/>
              </w:rPr>
              <w:t>1</w:t>
            </w:r>
          </w:p>
        </w:tc>
      </w:tr>
      <w:tr>
        <w:tc>
          <w:tcPr>
            <w:tcW w:type="dxa" w:w="3888"/>
          </w:tcPr>
          <w:p>
            <w:pPr>
              <w:spacing w:after="0"/>
            </w:pPr>
            <w:r>
              <w:rPr>
                <w:rFonts w:ascii="Calibri" w:hAnsi="Calibri"/>
                <w:color w:val="24313A"/>
                <w:sz w:val="17"/>
              </w:rPr>
              <w:t>/elections</w:t>
            </w:r>
          </w:p>
        </w:tc>
        <w:tc>
          <w:tcPr>
            <w:tcW w:type="dxa" w:w="4464"/>
          </w:tcPr>
          <w:p>
            <w:pPr>
              <w:spacing w:after="0"/>
            </w:pPr>
            <w:r>
              <w:rPr>
                <w:rFonts w:ascii="Calibri" w:hAnsi="Calibri"/>
                <w:color w:val="24313A"/>
                <w:sz w:val="17"/>
              </w:rPr>
              <w:t>Election-type and year archive</w:t>
            </w:r>
          </w:p>
        </w:tc>
        <w:tc>
          <w:tcPr>
            <w:tcW w:type="dxa" w:w="1008"/>
          </w:tcPr>
          <w:p>
            <w:pPr>
              <w:spacing w:after="0"/>
            </w:pPr>
            <w:r>
              <w:rPr>
                <w:rFonts w:ascii="Calibri" w:hAnsi="Calibri"/>
                <w:color w:val="24313A"/>
                <w:sz w:val="17"/>
              </w:rPr>
              <w:t>1</w:t>
            </w:r>
          </w:p>
        </w:tc>
      </w:tr>
      <w:tr>
        <w:tc>
          <w:tcPr>
            <w:tcW w:type="dxa" w:w="3888"/>
          </w:tcPr>
          <w:p>
            <w:pPr>
              <w:spacing w:after="0"/>
            </w:pPr>
            <w:r>
              <w:rPr>
                <w:rFonts w:ascii="Calibri" w:hAnsi="Calibri"/>
                <w:color w:val="24313A"/>
                <w:sz w:val="17"/>
              </w:rPr>
              <w:t>/elections/:electionId</w:t>
            </w:r>
          </w:p>
        </w:tc>
        <w:tc>
          <w:tcPr>
            <w:tcW w:type="dxa" w:w="4464"/>
          </w:tcPr>
          <w:p>
            <w:pPr>
              <w:spacing w:after="0"/>
            </w:pPr>
            <w:r>
              <w:rPr>
                <w:rFonts w:ascii="Calibri" w:hAnsi="Calibri"/>
                <w:color w:val="24313A"/>
                <w:sz w:val="17"/>
              </w:rPr>
              <w:t>Election summary and constituency directory</w:t>
            </w:r>
          </w:p>
        </w:tc>
        <w:tc>
          <w:tcPr>
            <w:tcW w:type="dxa" w:w="1008"/>
          </w:tcPr>
          <w:p>
            <w:pPr>
              <w:spacing w:after="0"/>
            </w:pPr>
            <w:r>
              <w:rPr>
                <w:rFonts w:ascii="Calibri" w:hAnsi="Calibri"/>
                <w:color w:val="24313A"/>
                <w:sz w:val="17"/>
              </w:rPr>
              <w:t>1</w:t>
            </w:r>
          </w:p>
        </w:tc>
      </w:tr>
      <w:tr>
        <w:tc>
          <w:tcPr>
            <w:tcW w:type="dxa" w:w="3888"/>
          </w:tcPr>
          <w:p>
            <w:pPr>
              <w:spacing w:after="0"/>
            </w:pPr>
            <w:r>
              <w:rPr>
                <w:rFonts w:ascii="Calibri" w:hAnsi="Calibri"/>
                <w:color w:val="24313A"/>
                <w:sz w:val="17"/>
              </w:rPr>
              <w:t>/elections/:electionId/candidates</w:t>
            </w:r>
          </w:p>
        </w:tc>
        <w:tc>
          <w:tcPr>
            <w:tcW w:type="dxa" w:w="4464"/>
          </w:tcPr>
          <w:p>
            <w:pPr>
              <w:spacing w:after="0"/>
            </w:pPr>
            <w:r>
              <w:rPr>
                <w:rFonts w:ascii="Calibri" w:hAnsi="Calibri"/>
                <w:color w:val="24313A"/>
                <w:sz w:val="17"/>
              </w:rPr>
              <w:t>All candidates with filters/sort</w:t>
            </w:r>
          </w:p>
        </w:tc>
        <w:tc>
          <w:tcPr>
            <w:tcW w:type="dxa" w:w="1008"/>
          </w:tcPr>
          <w:p>
            <w:pPr>
              <w:spacing w:after="0"/>
            </w:pPr>
            <w:r>
              <w:rPr>
                <w:rFonts w:ascii="Calibri" w:hAnsi="Calibri"/>
                <w:color w:val="24313A"/>
                <w:sz w:val="17"/>
              </w:rPr>
              <w:t>1</w:t>
            </w:r>
          </w:p>
        </w:tc>
      </w:tr>
      <w:tr>
        <w:tc>
          <w:tcPr>
            <w:tcW w:type="dxa" w:w="3888"/>
          </w:tcPr>
          <w:p>
            <w:pPr>
              <w:spacing w:after="0"/>
            </w:pPr>
            <w:r>
              <w:rPr>
                <w:rFonts w:ascii="Calibri" w:hAnsi="Calibri"/>
                <w:color w:val="24313A"/>
                <w:sz w:val="17"/>
              </w:rPr>
              <w:t>/elections/:electionId/winners</w:t>
            </w:r>
          </w:p>
        </w:tc>
        <w:tc>
          <w:tcPr>
            <w:tcW w:type="dxa" w:w="4464"/>
          </w:tcPr>
          <w:p>
            <w:pPr>
              <w:spacing w:after="0"/>
            </w:pPr>
            <w:r>
              <w:rPr>
                <w:rFonts w:ascii="Calibri" w:hAnsi="Calibri"/>
                <w:color w:val="24313A"/>
                <w:sz w:val="17"/>
              </w:rPr>
              <w:t>Winner list and winner metrics</w:t>
            </w:r>
          </w:p>
        </w:tc>
        <w:tc>
          <w:tcPr>
            <w:tcW w:type="dxa" w:w="1008"/>
          </w:tcPr>
          <w:p>
            <w:pPr>
              <w:spacing w:after="0"/>
            </w:pPr>
            <w:r>
              <w:rPr>
                <w:rFonts w:ascii="Calibri" w:hAnsi="Calibri"/>
                <w:color w:val="24313A"/>
                <w:sz w:val="17"/>
              </w:rPr>
              <w:t>1</w:t>
            </w:r>
          </w:p>
        </w:tc>
      </w:tr>
      <w:tr>
        <w:tc>
          <w:tcPr>
            <w:tcW w:type="dxa" w:w="3888"/>
          </w:tcPr>
          <w:p>
            <w:pPr>
              <w:spacing w:after="0"/>
            </w:pPr>
            <w:r>
              <w:rPr>
                <w:rFonts w:ascii="Calibri" w:hAnsi="Calibri"/>
                <w:color w:val="24313A"/>
                <w:sz w:val="17"/>
              </w:rPr>
              <w:t>/candidates/:candidateId</w:t>
            </w:r>
          </w:p>
        </w:tc>
        <w:tc>
          <w:tcPr>
            <w:tcW w:type="dxa" w:w="4464"/>
          </w:tcPr>
          <w:p>
            <w:pPr>
              <w:spacing w:after="0"/>
            </w:pPr>
            <w:r>
              <w:rPr>
                <w:rFonts w:ascii="Calibri" w:hAnsi="Calibri"/>
                <w:color w:val="24313A"/>
                <w:sz w:val="17"/>
              </w:rPr>
              <w:t>Dynamic candidate affidavit profile</w:t>
            </w:r>
          </w:p>
        </w:tc>
        <w:tc>
          <w:tcPr>
            <w:tcW w:type="dxa" w:w="1008"/>
          </w:tcPr>
          <w:p>
            <w:pPr>
              <w:spacing w:after="0"/>
            </w:pPr>
            <w:r>
              <w:rPr>
                <w:rFonts w:ascii="Calibri" w:hAnsi="Calibri"/>
                <w:color w:val="24313A"/>
                <w:sz w:val="17"/>
              </w:rPr>
              <w:t>1</w:t>
            </w:r>
          </w:p>
        </w:tc>
      </w:tr>
      <w:tr>
        <w:tc>
          <w:tcPr>
            <w:tcW w:type="dxa" w:w="3888"/>
          </w:tcPr>
          <w:p>
            <w:pPr>
              <w:spacing w:after="0"/>
            </w:pPr>
            <w:r>
              <w:rPr>
                <w:rFonts w:ascii="Calibri" w:hAnsi="Calibri"/>
                <w:color w:val="24313A"/>
                <w:sz w:val="17"/>
              </w:rPr>
              <w:t>/constituencies/:constituencyId</w:t>
            </w:r>
          </w:p>
        </w:tc>
        <w:tc>
          <w:tcPr>
            <w:tcW w:type="dxa" w:w="4464"/>
          </w:tcPr>
          <w:p>
            <w:pPr>
              <w:spacing w:after="0"/>
            </w:pPr>
            <w:r>
              <w:rPr>
                <w:rFonts w:ascii="Calibri" w:hAnsi="Calibri"/>
                <w:color w:val="24313A"/>
                <w:sz w:val="17"/>
              </w:rPr>
              <w:t>Area, election history, candidates, winner</w:t>
            </w:r>
          </w:p>
        </w:tc>
        <w:tc>
          <w:tcPr>
            <w:tcW w:type="dxa" w:w="1008"/>
          </w:tcPr>
          <w:p>
            <w:pPr>
              <w:spacing w:after="0"/>
            </w:pPr>
            <w:r>
              <w:rPr>
                <w:rFonts w:ascii="Calibri" w:hAnsi="Calibri"/>
                <w:color w:val="24313A"/>
                <w:sz w:val="17"/>
              </w:rPr>
              <w:t>2</w:t>
            </w:r>
          </w:p>
        </w:tc>
      </w:tr>
      <w:tr>
        <w:tc>
          <w:tcPr>
            <w:tcW w:type="dxa" w:w="3888"/>
          </w:tcPr>
          <w:p>
            <w:pPr>
              <w:spacing w:after="0"/>
            </w:pPr>
            <w:r>
              <w:rPr>
                <w:rFonts w:ascii="Calibri" w:hAnsi="Calibri"/>
                <w:color w:val="24313A"/>
                <w:sz w:val="17"/>
              </w:rPr>
              <w:t>/compare/recontesting</w:t>
            </w:r>
          </w:p>
        </w:tc>
        <w:tc>
          <w:tcPr>
            <w:tcW w:type="dxa" w:w="4464"/>
          </w:tcPr>
          <w:p>
            <w:pPr>
              <w:spacing w:after="0"/>
            </w:pPr>
            <w:r>
              <w:rPr>
                <w:rFonts w:ascii="Calibri" w:hAnsi="Calibri"/>
                <w:color w:val="24313A"/>
                <w:sz w:val="17"/>
              </w:rPr>
              <w:t>Cross-election assets and cases comparison</w:t>
            </w:r>
          </w:p>
        </w:tc>
        <w:tc>
          <w:tcPr>
            <w:tcW w:type="dxa" w:w="1008"/>
          </w:tcPr>
          <w:p>
            <w:pPr>
              <w:spacing w:after="0"/>
            </w:pPr>
            <w:r>
              <w:rPr>
                <w:rFonts w:ascii="Calibri" w:hAnsi="Calibri"/>
                <w:color w:val="24313A"/>
                <w:sz w:val="17"/>
              </w:rPr>
              <w:t>2</w:t>
            </w:r>
          </w:p>
        </w:tc>
      </w:tr>
      <w:tr>
        <w:tc>
          <w:tcPr>
            <w:tcW w:type="dxa" w:w="3888"/>
          </w:tcPr>
          <w:p>
            <w:pPr>
              <w:spacing w:after="0"/>
            </w:pPr>
            <w:r>
              <w:rPr>
                <w:rFonts w:ascii="Calibri" w:hAnsi="Calibri"/>
                <w:color w:val="24313A"/>
                <w:sz w:val="17"/>
              </w:rPr>
              <w:t>/parties</w:t>
            </w:r>
          </w:p>
        </w:tc>
        <w:tc>
          <w:tcPr>
            <w:tcW w:type="dxa" w:w="4464"/>
          </w:tcPr>
          <w:p>
            <w:pPr>
              <w:spacing w:after="0"/>
            </w:pPr>
            <w:r>
              <w:rPr>
                <w:rFonts w:ascii="Calibri" w:hAnsi="Calibri"/>
                <w:color w:val="24313A"/>
                <w:sz w:val="17"/>
              </w:rPr>
              <w:t>Party directory</w:t>
            </w:r>
          </w:p>
        </w:tc>
        <w:tc>
          <w:tcPr>
            <w:tcW w:type="dxa" w:w="1008"/>
          </w:tcPr>
          <w:p>
            <w:pPr>
              <w:spacing w:after="0"/>
            </w:pPr>
            <w:r>
              <w:rPr>
                <w:rFonts w:ascii="Calibri" w:hAnsi="Calibri"/>
                <w:color w:val="24313A"/>
                <w:sz w:val="17"/>
              </w:rPr>
              <w:t>2</w:t>
            </w:r>
          </w:p>
        </w:tc>
      </w:tr>
      <w:tr>
        <w:tc>
          <w:tcPr>
            <w:tcW w:type="dxa" w:w="3888"/>
          </w:tcPr>
          <w:p>
            <w:pPr>
              <w:spacing w:after="0"/>
            </w:pPr>
            <w:r>
              <w:rPr>
                <w:rFonts w:ascii="Calibri" w:hAnsi="Calibri"/>
                <w:color w:val="24313A"/>
                <w:sz w:val="17"/>
              </w:rPr>
              <w:t>/parties/:partyId</w:t>
            </w:r>
          </w:p>
        </w:tc>
        <w:tc>
          <w:tcPr>
            <w:tcW w:type="dxa" w:w="4464"/>
          </w:tcPr>
          <w:p>
            <w:pPr>
              <w:spacing w:after="0"/>
            </w:pPr>
            <w:r>
              <w:rPr>
                <w:rFonts w:ascii="Calibri" w:hAnsi="Calibri"/>
                <w:color w:val="24313A"/>
                <w:sz w:val="17"/>
              </w:rPr>
              <w:t>Party metadata and multi-year financial summary</w:t>
            </w:r>
          </w:p>
        </w:tc>
        <w:tc>
          <w:tcPr>
            <w:tcW w:type="dxa" w:w="1008"/>
          </w:tcPr>
          <w:p>
            <w:pPr>
              <w:spacing w:after="0"/>
            </w:pPr>
            <w:r>
              <w:rPr>
                <w:rFonts w:ascii="Calibri" w:hAnsi="Calibri"/>
                <w:color w:val="24313A"/>
                <w:sz w:val="17"/>
              </w:rPr>
              <w:t>2</w:t>
            </w:r>
          </w:p>
        </w:tc>
      </w:tr>
      <w:tr>
        <w:tc>
          <w:tcPr>
            <w:tcW w:type="dxa" w:w="3888"/>
          </w:tcPr>
          <w:p>
            <w:pPr>
              <w:spacing w:after="0"/>
            </w:pPr>
            <w:r>
              <w:rPr>
                <w:rFonts w:ascii="Calibri" w:hAnsi="Calibri"/>
                <w:color w:val="24313A"/>
                <w:sz w:val="17"/>
              </w:rPr>
              <w:t>/parties/:partyId/financials/:year</w:t>
            </w:r>
          </w:p>
        </w:tc>
        <w:tc>
          <w:tcPr>
            <w:tcW w:type="dxa" w:w="4464"/>
          </w:tcPr>
          <w:p>
            <w:pPr>
              <w:spacing w:after="0"/>
            </w:pPr>
            <w:r>
              <w:rPr>
                <w:rFonts w:ascii="Calibri" w:hAnsi="Calibri"/>
                <w:color w:val="24313A"/>
                <w:sz w:val="17"/>
              </w:rPr>
              <w:t>Annual statement detail</w:t>
            </w:r>
          </w:p>
        </w:tc>
        <w:tc>
          <w:tcPr>
            <w:tcW w:type="dxa" w:w="1008"/>
          </w:tcPr>
          <w:p>
            <w:pPr>
              <w:spacing w:after="0"/>
            </w:pPr>
            <w:r>
              <w:rPr>
                <w:rFonts w:ascii="Calibri" w:hAnsi="Calibri"/>
                <w:color w:val="24313A"/>
                <w:sz w:val="17"/>
              </w:rPr>
              <w:t>2</w:t>
            </w:r>
          </w:p>
        </w:tc>
      </w:tr>
      <w:tr>
        <w:tc>
          <w:tcPr>
            <w:tcW w:type="dxa" w:w="3888"/>
          </w:tcPr>
          <w:p>
            <w:pPr>
              <w:spacing w:after="0"/>
            </w:pPr>
            <w:r>
              <w:rPr>
                <w:rFonts w:ascii="Calibri" w:hAnsi="Calibri"/>
                <w:color w:val="24313A"/>
                <w:sz w:val="17"/>
              </w:rPr>
              <w:t>/parties/:partyId/donations/:year</w:t>
            </w:r>
          </w:p>
        </w:tc>
        <w:tc>
          <w:tcPr>
            <w:tcW w:type="dxa" w:w="4464"/>
          </w:tcPr>
          <w:p>
            <w:pPr>
              <w:spacing w:after="0"/>
            </w:pPr>
            <w:r>
              <w:rPr>
                <w:rFonts w:ascii="Calibri" w:hAnsi="Calibri"/>
                <w:color w:val="24313A"/>
                <w:sz w:val="17"/>
              </w:rPr>
              <w:t>Donation and donor records</w:t>
            </w:r>
          </w:p>
        </w:tc>
        <w:tc>
          <w:tcPr>
            <w:tcW w:type="dxa" w:w="1008"/>
          </w:tcPr>
          <w:p>
            <w:pPr>
              <w:spacing w:after="0"/>
            </w:pPr>
            <w:r>
              <w:rPr>
                <w:rFonts w:ascii="Calibri" w:hAnsi="Calibri"/>
                <w:color w:val="24313A"/>
                <w:sz w:val="17"/>
              </w:rPr>
              <w:t>2</w:t>
            </w:r>
          </w:p>
        </w:tc>
      </w:tr>
      <w:tr>
        <w:tc>
          <w:tcPr>
            <w:tcW w:type="dxa" w:w="3888"/>
          </w:tcPr>
          <w:p>
            <w:pPr>
              <w:spacing w:after="0"/>
            </w:pPr>
            <w:r>
              <w:rPr>
                <w:rFonts w:ascii="Calibri" w:hAnsi="Calibri"/>
                <w:color w:val="24313A"/>
                <w:sz w:val="17"/>
              </w:rPr>
              <w:t>/election-expenses</w:t>
            </w:r>
          </w:p>
        </w:tc>
        <w:tc>
          <w:tcPr>
            <w:tcW w:type="dxa" w:w="4464"/>
          </w:tcPr>
          <w:p>
            <w:pPr>
              <w:spacing w:after="0"/>
            </w:pPr>
            <w:r>
              <w:rPr>
                <w:rFonts w:ascii="Calibri" w:hAnsi="Calibri"/>
                <w:color w:val="24313A"/>
                <w:sz w:val="17"/>
              </w:rPr>
              <w:t>Winner expense records</w:t>
            </w:r>
          </w:p>
        </w:tc>
        <w:tc>
          <w:tcPr>
            <w:tcW w:type="dxa" w:w="1008"/>
          </w:tcPr>
          <w:p>
            <w:pPr>
              <w:spacing w:after="0"/>
            </w:pPr>
            <w:r>
              <w:rPr>
                <w:rFonts w:ascii="Calibri" w:hAnsi="Calibri"/>
                <w:color w:val="24313A"/>
                <w:sz w:val="17"/>
              </w:rPr>
              <w:t>3</w:t>
            </w:r>
          </w:p>
        </w:tc>
      </w:tr>
      <w:tr>
        <w:tc>
          <w:tcPr>
            <w:tcW w:type="dxa" w:w="3888"/>
          </w:tcPr>
          <w:p>
            <w:pPr>
              <w:spacing w:after="0"/>
            </w:pPr>
            <w:r>
              <w:rPr>
                <w:rFonts w:ascii="Calibri" w:hAnsi="Calibri"/>
                <w:color w:val="24313A"/>
                <w:sz w:val="17"/>
              </w:rPr>
              <w:t>/electoral-bonds</w:t>
            </w:r>
          </w:p>
        </w:tc>
        <w:tc>
          <w:tcPr>
            <w:tcW w:type="dxa" w:w="4464"/>
          </w:tcPr>
          <w:p>
            <w:pPr>
              <w:spacing w:after="0"/>
            </w:pPr>
            <w:r>
              <w:rPr>
                <w:rFonts w:ascii="Calibri" w:hAnsi="Calibri"/>
                <w:color w:val="24313A"/>
                <w:sz w:val="17"/>
              </w:rPr>
              <w:t>Party/donor exploration</w:t>
            </w:r>
          </w:p>
        </w:tc>
        <w:tc>
          <w:tcPr>
            <w:tcW w:type="dxa" w:w="1008"/>
          </w:tcPr>
          <w:p>
            <w:pPr>
              <w:spacing w:after="0"/>
            </w:pPr>
            <w:r>
              <w:rPr>
                <w:rFonts w:ascii="Calibri" w:hAnsi="Calibri"/>
                <w:color w:val="24313A"/>
                <w:sz w:val="17"/>
              </w:rPr>
              <w:t>3</w:t>
            </w:r>
          </w:p>
        </w:tc>
      </w:tr>
    </w:tbl>
    <w:p>
      <w:pPr>
        <w:spacing w:after="0"/>
      </w:pPr>
    </w:p>
    <w:p>
      <w:pPr>
        <w:pStyle w:val="Heading2"/>
      </w:pPr>
      <w:r>
        <w:t>Navigation cleanup</w:t>
      </w:r>
    </w:p>
    <w:p>
      <w:pPr>
        <w:pStyle w:val="ListBullet"/>
      </w:pPr>
      <w:r>
        <w:t>Remove Theme Preview from the production navigation; keep it as a development-only route.</w:t>
      </w:r>
    </w:p>
    <w:p>
      <w:pPr>
        <w:pStyle w:val="ListBullet"/>
      </w:pPr>
      <w:r>
        <w:t>Keep TTS as an accessibility/language capability, not a top-level election category.</w:t>
      </w:r>
    </w:p>
    <w:p>
      <w:pPr>
        <w:pStyle w:val="ListBullet"/>
      </w:pPr>
      <w:r>
        <w:t>Replace the temporary page directory home with a public election-discovery home.</w:t>
      </w:r>
    </w:p>
    <w:p>
      <w:pPr>
        <w:pStyle w:val="ListBullet"/>
      </w:pPr>
      <w:r>
        <w:t>Use breadcrumbs consistently across election, constituency, list, profile, party, and finance routes.</w:t>
      </w:r>
    </w:p>
    <w:p>
      <w:r>
        <w:br w:type="page"/>
      </w:r>
    </w:p>
    <w:p>
      <w:pPr>
        <w:pStyle w:val="Heading1"/>
      </w:pPr>
      <w:r>
        <w:t>5. Delivery roadmap</w:t>
      </w:r>
    </w:p>
    <w:tbl>
      <w:tblPr>
        <w:tblStyle w:val="TableGrid"/>
        <w:tblW w:type="dxa" w:w="9360"/>
        <w:jc w:val="left"/>
        <w:tblLayout w:type="fixed"/>
        <w:tblLook w:firstColumn="1" w:firstRow="1" w:lastColumn="0" w:lastRow="0" w:noHBand="0" w:noVBand="1" w:val="04A0"/>
        <w:tblInd w:w="120" w:type="dxa"/>
      </w:tblPr>
      <w:tblGrid>
        <w:gridCol w:w="1296"/>
        <w:gridCol w:w="2088"/>
        <w:gridCol w:w="3672"/>
        <w:gridCol w:w="2304"/>
      </w:tblGrid>
      <w:tr>
        <w:trPr>
          <w:tblHeader w:val="true"/>
        </w:trPr>
        <w:tc>
          <w:tcPr>
            <w:tcW w:type="dxa" w:w="1296"/>
            <w:vAlign w:val="center"/>
            <w:tcMar>
              <w:top w:w="90" w:type="dxa"/>
              <w:start w:w="110" w:type="dxa"/>
              <w:bottom w:w="90" w:type="dxa"/>
              <w:end w:w="110" w:type="dxa"/>
            </w:tcMar>
            <w:shd w:fill="F2F4F7"/>
          </w:tcPr>
          <w:p>
            <w:pPr>
              <w:spacing w:after="0"/>
            </w:pPr>
            <w:r>
              <w:rPr>
                <w:rFonts w:ascii="Calibri" w:hAnsi="Calibri"/>
                <w:b/>
                <w:color w:val="1F4D78"/>
                <w:sz w:val="17"/>
              </w:rPr>
              <w:t>Phase</w:t>
            </w:r>
          </w:p>
        </w:tc>
        <w:tc>
          <w:tcPr>
            <w:tcW w:type="dxa" w:w="2088"/>
            <w:vAlign w:val="center"/>
            <w:tcMar>
              <w:top w:w="90" w:type="dxa"/>
              <w:start w:w="110" w:type="dxa"/>
              <w:bottom w:w="90" w:type="dxa"/>
              <w:end w:w="110" w:type="dxa"/>
            </w:tcMar>
            <w:shd w:fill="F2F4F7"/>
          </w:tcPr>
          <w:p>
            <w:pPr>
              <w:spacing w:after="0"/>
            </w:pPr>
            <w:r>
              <w:rPr>
                <w:rFonts w:ascii="Calibri" w:hAnsi="Calibri"/>
                <w:b/>
                <w:color w:val="1F4D78"/>
                <w:sz w:val="17"/>
              </w:rPr>
              <w:t>Outcome</w:t>
            </w:r>
          </w:p>
        </w:tc>
        <w:tc>
          <w:tcPr>
            <w:tcW w:type="dxa" w:w="3672"/>
            <w:vAlign w:val="center"/>
            <w:tcMar>
              <w:top w:w="90" w:type="dxa"/>
              <w:start w:w="110" w:type="dxa"/>
              <w:bottom w:w="90" w:type="dxa"/>
              <w:end w:w="110" w:type="dxa"/>
            </w:tcMar>
            <w:shd w:fill="F2F4F7"/>
          </w:tcPr>
          <w:p>
            <w:pPr>
              <w:spacing w:after="0"/>
            </w:pPr>
            <w:r>
              <w:rPr>
                <w:rFonts w:ascii="Calibri" w:hAnsi="Calibri"/>
                <w:b/>
                <w:color w:val="1F4D78"/>
                <w:sz w:val="17"/>
              </w:rPr>
              <w:t>Pages / capabilities</w:t>
            </w:r>
          </w:p>
        </w:tc>
        <w:tc>
          <w:tcPr>
            <w:tcW w:type="dxa" w:w="2304"/>
            <w:vAlign w:val="center"/>
            <w:tcMar>
              <w:top w:w="90" w:type="dxa"/>
              <w:start w:w="110" w:type="dxa"/>
              <w:bottom w:w="90" w:type="dxa"/>
              <w:end w:w="110" w:type="dxa"/>
            </w:tcMar>
            <w:shd w:fill="F2F4F7"/>
          </w:tcPr>
          <w:p>
            <w:pPr>
              <w:spacing w:after="0"/>
            </w:pPr>
            <w:r>
              <w:rPr>
                <w:rFonts w:ascii="Calibri" w:hAnsi="Calibri"/>
                <w:b/>
                <w:color w:val="1F4D78"/>
                <w:sz w:val="17"/>
              </w:rPr>
              <w:t>Exit criteria</w:t>
            </w:r>
          </w:p>
        </w:tc>
      </w:tr>
      <w:tr>
        <w:tc>
          <w:tcPr>
            <w:tcW w:type="dxa" w:w="1296"/>
          </w:tcPr>
          <w:p>
            <w:pPr>
              <w:spacing w:after="0"/>
            </w:pPr>
            <w:r>
              <w:rPr>
                <w:rFonts w:ascii="Calibri" w:hAnsi="Calibri"/>
                <w:color w:val="24313A"/>
                <w:sz w:val="17"/>
              </w:rPr>
              <w:t>0: Foundation</w:t>
            </w:r>
          </w:p>
        </w:tc>
        <w:tc>
          <w:tcPr>
            <w:tcW w:type="dxa" w:w="2088"/>
          </w:tcPr>
          <w:p>
            <w:pPr>
              <w:spacing w:after="0"/>
            </w:pPr>
            <w:r>
              <w:rPr>
                <w:rFonts w:ascii="Calibri" w:hAnsi="Calibri"/>
                <w:color w:val="24313A"/>
                <w:sz w:val="17"/>
              </w:rPr>
              <w:t>Trustworthy baseline</w:t>
            </w:r>
          </w:p>
        </w:tc>
        <w:tc>
          <w:tcPr>
            <w:tcW w:type="dxa" w:w="3672"/>
          </w:tcPr>
          <w:p>
            <w:pPr>
              <w:spacing w:after="0"/>
            </w:pPr>
            <w:r>
              <w:rPr>
                <w:rFonts w:ascii="Calibri" w:hAnsi="Calibri"/>
                <w:color w:val="24313A"/>
                <w:sz w:val="17"/>
              </w:rPr>
              <w:t>Data contracts, archive isolation, tests/lint, source metadata</w:t>
            </w:r>
          </w:p>
        </w:tc>
        <w:tc>
          <w:tcPr>
            <w:tcW w:type="dxa" w:w="2304"/>
          </w:tcPr>
          <w:p>
            <w:pPr>
              <w:spacing w:after="0"/>
            </w:pPr>
            <w:r>
              <w:rPr>
                <w:rFonts w:ascii="Calibri" w:hAnsi="Calibri"/>
                <w:color w:val="24313A"/>
                <w:sz w:val="17"/>
              </w:rPr>
              <w:t>Checks pass; representative multi-state fixtures validated</w:t>
            </w:r>
          </w:p>
        </w:tc>
      </w:tr>
      <w:tr>
        <w:tc>
          <w:tcPr>
            <w:tcW w:type="dxa" w:w="1296"/>
          </w:tcPr>
          <w:p>
            <w:pPr>
              <w:spacing w:after="0"/>
            </w:pPr>
            <w:r>
              <w:rPr>
                <w:rFonts w:ascii="Calibri" w:hAnsi="Calibri"/>
                <w:color w:val="24313A"/>
                <w:sz w:val="17"/>
              </w:rPr>
              <w:t>1: Core voter journey</w:t>
            </w:r>
          </w:p>
        </w:tc>
        <w:tc>
          <w:tcPr>
            <w:tcW w:type="dxa" w:w="2088"/>
          </w:tcPr>
          <w:p>
            <w:pPr>
              <w:spacing w:after="0"/>
            </w:pPr>
            <w:r>
              <w:rPr>
                <w:rFonts w:ascii="Calibri" w:hAnsi="Calibri"/>
                <w:color w:val="24313A"/>
                <w:sz w:val="17"/>
              </w:rPr>
              <w:t>A complete public path</w:t>
            </w:r>
          </w:p>
        </w:tc>
        <w:tc>
          <w:tcPr>
            <w:tcW w:type="dxa" w:w="3672"/>
          </w:tcPr>
          <w:p>
            <w:pPr>
              <w:spacing w:after="0"/>
            </w:pPr>
            <w:r>
              <w:rPr>
                <w:rFonts w:ascii="Calibri" w:hAnsi="Calibri"/>
                <w:color w:val="24313A"/>
                <w:sz w:val="17"/>
              </w:rPr>
              <w:t>Home, archive, election overview, constituencies, candidates, winners, dynamic profile</w:t>
            </w:r>
          </w:p>
        </w:tc>
        <w:tc>
          <w:tcPr>
            <w:tcW w:type="dxa" w:w="2304"/>
          </w:tcPr>
          <w:p>
            <w:pPr>
              <w:spacing w:after="0"/>
            </w:pPr>
            <w:r>
              <w:rPr>
                <w:rFonts w:ascii="Calibri" w:hAnsi="Calibri"/>
                <w:color w:val="24313A"/>
                <w:sz w:val="17"/>
              </w:rPr>
              <w:t>A user can browse from election to sourced candidate evidence</w:t>
            </w:r>
          </w:p>
        </w:tc>
      </w:tr>
      <w:tr>
        <w:tc>
          <w:tcPr>
            <w:tcW w:type="dxa" w:w="1296"/>
          </w:tcPr>
          <w:p>
            <w:pPr>
              <w:spacing w:after="0"/>
            </w:pPr>
            <w:r>
              <w:rPr>
                <w:rFonts w:ascii="Calibri" w:hAnsi="Calibri"/>
                <w:color w:val="24313A"/>
                <w:sz w:val="17"/>
              </w:rPr>
              <w:t>2: History and parties</w:t>
            </w:r>
          </w:p>
        </w:tc>
        <w:tc>
          <w:tcPr>
            <w:tcW w:type="dxa" w:w="2088"/>
          </w:tcPr>
          <w:p>
            <w:pPr>
              <w:spacing w:after="0"/>
            </w:pPr>
            <w:r>
              <w:rPr>
                <w:rFonts w:ascii="Calibri" w:hAnsi="Calibri"/>
                <w:color w:val="24313A"/>
                <w:sz w:val="17"/>
              </w:rPr>
              <w:t>Comparative context</w:t>
            </w:r>
          </w:p>
        </w:tc>
        <w:tc>
          <w:tcPr>
            <w:tcW w:type="dxa" w:w="3672"/>
          </w:tcPr>
          <w:p>
            <w:pPr>
              <w:spacing w:after="0"/>
            </w:pPr>
            <w:r>
              <w:rPr>
                <w:rFonts w:ascii="Calibri" w:hAnsi="Calibri"/>
                <w:color w:val="24313A"/>
                <w:sz w:val="17"/>
              </w:rPr>
              <w:t>Constituency history, re-contesting comparison, party profile/financials/donations</w:t>
            </w:r>
          </w:p>
        </w:tc>
        <w:tc>
          <w:tcPr>
            <w:tcW w:type="dxa" w:w="2304"/>
          </w:tcPr>
          <w:p>
            <w:pPr>
              <w:spacing w:after="0"/>
            </w:pPr>
            <w:r>
              <w:rPr>
                <w:rFonts w:ascii="Calibri" w:hAnsi="Calibri"/>
                <w:color w:val="24313A"/>
                <w:sz w:val="17"/>
              </w:rPr>
              <w:t>Cross-year IDs and money calculations validated</w:t>
            </w:r>
          </w:p>
        </w:tc>
      </w:tr>
      <w:tr>
        <w:tc>
          <w:tcPr>
            <w:tcW w:type="dxa" w:w="1296"/>
          </w:tcPr>
          <w:p>
            <w:pPr>
              <w:spacing w:after="0"/>
            </w:pPr>
            <w:r>
              <w:rPr>
                <w:rFonts w:ascii="Calibri" w:hAnsi="Calibri"/>
                <w:color w:val="24313A"/>
                <w:sz w:val="17"/>
              </w:rPr>
              <w:t>3: Special datasets</w:t>
            </w:r>
          </w:p>
        </w:tc>
        <w:tc>
          <w:tcPr>
            <w:tcW w:type="dxa" w:w="2088"/>
          </w:tcPr>
          <w:p>
            <w:pPr>
              <w:spacing w:after="0"/>
            </w:pPr>
            <w:r>
              <w:rPr>
                <w:rFonts w:ascii="Calibri" w:hAnsi="Calibri"/>
                <w:color w:val="24313A"/>
                <w:sz w:val="17"/>
              </w:rPr>
              <w:t>Investigative depth</w:t>
            </w:r>
          </w:p>
        </w:tc>
        <w:tc>
          <w:tcPr>
            <w:tcW w:type="dxa" w:w="3672"/>
          </w:tcPr>
          <w:p>
            <w:pPr>
              <w:spacing w:after="0"/>
            </w:pPr>
            <w:r>
              <w:rPr>
                <w:rFonts w:ascii="Calibri" w:hAnsi="Calibri"/>
                <w:color w:val="24313A"/>
                <w:sz w:val="17"/>
              </w:rPr>
              <w:t>Expenses, electoral bonds, Rajya Sabha/local bodies/minister assets</w:t>
            </w:r>
          </w:p>
        </w:tc>
        <w:tc>
          <w:tcPr>
            <w:tcW w:type="dxa" w:w="2304"/>
          </w:tcPr>
          <w:p>
            <w:pPr>
              <w:spacing w:after="0"/>
            </w:pPr>
            <w:r>
              <w:rPr>
                <w:rFonts w:ascii="Calibri" w:hAnsi="Calibri"/>
                <w:color w:val="24313A"/>
                <w:sz w:val="17"/>
              </w:rPr>
              <w:t>Only launched with reliable source pipelines and legal review</w:t>
            </w:r>
          </w:p>
        </w:tc>
      </w:tr>
    </w:tbl>
    <w:p>
      <w:pPr>
        <w:spacing w:after="0"/>
      </w:pPr>
    </w:p>
    <w:p>
      <w:pPr>
        <w:pStyle w:val="Heading2"/>
      </w:pPr>
      <w:r>
        <w:t>Phase 1 minimum field contract</w:t>
      </w:r>
    </w:p>
    <w:p>
      <w:pPr>
        <w:pStyle w:val="ListBullet"/>
      </w:pPr>
      <w:r>
        <w:t>Election: stable ID, type, state, year, dates/status, source, freshness, constituency count.</w:t>
      </w:r>
    </w:p>
    <w:p>
      <w:pPr>
        <w:pStyle w:val="ListBullet"/>
      </w:pPr>
      <w:r>
        <w:t>Constituency: stable ID, election ID, name, state/district, reservation, boundary/version source.</w:t>
      </w:r>
    </w:p>
    <w:p>
      <w:pPr>
        <w:pStyle w:val="ListBullet"/>
      </w:pPr>
      <w:r>
        <w:t>Candidate summary: stable candidate/election/constituency IDs, name, party, result, cases/serious cases, education, assets, liabilities, gender/PAN when available.</w:t>
      </w:r>
    </w:p>
    <w:p>
      <w:pPr>
        <w:pStyle w:val="ListBullet"/>
      </w:pPr>
      <w:r>
        <w:t>Candidate detail: personal/family, education, legal cases, movable/immovable assets, liabilities/government dues, ITR/PAN, income/contracts, voter roll, affidavit/source metadata.</w:t>
      </w:r>
    </w:p>
    <w:p>
      <w:pPr>
        <w:pStyle w:val="ListBullet"/>
      </w:pPr>
      <w:r>
        <w:t>Every displayed number must retain raw value, formatted value, source URL, and extraction/verification status.</w:t>
      </w:r>
    </w:p>
    <w:p>
      <w:pPr>
        <w:spacing w:before="100" w:after="160"/>
        <w:ind w:left="173" w:right="173"/>
        <w:shd w:fill="EAF5EE"/>
      </w:pPr>
      <w:r>
        <w:rPr>
          <w:rFonts w:ascii="Calibri" w:hAnsi="Calibri"/>
          <w:b/>
          <w:color w:val="1F4D78"/>
          <w:sz w:val="21"/>
        </w:rPr>
        <w:t xml:space="preserve">Highest leverage next build  </w:t>
      </w:r>
      <w:r>
        <w:rPr>
          <w:rFonts w:ascii="Calibri" w:hAnsi="Calibri"/>
          <w:color w:val="24313A"/>
          <w:sz w:val="21"/>
        </w:rPr>
        <w:t>Do not start with electoral bonds or more isolated UI pages. Build one complete Telangana 2023 journey from election overview to constituency, candidate list, winner list, and dynamic profile. Then prove the same contracts with a second state before scaling.</w:t>
      </w:r>
    </w:p>
    <w:p>
      <w:r>
        <w:br w:type="page"/>
      </w:r>
    </w:p>
    <w:p>
      <w:pPr>
        <w:pStyle w:val="Heading1"/>
      </w:pPr>
      <w:r>
        <w:t>6. Acceptance checklist by page</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vAlign w:val="center"/>
            <w:tcMar>
              <w:top w:w="90" w:type="dxa"/>
              <w:start w:w="110" w:type="dxa"/>
              <w:bottom w:w="90" w:type="dxa"/>
              <w:end w:w="110" w:type="dxa"/>
            </w:tcMar>
            <w:shd w:fill="F2F4F7"/>
          </w:tcPr>
          <w:p>
            <w:pPr>
              <w:spacing w:after="0"/>
            </w:pPr>
            <w:r>
              <w:rPr>
                <w:rFonts w:ascii="Calibri" w:hAnsi="Calibri"/>
                <w:b/>
                <w:color w:val="1F4D78"/>
                <w:sz w:val="17"/>
              </w:rPr>
              <w:t>Page</w:t>
            </w:r>
          </w:p>
        </w:tc>
        <w:tc>
          <w:tcPr>
            <w:tcW w:type="dxa" w:w="7128"/>
            <w:vAlign w:val="center"/>
            <w:tcMar>
              <w:top w:w="90" w:type="dxa"/>
              <w:start w:w="110" w:type="dxa"/>
              <w:bottom w:w="90" w:type="dxa"/>
              <w:end w:w="110" w:type="dxa"/>
            </w:tcMar>
            <w:shd w:fill="F2F4F7"/>
          </w:tcPr>
          <w:p>
            <w:pPr>
              <w:spacing w:after="0"/>
            </w:pPr>
            <w:r>
              <w:rPr>
                <w:rFonts w:ascii="Calibri" w:hAnsi="Calibri"/>
                <w:b/>
                <w:color w:val="1F4D78"/>
                <w:sz w:val="17"/>
              </w:rPr>
              <w:t>Must be true before “done”</w:t>
            </w:r>
          </w:p>
        </w:tc>
      </w:tr>
      <w:tr>
        <w:tc>
          <w:tcPr>
            <w:tcW w:type="dxa" w:w="2232"/>
          </w:tcPr>
          <w:p>
            <w:pPr>
              <w:spacing w:after="0"/>
            </w:pPr>
            <w:r>
              <w:rPr>
                <w:rFonts w:ascii="Calibri" w:hAnsi="Calibri"/>
                <w:color w:val="24313A"/>
                <w:sz w:val="17"/>
              </w:rPr>
              <w:t>Public home</w:t>
            </w:r>
          </w:p>
        </w:tc>
        <w:tc>
          <w:tcPr>
            <w:tcW w:type="dxa" w:w="7128"/>
          </w:tcPr>
          <w:p>
            <w:pPr>
              <w:spacing w:after="0"/>
            </w:pPr>
            <w:r>
              <w:rPr>
                <w:rFonts w:ascii="Calibri" w:hAnsi="Calibri"/>
                <w:color w:val="24313A"/>
                <w:sz w:val="17"/>
              </w:rPr>
              <w:t>Recent elections are data-driven; links resolve; no internal-development cards appear.</w:t>
            </w:r>
          </w:p>
        </w:tc>
      </w:tr>
      <w:tr>
        <w:tc>
          <w:tcPr>
            <w:tcW w:type="dxa" w:w="2232"/>
          </w:tcPr>
          <w:p>
            <w:pPr>
              <w:spacing w:after="0"/>
            </w:pPr>
            <w:r>
              <w:rPr>
                <w:rFonts w:ascii="Calibri" w:hAnsi="Calibri"/>
                <w:color w:val="24313A"/>
                <w:sz w:val="17"/>
              </w:rPr>
              <w:t>Election overview</w:t>
            </w:r>
          </w:p>
        </w:tc>
        <w:tc>
          <w:tcPr>
            <w:tcW w:type="dxa" w:w="7128"/>
          </w:tcPr>
          <w:p>
            <w:pPr>
              <w:spacing w:after="0"/>
            </w:pPr>
            <w:r>
              <w:rPr>
                <w:rFonts w:ascii="Calibri" w:hAnsi="Calibri"/>
                <w:color w:val="24313A"/>
                <w:sz w:val="17"/>
              </w:rPr>
              <w:t>Counts reconcile with lists; candidate/winner metrics show definitions and source dates.</w:t>
            </w:r>
          </w:p>
        </w:tc>
      </w:tr>
      <w:tr>
        <w:tc>
          <w:tcPr>
            <w:tcW w:type="dxa" w:w="2232"/>
          </w:tcPr>
          <w:p>
            <w:pPr>
              <w:spacing w:after="0"/>
            </w:pPr>
            <w:r>
              <w:rPr>
                <w:rFonts w:ascii="Calibri" w:hAnsi="Calibri"/>
                <w:color w:val="24313A"/>
                <w:sz w:val="17"/>
              </w:rPr>
              <w:t>Constituency directory</w:t>
            </w:r>
          </w:p>
        </w:tc>
        <w:tc>
          <w:tcPr>
            <w:tcW w:type="dxa" w:w="7128"/>
          </w:tcPr>
          <w:p>
            <w:pPr>
              <w:spacing w:after="0"/>
            </w:pPr>
            <w:r>
              <w:rPr>
                <w:rFonts w:ascii="Calibri" w:hAnsi="Calibri"/>
                <w:color w:val="24313A"/>
                <w:sz w:val="17"/>
              </w:rPr>
              <w:t>Every constituency has a stable link, reservation label, and valid election association.</w:t>
            </w:r>
          </w:p>
        </w:tc>
      </w:tr>
      <w:tr>
        <w:tc>
          <w:tcPr>
            <w:tcW w:type="dxa" w:w="2232"/>
          </w:tcPr>
          <w:p>
            <w:pPr>
              <w:spacing w:after="0"/>
            </w:pPr>
            <w:r>
              <w:rPr>
                <w:rFonts w:ascii="Calibri" w:hAnsi="Calibri"/>
                <w:color w:val="24313A"/>
                <w:sz w:val="17"/>
              </w:rPr>
              <w:t>Candidate/winner list</w:t>
            </w:r>
          </w:p>
        </w:tc>
        <w:tc>
          <w:tcPr>
            <w:tcW w:type="dxa" w:w="7128"/>
          </w:tcPr>
          <w:p>
            <w:pPr>
              <w:spacing w:after="0"/>
            </w:pPr>
            <w:r>
              <w:rPr>
                <w:rFonts w:ascii="Calibri" w:hAnsi="Calibri"/>
                <w:color w:val="24313A"/>
                <w:sz w:val="17"/>
              </w:rPr>
              <w:t>Filters, sort, pagination, URLs, keyboard behavior, mobile table/card layout, and empty/error states work.</w:t>
            </w:r>
          </w:p>
        </w:tc>
      </w:tr>
      <w:tr>
        <w:tc>
          <w:tcPr>
            <w:tcW w:type="dxa" w:w="2232"/>
          </w:tcPr>
          <w:p>
            <w:pPr>
              <w:spacing w:after="0"/>
            </w:pPr>
            <w:r>
              <w:rPr>
                <w:rFonts w:ascii="Calibri" w:hAnsi="Calibri"/>
                <w:color w:val="24313A"/>
                <w:sz w:val="17"/>
              </w:rPr>
              <w:t>Candidate profile</w:t>
            </w:r>
          </w:p>
        </w:tc>
        <w:tc>
          <w:tcPr>
            <w:tcW w:type="dxa" w:w="7128"/>
          </w:tcPr>
          <w:p>
            <w:pPr>
              <w:spacing w:after="0"/>
            </w:pPr>
            <w:r>
              <w:rPr>
                <w:rFonts w:ascii="Calibri" w:hAnsi="Calibri"/>
                <w:color w:val="24313A"/>
                <w:sz w:val="17"/>
              </w:rPr>
              <w:t>All available contract sections render; absent data is not invented; source, affidavit date, archive warning, and discrepancy path are visible.</w:t>
            </w:r>
          </w:p>
        </w:tc>
      </w:tr>
      <w:tr>
        <w:tc>
          <w:tcPr>
            <w:tcW w:type="dxa" w:w="2232"/>
          </w:tcPr>
          <w:p>
            <w:pPr>
              <w:spacing w:after="0"/>
            </w:pPr>
            <w:r>
              <w:rPr>
                <w:rFonts w:ascii="Calibri" w:hAnsi="Calibri"/>
                <w:color w:val="24313A"/>
                <w:sz w:val="17"/>
              </w:rPr>
              <w:t>Party profile</w:t>
            </w:r>
          </w:p>
        </w:tc>
        <w:tc>
          <w:tcPr>
            <w:tcW w:type="dxa" w:w="7128"/>
          </w:tcPr>
          <w:p>
            <w:pPr>
              <w:spacing w:after="0"/>
            </w:pPr>
            <w:r>
              <w:rPr>
                <w:rFonts w:ascii="Calibri" w:hAnsi="Calibri"/>
                <w:color w:val="24313A"/>
                <w:sz w:val="17"/>
              </w:rPr>
              <w:t>Metadata and yearly totals reconcile with source records; annual details are reachable.</w:t>
            </w:r>
          </w:p>
        </w:tc>
      </w:tr>
      <w:tr>
        <w:tc>
          <w:tcPr>
            <w:tcW w:type="dxa" w:w="2232"/>
          </w:tcPr>
          <w:p>
            <w:pPr>
              <w:spacing w:after="0"/>
            </w:pPr>
            <w:r>
              <w:rPr>
                <w:rFonts w:ascii="Calibri" w:hAnsi="Calibri"/>
                <w:color w:val="24313A"/>
                <w:sz w:val="17"/>
              </w:rPr>
              <w:t>Comparison</w:t>
            </w:r>
          </w:p>
        </w:tc>
        <w:tc>
          <w:tcPr>
            <w:tcW w:type="dxa" w:w="7128"/>
          </w:tcPr>
          <w:p>
            <w:pPr>
              <w:spacing w:after="0"/>
            </w:pPr>
            <w:r>
              <w:rPr>
                <w:rFonts w:ascii="Calibri" w:hAnsi="Calibri"/>
                <w:color w:val="24313A"/>
                <w:sz w:val="17"/>
              </w:rPr>
              <w:t>Candidate identity is reconciled across elections; deltas and percentages are test-covered.</w:t>
            </w:r>
          </w:p>
        </w:tc>
      </w:tr>
      <w:tr>
        <w:tc>
          <w:tcPr>
            <w:tcW w:type="dxa" w:w="2232"/>
          </w:tcPr>
          <w:p>
            <w:pPr>
              <w:spacing w:after="0"/>
            </w:pPr>
            <w:r>
              <w:rPr>
                <w:rFonts w:ascii="Calibri" w:hAnsi="Calibri"/>
                <w:color w:val="24313A"/>
                <w:sz w:val="17"/>
              </w:rPr>
              <w:t>Special datasets</w:t>
            </w:r>
          </w:p>
        </w:tc>
        <w:tc>
          <w:tcPr>
            <w:tcW w:type="dxa" w:w="7128"/>
          </w:tcPr>
          <w:p>
            <w:pPr>
              <w:spacing w:after="0"/>
            </w:pPr>
            <w:r>
              <w:rPr>
                <w:rFonts w:ascii="Calibri" w:hAnsi="Calibri"/>
                <w:color w:val="24313A"/>
                <w:sz w:val="17"/>
              </w:rPr>
              <w:t>Provenance, legal wording, update cadence, and source-document retention are documented.</w:t>
            </w:r>
          </w:p>
        </w:tc>
      </w:tr>
    </w:tbl>
    <w:p>
      <w:pPr>
        <w:spacing w:after="0"/>
      </w:pPr>
    </w:p>
    <w:p>
      <w:pPr>
        <w:pStyle w:val="Heading2"/>
      </w:pPr>
      <w:r>
        <w:t>Cross-cutting requirements missing from current parity</w:t>
      </w:r>
    </w:p>
    <w:p>
      <w:pPr>
        <w:pStyle w:val="ListBullet"/>
      </w:pPr>
      <w:r>
        <w:t>Data provenance, freshness, affidavit/archive disclaimers, and discrepancy handling.</w:t>
      </w:r>
    </w:p>
    <w:p>
      <w:pPr>
        <w:pStyle w:val="ListBullet"/>
      </w:pPr>
      <w:r>
        <w:t>Stable public URLs, breadcrumbs, metadata/SEO, sitemap generation, and share/print behavior.</w:t>
      </w:r>
    </w:p>
    <w:p>
      <w:pPr>
        <w:pStyle w:val="ListBullet"/>
      </w:pPr>
      <w:r>
        <w:t>Search/filter query persistence and graceful missing-data/error states.</w:t>
      </w:r>
    </w:p>
    <w:p>
      <w:pPr>
        <w:pStyle w:val="ListBullet"/>
      </w:pPr>
      <w:r>
        <w:t>Accessibility for tables, tabs, images, keyboard navigation, color contrast, and Indian-language copy.</w:t>
      </w:r>
    </w:p>
    <w:p>
      <w:pPr>
        <w:pStyle w:val="ListBullet"/>
      </w:pPr>
      <w:r>
        <w:t>Performance budgets and route-level loading so large election datasets are not shipped in the initial bundle.</w:t>
      </w:r>
    </w:p>
    <w:p>
      <w:r>
        <w:br w:type="page"/>
      </w:r>
    </w:p>
    <w:p>
      <w:pPr>
        <w:pStyle w:val="Heading1"/>
      </w:pPr>
      <w:r>
        <w:t>7. Scope decisions to make before implementation</w:t>
      </w:r>
    </w:p>
    <w:tbl>
      <w:tblPr>
        <w:tblStyle w:val="TableGrid"/>
        <w:tblW w:type="dxa" w:w="9360"/>
        <w:jc w:val="left"/>
        <w:tblLayout w:type="fixed"/>
        <w:tblLook w:firstColumn="1" w:firstRow="1" w:lastColumn="0" w:lastRow="0" w:noHBand="0" w:noVBand="1" w:val="04A0"/>
        <w:tblInd w:w="120" w:type="dxa"/>
      </w:tblPr>
      <w:tblGrid>
        <w:gridCol w:w="2880"/>
        <w:gridCol w:w="6480"/>
      </w:tblGrid>
      <w:tr>
        <w:trPr>
          <w:tblHeader w:val="true"/>
        </w:trPr>
        <w:tc>
          <w:tcPr>
            <w:tcW w:type="dxa" w:w="2880"/>
            <w:vAlign w:val="center"/>
            <w:tcMar>
              <w:top w:w="90" w:type="dxa"/>
              <w:start w:w="110" w:type="dxa"/>
              <w:bottom w:w="90" w:type="dxa"/>
              <w:end w:w="110" w:type="dxa"/>
            </w:tcMar>
            <w:shd w:fill="F2F4F7"/>
          </w:tcPr>
          <w:p>
            <w:pPr>
              <w:spacing w:after="0"/>
            </w:pPr>
            <w:r>
              <w:rPr>
                <w:rFonts w:ascii="Calibri" w:hAnsi="Calibri"/>
                <w:b/>
                <w:color w:val="1F4D78"/>
                <w:sz w:val="18"/>
              </w:rPr>
              <w:t>Decision</w:t>
            </w:r>
          </w:p>
        </w:tc>
        <w:tc>
          <w:tcPr>
            <w:tcW w:type="dxa" w:w="6480"/>
            <w:vAlign w:val="center"/>
            <w:tcMar>
              <w:top w:w="90" w:type="dxa"/>
              <w:start w:w="110" w:type="dxa"/>
              <w:bottom w:w="90" w:type="dxa"/>
              <w:end w:w="110" w:type="dxa"/>
            </w:tcMar>
            <w:shd w:fill="F2F4F7"/>
          </w:tcPr>
          <w:p>
            <w:pPr>
              <w:spacing w:after="0"/>
            </w:pPr>
            <w:r>
              <w:rPr>
                <w:rFonts w:ascii="Calibri" w:hAnsi="Calibri"/>
                <w:b/>
                <w:color w:val="1F4D78"/>
                <w:sz w:val="18"/>
              </w:rPr>
              <w:t>Recommended default</w:t>
            </w:r>
          </w:p>
        </w:tc>
      </w:tr>
      <w:tr>
        <w:tc>
          <w:tcPr>
            <w:tcW w:type="dxa" w:w="2880"/>
          </w:tcPr>
          <w:p>
            <w:pPr>
              <w:spacing w:after="0"/>
            </w:pPr>
            <w:r>
              <w:rPr>
                <w:rFonts w:ascii="Calibri" w:hAnsi="Calibri"/>
                <w:color w:val="24313A"/>
                <w:sz w:val="18"/>
              </w:rPr>
              <w:t>Product goal</w:t>
            </w:r>
          </w:p>
        </w:tc>
        <w:tc>
          <w:tcPr>
            <w:tcW w:type="dxa" w:w="6480"/>
          </w:tcPr>
          <w:p>
            <w:pPr>
              <w:spacing w:after="0"/>
            </w:pPr>
            <w:r>
              <w:rPr>
                <w:rFonts w:ascii="Calibri" w:hAnsi="Calibri"/>
                <w:color w:val="24313A"/>
                <w:sz w:val="18"/>
              </w:rPr>
              <w:t>A cleaner, mobile-first election evidence explorer—not a visual clone of MyNeta.</w:t>
            </w:r>
          </w:p>
        </w:tc>
      </w:tr>
      <w:tr>
        <w:tc>
          <w:tcPr>
            <w:tcW w:type="dxa" w:w="2880"/>
          </w:tcPr>
          <w:p>
            <w:pPr>
              <w:spacing w:after="0"/>
            </w:pPr>
            <w:r>
              <w:rPr>
                <w:rFonts w:ascii="Calibri" w:hAnsi="Calibri"/>
                <w:color w:val="24313A"/>
                <w:sz w:val="18"/>
              </w:rPr>
              <w:t>Initial coverage</w:t>
            </w:r>
          </w:p>
        </w:tc>
        <w:tc>
          <w:tcPr>
            <w:tcW w:type="dxa" w:w="6480"/>
          </w:tcPr>
          <w:p>
            <w:pPr>
              <w:spacing w:after="0"/>
            </w:pPr>
            <w:r>
              <w:rPr>
                <w:rFonts w:ascii="Calibri" w:hAnsi="Calibri"/>
                <w:color w:val="24313A"/>
                <w:sz w:val="18"/>
              </w:rPr>
              <w:t>One assembly election plus one second-state validation dataset.</w:t>
            </w:r>
          </w:p>
        </w:tc>
      </w:tr>
      <w:tr>
        <w:tc>
          <w:tcPr>
            <w:tcW w:type="dxa" w:w="2880"/>
          </w:tcPr>
          <w:p>
            <w:pPr>
              <w:spacing w:after="0"/>
            </w:pPr>
            <w:r>
              <w:rPr>
                <w:rFonts w:ascii="Calibri" w:hAnsi="Calibri"/>
                <w:color w:val="24313A"/>
                <w:sz w:val="18"/>
              </w:rPr>
              <w:t>Core audience</w:t>
            </w:r>
          </w:p>
        </w:tc>
        <w:tc>
          <w:tcPr>
            <w:tcW w:type="dxa" w:w="6480"/>
          </w:tcPr>
          <w:p>
            <w:pPr>
              <w:spacing w:after="0"/>
            </w:pPr>
            <w:r>
              <w:rPr>
                <w:rFonts w:ascii="Calibri" w:hAnsi="Calibri"/>
                <w:color w:val="24313A"/>
                <w:sz w:val="18"/>
              </w:rPr>
              <w:t>Voters browsing candidates/constituencies; researchers are secondary in phase 1.</w:t>
            </w:r>
          </w:p>
        </w:tc>
      </w:tr>
      <w:tr>
        <w:tc>
          <w:tcPr>
            <w:tcW w:type="dxa" w:w="2880"/>
          </w:tcPr>
          <w:p>
            <w:pPr>
              <w:spacing w:after="0"/>
            </w:pPr>
            <w:r>
              <w:rPr>
                <w:rFonts w:ascii="Calibri" w:hAnsi="Calibri"/>
                <w:color w:val="24313A"/>
                <w:sz w:val="18"/>
              </w:rPr>
              <w:t>Data authority</w:t>
            </w:r>
          </w:p>
        </w:tc>
        <w:tc>
          <w:tcPr>
            <w:tcW w:type="dxa" w:w="6480"/>
          </w:tcPr>
          <w:p>
            <w:pPr>
              <w:spacing w:after="0"/>
            </w:pPr>
            <w:r>
              <w:rPr>
                <w:rFonts w:ascii="Calibri" w:hAnsi="Calibri"/>
                <w:color w:val="24313A"/>
                <w:sz w:val="18"/>
              </w:rPr>
              <w:t>Election Commission affidavit/source artifacts and your validated scraper outputs.</w:t>
            </w:r>
          </w:p>
        </w:tc>
      </w:tr>
      <w:tr>
        <w:tc>
          <w:tcPr>
            <w:tcW w:type="dxa" w:w="2880"/>
          </w:tcPr>
          <w:p>
            <w:pPr>
              <w:spacing w:after="0"/>
            </w:pPr>
            <w:r>
              <w:rPr>
                <w:rFonts w:ascii="Calibri" w:hAnsi="Calibri"/>
                <w:color w:val="24313A"/>
                <w:sz w:val="18"/>
              </w:rPr>
              <w:t>MyNeta relationship</w:t>
            </w:r>
          </w:p>
        </w:tc>
        <w:tc>
          <w:tcPr>
            <w:tcW w:type="dxa" w:w="6480"/>
          </w:tcPr>
          <w:p>
            <w:pPr>
              <w:spacing w:after="0"/>
            </w:pPr>
            <w:r>
              <w:rPr>
                <w:rFonts w:ascii="Calibri" w:hAnsi="Calibri"/>
                <w:color w:val="24313A"/>
                <w:sz w:val="18"/>
              </w:rPr>
              <w:t>Benchmark fields and journeys; link/attribute where appropriate; do not scrape or reproduce without checking terms and provenance.</w:t>
            </w:r>
          </w:p>
        </w:tc>
      </w:tr>
      <w:tr>
        <w:tc>
          <w:tcPr>
            <w:tcW w:type="dxa" w:w="2880"/>
          </w:tcPr>
          <w:p>
            <w:pPr>
              <w:spacing w:after="0"/>
            </w:pPr>
            <w:r>
              <w:rPr>
                <w:rFonts w:ascii="Calibri" w:hAnsi="Calibri"/>
                <w:color w:val="24313A"/>
                <w:sz w:val="18"/>
              </w:rPr>
              <w:t>Language</w:t>
            </w:r>
          </w:p>
        </w:tc>
        <w:tc>
          <w:tcPr>
            <w:tcW w:type="dxa" w:w="6480"/>
          </w:tcPr>
          <w:p>
            <w:pPr>
              <w:spacing w:after="0"/>
            </w:pPr>
            <w:r>
              <w:rPr>
                <w:rFonts w:ascii="Calibri" w:hAnsi="Calibri"/>
                <w:color w:val="24313A"/>
                <w:sz w:val="18"/>
              </w:rPr>
              <w:t>English contract first, but all labels externalized for Indian-language localization.</w:t>
            </w:r>
          </w:p>
        </w:tc>
      </w:tr>
      <w:tr>
        <w:tc>
          <w:tcPr>
            <w:tcW w:type="dxa" w:w="2880"/>
          </w:tcPr>
          <w:p>
            <w:pPr>
              <w:spacing w:after="0"/>
            </w:pPr>
            <w:r>
              <w:rPr>
                <w:rFonts w:ascii="Calibri" w:hAnsi="Calibri"/>
                <w:color w:val="24313A"/>
                <w:sz w:val="18"/>
              </w:rPr>
              <w:t>Special datasets</w:t>
            </w:r>
          </w:p>
        </w:tc>
        <w:tc>
          <w:tcPr>
            <w:tcW w:type="dxa" w:w="6480"/>
          </w:tcPr>
          <w:p>
            <w:pPr>
              <w:spacing w:after="0"/>
            </w:pPr>
            <w:r>
              <w:rPr>
                <w:rFonts w:ascii="Calibri" w:hAnsi="Calibri"/>
                <w:color w:val="24313A"/>
                <w:sz w:val="18"/>
              </w:rPr>
              <w:t>Defer party donations, expenses, and electoral bonds until core candidate data is trustworthy.</w:t>
            </w:r>
          </w:p>
        </w:tc>
      </w:tr>
    </w:tbl>
    <w:p>
      <w:pPr>
        <w:spacing w:after="0"/>
      </w:pPr>
    </w:p>
    <w:p>
      <w:pPr>
        <w:spacing w:before="100" w:after="160"/>
        <w:ind w:left="173" w:right="173"/>
        <w:shd w:fill="FFF5D6"/>
      </w:pPr>
      <w:r>
        <w:rPr>
          <w:rFonts w:ascii="Calibri" w:hAnsi="Calibri"/>
          <w:b/>
          <w:color w:val="1F4D78"/>
          <w:sz w:val="21"/>
        </w:rPr>
        <w:t xml:space="preserve">Recommended next task  </w:t>
      </w:r>
      <w:r>
        <w:rPr>
          <w:rFonts w:ascii="Calibri" w:hAnsi="Calibri"/>
          <w:color w:val="24313A"/>
          <w:sz w:val="21"/>
        </w:rPr>
        <w:t>Create a plan-only specification for Phase 1 containing route contracts, JSON schemas, page acceptance criteria, source/freshness fields, and the exact migration from embedded TypeScript datasets to static JSON. No new UI page should be built until that specification resolves IDs and provenance.</w:t>
      </w:r>
    </w:p>
    <w:p>
      <w:pPr>
        <w:pStyle w:val="Heading2"/>
      </w:pPr>
      <w:r>
        <w:t>Evidence and limitations</w:t>
      </w:r>
    </w:p>
    <w:p>
      <w:pPr>
        <w:pStyle w:val="ListBullet"/>
      </w:pPr>
      <w:r>
        <w:t>Local comparison used the active source tree and page registry as of 12 July 2026; archived React code was excluded.</w:t>
      </w:r>
    </w:p>
    <w:p>
      <w:pPr>
        <w:pStyle w:val="ListBullet"/>
      </w:pPr>
      <w:r>
        <w:t>MyNeta was sampled through representative live page families rather than exhaustively enumerating every historical election URL.</w:t>
      </w:r>
    </w:p>
    <w:p>
      <w:pPr>
        <w:pStyle w:val="ListBullet"/>
      </w:pPr>
      <w:r>
        <w:t>Feature parity does not imply permission to copy content, images, wording, data, or interaction design. Confirm source rights, attribution, and applicable terms before ingestion or republication.</w:t>
      </w:r>
    </w:p>
    <w:p>
      <w:pPr>
        <w:pStyle w:val="ListBullet"/>
      </w:pPr>
      <w:r>
        <w:t>“Missing” means missing relative to MyNeta’s public information architecture; it does not automatically mean the feature belongs in your product.</w:t>
      </w:r>
    </w:p>
    <w:p>
      <w:r>
        <w:br w:type="page"/>
      </w:r>
    </w:p>
    <w:p>
      <w:pPr>
        <w:pStyle w:val="Heading1"/>
      </w:pPr>
      <w:r>
        <w:t>Appendix: live pages reviewed</w:t>
      </w:r>
    </w:p>
    <w:tbl>
      <w:tblPr>
        <w:tblStyle w:val="TableGrid"/>
        <w:tblW w:type="dxa" w:w="9360"/>
        <w:jc w:val="left"/>
        <w:tblLayout w:type="fixed"/>
        <w:tblLook w:firstColumn="1" w:firstRow="1" w:lastColumn="0" w:lastRow="0" w:noHBand="0" w:noVBand="1" w:val="04A0"/>
        <w:tblInd w:w="120" w:type="dxa"/>
      </w:tblPr>
      <w:tblGrid>
        <w:gridCol w:w="3312"/>
        <w:gridCol w:w="6048"/>
      </w:tblGrid>
      <w:tr>
        <w:trPr>
          <w:tblHeader w:val="true"/>
        </w:trPr>
        <w:tc>
          <w:tcPr>
            <w:tcW w:type="dxa" w:w="3312"/>
            <w:vAlign w:val="center"/>
            <w:tcMar>
              <w:top w:w="90" w:type="dxa"/>
              <w:start w:w="110" w:type="dxa"/>
              <w:bottom w:w="90" w:type="dxa"/>
              <w:end w:w="110" w:type="dxa"/>
            </w:tcMar>
            <w:shd w:fill="E8EEF5"/>
          </w:tcPr>
          <w:p>
            <w:pPr>
              <w:spacing w:after="0"/>
            </w:pPr>
            <w:r>
              <w:rPr>
                <w:rFonts w:ascii="Calibri" w:hAnsi="Calibri"/>
                <w:b/>
                <w:color w:val="1F4D78"/>
                <w:sz w:val="16"/>
              </w:rPr>
              <w:t>Source</w:t>
            </w:r>
          </w:p>
        </w:tc>
        <w:tc>
          <w:tcPr>
            <w:tcW w:type="dxa" w:w="6048"/>
            <w:vAlign w:val="center"/>
            <w:tcMar>
              <w:top w:w="90" w:type="dxa"/>
              <w:start w:w="110" w:type="dxa"/>
              <w:bottom w:w="90" w:type="dxa"/>
              <w:end w:w="110" w:type="dxa"/>
            </w:tcMar>
            <w:shd w:fill="E8EEF5"/>
          </w:tcPr>
          <w:p>
            <w:pPr>
              <w:spacing w:after="0"/>
            </w:pPr>
            <w:r>
              <w:rPr>
                <w:rFonts w:ascii="Calibri" w:hAnsi="Calibri"/>
                <w:b/>
                <w:color w:val="1F4D78"/>
                <w:sz w:val="16"/>
              </w:rPr>
              <w:t>URL</w:t>
            </w:r>
          </w:p>
        </w:tc>
      </w:tr>
      <w:tr>
        <w:tc>
          <w:tcPr>
            <w:tcW w:type="dxa" w:w="3312"/>
          </w:tcPr>
          <w:p>
            <w:pPr>
              <w:spacing w:after="0"/>
            </w:pPr>
            <w:r>
              <w:rPr>
                <w:rFonts w:ascii="Calibri" w:hAnsi="Calibri"/>
                <w:color w:val="24313A"/>
                <w:sz w:val="16"/>
              </w:rPr>
              <w:t>MyNeta home and archive index</w:t>
            </w:r>
          </w:p>
        </w:tc>
        <w:tc>
          <w:tcPr>
            <w:tcW w:type="dxa" w:w="6048"/>
          </w:tcPr>
          <w:p>
            <w:pPr>
              <w:spacing w:after="0"/>
            </w:pPr>
            <w:r>
              <w:rPr>
                <w:rFonts w:ascii="Calibri" w:hAnsi="Calibri"/>
                <w:color w:val="24313A"/>
                <w:sz w:val="16"/>
              </w:rPr>
              <w:t>https://www.myneta.info/</w:t>
            </w:r>
          </w:p>
        </w:tc>
      </w:tr>
      <w:tr>
        <w:tc>
          <w:tcPr>
            <w:tcW w:type="dxa" w:w="3312"/>
          </w:tcPr>
          <w:p>
            <w:pPr>
              <w:spacing w:after="0"/>
            </w:pPr>
            <w:r>
              <w:rPr>
                <w:rFonts w:ascii="Calibri" w:hAnsi="Calibri"/>
                <w:color w:val="24313A"/>
                <w:sz w:val="16"/>
              </w:rPr>
              <w:t>Lok Sabha 2024 summary and constituency directory</w:t>
            </w:r>
          </w:p>
        </w:tc>
        <w:tc>
          <w:tcPr>
            <w:tcW w:type="dxa" w:w="6048"/>
          </w:tcPr>
          <w:p>
            <w:pPr>
              <w:spacing w:after="0"/>
            </w:pPr>
            <w:r>
              <w:rPr>
                <w:rFonts w:ascii="Calibri" w:hAnsi="Calibri"/>
                <w:color w:val="24313A"/>
                <w:sz w:val="16"/>
              </w:rPr>
              <w:t>https://www.myneta.info/LokSabha2024/</w:t>
            </w:r>
          </w:p>
        </w:tc>
      </w:tr>
      <w:tr>
        <w:tc>
          <w:tcPr>
            <w:tcW w:type="dxa" w:w="3312"/>
          </w:tcPr>
          <w:p>
            <w:pPr>
              <w:spacing w:after="0"/>
            </w:pPr>
            <w:r>
              <w:rPr>
                <w:rFonts w:ascii="Calibri" w:hAnsi="Calibri"/>
                <w:color w:val="24313A"/>
                <w:sz w:val="16"/>
              </w:rPr>
              <w:t>Lok Sabha 2024 winners list</w:t>
            </w:r>
          </w:p>
        </w:tc>
        <w:tc>
          <w:tcPr>
            <w:tcW w:type="dxa" w:w="6048"/>
          </w:tcPr>
          <w:p>
            <w:pPr>
              <w:spacing w:after="0"/>
            </w:pPr>
            <w:r>
              <w:rPr>
                <w:rFonts w:ascii="Calibri" w:hAnsi="Calibri"/>
                <w:color w:val="24313A"/>
                <w:sz w:val="16"/>
              </w:rPr>
              <w:t>https://www.myneta.info/LokSabha2024/index.php?action=show_winners&amp;sort=default</w:t>
            </w:r>
          </w:p>
        </w:tc>
      </w:tr>
      <w:tr>
        <w:tc>
          <w:tcPr>
            <w:tcW w:type="dxa" w:w="3312"/>
          </w:tcPr>
          <w:p>
            <w:pPr>
              <w:spacing w:after="0"/>
            </w:pPr>
            <w:r>
              <w:rPr>
                <w:rFonts w:ascii="Calibri" w:hAnsi="Calibri"/>
                <w:color w:val="24313A"/>
                <w:sz w:val="16"/>
              </w:rPr>
              <w:t>Representative candidate affidavit profile</w:t>
            </w:r>
          </w:p>
        </w:tc>
        <w:tc>
          <w:tcPr>
            <w:tcW w:type="dxa" w:w="6048"/>
          </w:tcPr>
          <w:p>
            <w:pPr>
              <w:spacing w:after="0"/>
            </w:pPr>
            <w:r>
              <w:rPr>
                <w:rFonts w:ascii="Calibri" w:hAnsi="Calibri"/>
                <w:color w:val="24313A"/>
                <w:sz w:val="16"/>
              </w:rPr>
              <w:t>https://www.myneta.info/LokSabha2024/candidate.php?candidate_id=5395</w:t>
            </w:r>
          </w:p>
        </w:tc>
      </w:tr>
      <w:tr>
        <w:tc>
          <w:tcPr>
            <w:tcW w:type="dxa" w:w="3312"/>
          </w:tcPr>
          <w:p>
            <w:pPr>
              <w:spacing w:after="0"/>
            </w:pPr>
            <w:r>
              <w:rPr>
                <w:rFonts w:ascii="Calibri" w:hAnsi="Calibri"/>
                <w:color w:val="24313A"/>
                <w:sz w:val="16"/>
              </w:rPr>
              <w:t>State assembly year archive</w:t>
            </w:r>
          </w:p>
        </w:tc>
        <w:tc>
          <w:tcPr>
            <w:tcW w:type="dxa" w:w="6048"/>
          </w:tcPr>
          <w:p>
            <w:pPr>
              <w:spacing w:after="0"/>
            </w:pPr>
            <w:r>
              <w:rPr>
                <w:rFonts w:ascii="Calibri" w:hAnsi="Calibri"/>
                <w:color w:val="24313A"/>
                <w:sz w:val="16"/>
              </w:rPr>
              <w:t>https://www.myneta.info/state_assembly.php?state=Andhra+Pradesh</w:t>
            </w:r>
          </w:p>
        </w:tc>
      </w:tr>
      <w:tr>
        <w:tc>
          <w:tcPr>
            <w:tcW w:type="dxa" w:w="3312"/>
          </w:tcPr>
          <w:p>
            <w:pPr>
              <w:spacing w:after="0"/>
            </w:pPr>
            <w:r>
              <w:rPr>
                <w:rFonts w:ascii="Calibri" w:hAnsi="Calibri"/>
                <w:color w:val="24313A"/>
                <w:sz w:val="16"/>
              </w:rPr>
              <w:t>Re-contesting asset comparison</w:t>
            </w:r>
          </w:p>
        </w:tc>
        <w:tc>
          <w:tcPr>
            <w:tcW w:type="dxa" w:w="6048"/>
          </w:tcPr>
          <w:p>
            <w:pPr>
              <w:spacing w:after="0"/>
            </w:pPr>
            <w:r>
              <w:rPr>
                <w:rFonts w:ascii="Calibri" w:hAnsi="Calibri"/>
                <w:color w:val="24313A"/>
                <w:sz w:val="16"/>
              </w:rPr>
              <w:t>https://www.myneta.info/LokSabha2024/index.php?action=recontestAssetsComparison</w:t>
            </w:r>
          </w:p>
        </w:tc>
      </w:tr>
      <w:tr>
        <w:tc>
          <w:tcPr>
            <w:tcW w:type="dxa" w:w="3312"/>
          </w:tcPr>
          <w:p>
            <w:pPr>
              <w:spacing w:after="0"/>
            </w:pPr>
            <w:r>
              <w:rPr>
                <w:rFonts w:ascii="Calibri" w:hAnsi="Calibri"/>
                <w:color w:val="24313A"/>
                <w:sz w:val="16"/>
              </w:rPr>
              <w:t>Winner election expenses</w:t>
            </w:r>
          </w:p>
        </w:tc>
        <w:tc>
          <w:tcPr>
            <w:tcW w:type="dxa" w:w="6048"/>
          </w:tcPr>
          <w:p>
            <w:pPr>
              <w:spacing w:after="0"/>
            </w:pPr>
            <w:r>
              <w:rPr>
                <w:rFonts w:ascii="Calibri" w:hAnsi="Calibri"/>
                <w:color w:val="24313A"/>
                <w:sz w:val="16"/>
              </w:rPr>
              <w:t>https://www.myneta.info/LokSabha2019/index.php?action=showWinnersExpense&amp;sortExp=default</w:t>
            </w:r>
          </w:p>
        </w:tc>
      </w:tr>
      <w:tr>
        <w:tc>
          <w:tcPr>
            <w:tcW w:type="dxa" w:w="3312"/>
          </w:tcPr>
          <w:p>
            <w:pPr>
              <w:spacing w:after="0"/>
            </w:pPr>
            <w:r>
              <w:rPr>
                <w:rFonts w:ascii="Calibri" w:hAnsi="Calibri"/>
                <w:color w:val="24313A"/>
                <w:sz w:val="16"/>
              </w:rPr>
              <w:t>Political-party directory</w:t>
            </w:r>
          </w:p>
        </w:tc>
        <w:tc>
          <w:tcPr>
            <w:tcW w:type="dxa" w:w="6048"/>
          </w:tcPr>
          <w:p>
            <w:pPr>
              <w:spacing w:after="0"/>
            </w:pPr>
            <w:r>
              <w:rPr>
                <w:rFonts w:ascii="Calibri" w:hAnsi="Calibri"/>
                <w:color w:val="24313A"/>
                <w:sz w:val="16"/>
              </w:rPr>
              <w:t>https://www.myneta.info/party/</w:t>
            </w:r>
          </w:p>
        </w:tc>
      </w:tr>
      <w:tr>
        <w:tc>
          <w:tcPr>
            <w:tcW w:type="dxa" w:w="3312"/>
          </w:tcPr>
          <w:p>
            <w:pPr>
              <w:spacing w:after="0"/>
            </w:pPr>
            <w:r>
              <w:rPr>
                <w:rFonts w:ascii="Calibri" w:hAnsi="Calibri"/>
                <w:color w:val="24313A"/>
                <w:sz w:val="16"/>
              </w:rPr>
              <w:t>Representative party financial summary</w:t>
            </w:r>
          </w:p>
        </w:tc>
        <w:tc>
          <w:tcPr>
            <w:tcW w:type="dxa" w:w="6048"/>
          </w:tcPr>
          <w:p>
            <w:pPr>
              <w:spacing w:after="0"/>
            </w:pPr>
            <w:r>
              <w:rPr>
                <w:rFonts w:ascii="Calibri" w:hAnsi="Calibri"/>
                <w:color w:val="24313A"/>
                <w:sz w:val="16"/>
              </w:rPr>
              <w:t>https://www.myneta.info/party/index.php?action=summary&amp;id=1449</w:t>
            </w:r>
          </w:p>
        </w:tc>
      </w:tr>
      <w:tr>
        <w:tc>
          <w:tcPr>
            <w:tcW w:type="dxa" w:w="3312"/>
          </w:tcPr>
          <w:p>
            <w:pPr>
              <w:spacing w:after="0"/>
            </w:pPr>
            <w:r>
              <w:rPr>
                <w:rFonts w:ascii="Calibri" w:hAnsi="Calibri"/>
                <w:color w:val="24313A"/>
                <w:sz w:val="16"/>
              </w:rPr>
              <w:t>Electoral bonds, party ranking</w:t>
            </w:r>
          </w:p>
        </w:tc>
        <w:tc>
          <w:tcPr>
            <w:tcW w:type="dxa" w:w="6048"/>
          </w:tcPr>
          <w:p>
            <w:pPr>
              <w:spacing w:after="0"/>
            </w:pPr>
            <w:r>
              <w:rPr>
                <w:rFonts w:ascii="Calibri" w:hAnsi="Calibri"/>
                <w:color w:val="24313A"/>
                <w:sz w:val="16"/>
              </w:rPr>
              <w:t>https://myneta.info/electoral_bonds/parties_highest_to_lowest.php</w:t>
            </w:r>
          </w:p>
        </w:tc>
      </w:tr>
      <w:tr>
        <w:tc>
          <w:tcPr>
            <w:tcW w:type="dxa" w:w="3312"/>
          </w:tcPr>
          <w:p>
            <w:pPr>
              <w:spacing w:after="0"/>
            </w:pPr>
            <w:r>
              <w:rPr>
                <w:rFonts w:ascii="Calibri" w:hAnsi="Calibri"/>
                <w:color w:val="24313A"/>
                <w:sz w:val="16"/>
              </w:rPr>
              <w:t>Electoral bonds, donor ranking</w:t>
            </w:r>
          </w:p>
        </w:tc>
        <w:tc>
          <w:tcPr>
            <w:tcW w:type="dxa" w:w="6048"/>
          </w:tcPr>
          <w:p>
            <w:pPr>
              <w:spacing w:after="0"/>
            </w:pPr>
            <w:r>
              <w:rPr>
                <w:rFonts w:ascii="Calibri" w:hAnsi="Calibri"/>
                <w:color w:val="24313A"/>
                <w:sz w:val="16"/>
              </w:rPr>
              <w:t>https://myneta.info/electoral_bonds/donors_highest_to_lowest.php</w:t>
            </w:r>
          </w:p>
        </w:tc>
      </w:tr>
    </w:tbl>
    <w:p>
      <w:pPr>
        <w:spacing w:after="0"/>
      </w:pPr>
    </w:p>
    <w:p>
      <w:pPr/>
      <w:r>
        <w:t>All live pages were accessed on 12 July 2026. MyNeta’s content and navigation can change after this assessment.</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181" w:right="1440" w:bottom="1181"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F6B73"/>
        <w:sz w:val="17"/>
      </w:rPr>
      <w:t xml:space="preserve">Election Info Display vs MyNeta  •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F6B73"/>
        <w:sz w:val="17"/>
      </w:rPr>
      <w:t xml:space="preserve">Election Info Display vs MyNeta  •  </w:t>
    </w:r>
    <w: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F6B73"/>
        <w:sz w:val="17"/>
      </w:rPr>
      <w:t xml:space="preserve">Election Info Display vs MyNeta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F6B73"/>
        <w:sz w:val="17"/>
      </w:rPr>
      <w:t>PRODUCT GAP REVIEW  |  12 JULY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F6B73"/>
        <w:sz w:val="17"/>
      </w:rPr>
      <w:t>PRODUCT GAP REVIEW  |  12 JULY 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5F6B73"/>
        <w:sz w:val="17"/>
      </w:rPr>
      <w:t>PRODUCT GAP REVIEW  |  12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4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val="0"/>
      <w:color w:val="2431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F6B7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