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Plan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 Team A (Stakeholders)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Contacting stakeholders and Client Interviews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User Acceptance Testing and Milestone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Team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Research of causes and effects of air pollution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Competitor Analysis and User Interviews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Setting baseline and success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 Team B (Requirements gathering and final report)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Initial Requirements, Use Cases and MoSCoW analysis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Personas, Scenarios and Initial wireframes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Writing final report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Development Team (Analysis, Design and Implementation)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Visual design and Technical Design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Frontend implementation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Analysing, selecting and cleaning datasets (data mining)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API and frontend implementation, testing and initial app version - this should end maybe at the middle of november and add a milestone at the end (this diamond thingy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http://help.smartsheet.com/customer/portal/articles/516406-creating-a-milestone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Contacting stakeholders and client interviews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Research health issues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Competitor Analysis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User Interviews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Setting baseline and success criteria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Initial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MoSCoW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Personas,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Initial wireframes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 and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Analysing datasets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Visual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Technical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------------------------------The Gantt for Friday should end here---------------------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Testing plan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Implementation Testing (Unit testing)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User Acceptance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help.smartsheet.com/customer/portal/articles/516406-creating-a-milestone" TargetMode="External"/></Relationships>
</file>