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lxmn953d6fq" w:id="0"/>
      <w:bookmarkEnd w:id="0"/>
      <w:r w:rsidDel="00000000" w:rsidR="00000000" w:rsidRPr="00000000">
        <w:rPr>
          <w:rtl w:val="0"/>
        </w:rPr>
        <w:t xml:space="preserve">Research Sub team Minutes 22/10/2015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some of the research done in the previous week by the team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to look into correlation between exposure in time and health risks as a quantifiable amount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look into health risks with pneumonia caused/correlated with air pollution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underground air pollution levels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these levels are dangerous for sufferers of asthma etc. should this be advised against?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‘red zones’ around industrial/agricultural areas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Look into seasonal variance in pollution levels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Decided to focus of PM2.5, PM10 and NO2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Things to bring up at main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we aiming just at london/ whole UK?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Are there enough sensors outside london?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the target market of the application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Young people are more at risk of health defects (particularly children)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perhaps parents and young people?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Wanted to explore the possibility of having different settings in the app for different risk groups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ie. asthma sufferers would require more warning about levels of pollution (lower thresholds)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‘overlays’ for each pollutant, then an overlay for a weighted average for all pollutants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