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spacing w:after="60" w:before="240" w:lineRule="auto"/>
        <w:rPr>
          <w:vertAlign w:val="baseline"/>
        </w:rPr>
      </w:pPr>
      <w:bookmarkStart w:colFirst="0" w:colLast="0" w:name="_k0dgf3nua71e" w:id="0"/>
      <w:bookmarkEnd w:id="0"/>
      <w:r w:rsidDel="00000000" w:rsidR="00000000" w:rsidRPr="00000000">
        <w:rPr>
          <w:rFonts w:ascii="Cousine" w:cs="Cousine" w:eastAsia="Cousine" w:hAnsi="Cousine"/>
          <w:vertAlign w:val="baseline"/>
          <w:rtl w:val="0"/>
        </w:rPr>
        <w:t xml:space="preserve">Лабораторная работа № 6. Выпуклая оболочка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полного перебора.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Грехэма.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Эндрю.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Джарвиса.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«разделяй и влавствуй».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Мелькмана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координаты точек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пошаговое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построение выпуклой оболочки заданного набора точек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пошаговое построение означает демонстрацию принципа работы алгоритма, т.е. при демонстрации должно быть понятно какой алгоритм реализован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Для успешной сдачи лабораторной нужно уметь отвечать на следующие вопросы (необходимое, но не достаточное условие):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Опишите работу вашего алгоритма.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реализована работа по шагам?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Вариант 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