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安全补丁管理流程文档</w:t>
      </w:r>
    </w:p>
    <w:p>
      <w:r>
        <w:t>文档版本: 2.0</w:t>
        <w:br/>
        <w:t>生效日期: 2024年1月1日</w:t>
        <w:br/>
        <w:t>审批人: CISO &amp; CTO</w:t>
        <w:br/>
        <w:t xml:space="preserve">制定部门: 信息安全部  </w:t>
      </w:r>
    </w:p>
    <w:p>
      <w:pPr>
        <w:pStyle w:val="Heading2"/>
      </w:pPr>
      <w:r>
        <w:t>1. 流程概述</w:t>
      </w:r>
    </w:p>
    <w:p>
      <w:pPr>
        <w:pStyle w:val="Heading3"/>
      </w:pPr>
      <w:r>
        <w:t>1.1 目的</w:t>
      </w:r>
    </w:p>
    <w:p>
      <w:r>
        <w:t>建立标准化的安全补丁管理流程，确保及时发现、评估和部署安全补丁，降低安全风险，维护系统安全性。</w:t>
      </w:r>
    </w:p>
    <w:p>
      <w:pPr>
        <w:pStyle w:val="Heading3"/>
      </w:pPr>
      <w:r>
        <w:t>1.2 适用范围</w:t>
      </w:r>
    </w:p>
    <w:p>
      <w:pPr>
        <w:pStyle w:val="ListBullet"/>
      </w:pPr>
      <w:r>
        <w:t>所有生产环境系统</w:t>
      </w:r>
    </w:p>
    <w:p>
      <w:pPr>
        <w:pStyle w:val="ListBullet"/>
      </w:pPr>
      <w:r>
        <w:t>开发测试环境</w:t>
      </w:r>
    </w:p>
    <w:p>
      <w:pPr>
        <w:pStyle w:val="ListBullet"/>
      </w:pPr>
      <w:r>
        <w:t>办公网络设备</w:t>
      </w:r>
    </w:p>
    <w:p>
      <w:pPr>
        <w:pStyle w:val="ListBullet"/>
      </w:pPr>
      <w:r>
        <w:t>第三方服务和应用</w:t>
      </w:r>
    </w:p>
    <w:p>
      <w:pPr>
        <w:pStyle w:val="Heading3"/>
      </w:pPr>
      <w:r>
        <w:t>1.3 流程原则</w:t>
      </w:r>
    </w:p>
    <w:p>
      <w:pPr>
        <w:pStyle w:val="ListBullet"/>
      </w:pPr>
      <w:r>
        <w:t>及时性: 关键补丁72小时内评估</w:t>
      </w:r>
    </w:p>
    <w:p>
      <w:pPr>
        <w:pStyle w:val="ListBullet"/>
      </w:pPr>
      <w:r>
        <w:t>安全性: 充分测试验证后部署</w:t>
      </w:r>
    </w:p>
    <w:p>
      <w:pPr>
        <w:pStyle w:val="ListBullet"/>
      </w:pPr>
      <w:r>
        <w:t>可控性: 分阶段部署，可快速回滚</w:t>
      </w:r>
    </w:p>
    <w:p>
      <w:pPr>
        <w:pStyle w:val="ListBullet"/>
      </w:pPr>
      <w:r>
        <w:t>透明性: 全程记录和跟踪</w:t>
      </w:r>
    </w:p>
    <w:p>
      <w:pPr>
        <w:pStyle w:val="Heading2"/>
      </w:pPr>
      <w:r>
        <w:t>2. 组织架构和职责</w:t>
      </w:r>
    </w:p>
    <w:p>
      <w:pPr>
        <w:pStyle w:val="Heading3"/>
      </w:pPr>
      <w:r>
        <w:t>2.1 安全补丁管理委员会</w:t>
      </w:r>
    </w:p>
    <w:p>
      <w:r>
        <w:t>主席: CISO (首席信息安全官)</w:t>
        <w:br/>
        <w:t>成员: CTO、IT运维总监、开发总监、测试总监</w:t>
        <w:br/>
        <w:t>职责: 制定补丁策略、审批重大补丁部署</w:t>
      </w:r>
    </w:p>
    <w:p>
      <w:pPr>
        <w:pStyle w:val="Heading3"/>
      </w:pPr>
      <w:r>
        <w:t>2.2 各部门职责</w:t>
      </w:r>
    </w:p>
    <w:p>
      <w:pPr>
        <w:pStyle w:val="Heading4"/>
      </w:pPr>
      <w:r>
        <w:t>2.2.1 信息安全部</w:t>
      </w:r>
    </w:p>
    <w:p>
      <w:pPr>
        <w:pStyle w:val="ListBullet"/>
      </w:pPr>
      <w:r>
        <w:t>监控安全漏洞信息</w:t>
      </w:r>
    </w:p>
    <w:p>
      <w:pPr>
        <w:pStyle w:val="ListBullet"/>
      </w:pPr>
      <w:r>
        <w:t>评估补丁优先级</w:t>
      </w:r>
    </w:p>
    <w:p>
      <w:pPr>
        <w:pStyle w:val="ListBullet"/>
      </w:pPr>
      <w:r>
        <w:t>制定补丁部署策略</w:t>
      </w:r>
    </w:p>
    <w:p>
      <w:pPr>
        <w:pStyle w:val="ListBullet"/>
      </w:pPr>
      <w:r>
        <w:t>跟踪补丁部署状态</w:t>
      </w:r>
    </w:p>
    <w:p>
      <w:pPr>
        <w:pStyle w:val="Heading4"/>
      </w:pPr>
      <w:r>
        <w:t>2.2.2 IT运维部</w:t>
      </w:r>
    </w:p>
    <w:p>
      <w:pPr>
        <w:pStyle w:val="ListBullet"/>
      </w:pPr>
      <w:r>
        <w:t>执行补丁部署</w:t>
      </w:r>
    </w:p>
    <w:p>
      <w:pPr>
        <w:pStyle w:val="ListBullet"/>
      </w:pPr>
      <w:r>
        <w:t>系统备份和恢复</w:t>
      </w:r>
    </w:p>
    <w:p>
      <w:pPr>
        <w:pStyle w:val="ListBullet"/>
      </w:pPr>
      <w:r>
        <w:t>监控系统状态</w:t>
      </w:r>
    </w:p>
    <w:p>
      <w:pPr>
        <w:pStyle w:val="ListBullet"/>
      </w:pPr>
      <w:r>
        <w:t>应急响应处理</w:t>
      </w:r>
    </w:p>
    <w:p>
      <w:pPr>
        <w:pStyle w:val="Heading4"/>
      </w:pPr>
      <w:r>
        <w:t>2.2.3 开发部</w:t>
      </w:r>
    </w:p>
    <w:p>
      <w:pPr>
        <w:pStyle w:val="ListBullet"/>
      </w:pPr>
      <w:r>
        <w:t>应用层补丁评估</w:t>
      </w:r>
    </w:p>
    <w:p>
      <w:pPr>
        <w:pStyle w:val="ListBullet"/>
      </w:pPr>
      <w:r>
        <w:t>代码兼容性测试</w:t>
      </w:r>
    </w:p>
    <w:p>
      <w:pPr>
        <w:pStyle w:val="ListBullet"/>
      </w:pPr>
      <w:r>
        <w:t>应用程序更新</w:t>
      </w:r>
    </w:p>
    <w:p>
      <w:pPr>
        <w:pStyle w:val="ListBullet"/>
      </w:pPr>
      <w:r>
        <w:t>技术支持</w:t>
      </w:r>
    </w:p>
    <w:p>
      <w:pPr>
        <w:pStyle w:val="Heading4"/>
      </w:pPr>
      <w:r>
        <w:t>2.2.4 测试部</w:t>
      </w:r>
    </w:p>
    <w:p>
      <w:pPr>
        <w:pStyle w:val="ListBullet"/>
      </w:pPr>
      <w:r>
        <w:t>补丁测试验证</w:t>
      </w:r>
    </w:p>
    <w:p>
      <w:pPr>
        <w:pStyle w:val="ListBullet"/>
      </w:pPr>
      <w:r>
        <w:t>回归测试执行</w:t>
      </w:r>
    </w:p>
    <w:p>
      <w:pPr>
        <w:pStyle w:val="ListBullet"/>
      </w:pPr>
      <w:r>
        <w:t>性能影响评估</w:t>
      </w:r>
    </w:p>
    <w:p>
      <w:pPr>
        <w:pStyle w:val="ListBullet"/>
      </w:pPr>
      <w:r>
        <w:t>测试报告输出</w:t>
      </w:r>
    </w:p>
    <w:p>
      <w:pPr>
        <w:pStyle w:val="Heading2"/>
      </w:pPr>
      <w:r>
        <w:t>3. 补丁分类和优先级</w:t>
      </w:r>
    </w:p>
    <w:p>
      <w:pPr>
        <w:pStyle w:val="Heading3"/>
      </w:pPr>
      <w:r>
        <w:t>3.1 严重程度分类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级别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  <w:tc>
          <w:tcPr>
            <w:tcW w:type="dxa" w:w="1728"/>
          </w:tcPr>
          <w:p>
            <w:r>
              <w:t>CVSS评分</w:t>
            </w:r>
          </w:p>
        </w:tc>
        <w:tc>
          <w:tcPr>
            <w:tcW w:type="dxa" w:w="1728"/>
          </w:tcPr>
          <w:p>
            <w:r>
              <w:t>响应时间</w:t>
            </w:r>
          </w:p>
        </w:tc>
        <w:tc>
          <w:tcPr>
            <w:tcW w:type="dxa" w:w="1728"/>
          </w:tcPr>
          <w:p>
            <w:r>
              <w:t>部署时限</w:t>
            </w:r>
          </w:p>
        </w:tc>
      </w:tr>
      <w:tr>
        <w:tc>
          <w:tcPr>
            <w:tcW w:type="dxa" w:w="1728"/>
          </w:tcPr>
          <w:p>
            <w:r>
              <w:t>紧急</w:t>
            </w:r>
          </w:p>
        </w:tc>
        <w:tc>
          <w:tcPr>
            <w:tcW w:type="dxa" w:w="1728"/>
          </w:tcPr>
          <w:p>
            <w:r>
              <w:t>远程代码执行、权限提升</w:t>
            </w:r>
          </w:p>
        </w:tc>
        <w:tc>
          <w:tcPr>
            <w:tcW w:type="dxa" w:w="1728"/>
          </w:tcPr>
          <w:p>
            <w:r>
              <w:t>9.0-10.0</w:t>
            </w:r>
          </w:p>
        </w:tc>
        <w:tc>
          <w:tcPr>
            <w:tcW w:type="dxa" w:w="1728"/>
          </w:tcPr>
          <w:p>
            <w:r>
              <w:t>2小时</w:t>
            </w:r>
          </w:p>
        </w:tc>
        <w:tc>
          <w:tcPr>
            <w:tcW w:type="dxa" w:w="1728"/>
          </w:tcPr>
          <w:p>
            <w:r>
              <w:t>24小时</w:t>
            </w:r>
          </w:p>
        </w:tc>
      </w:tr>
      <w:tr>
        <w:tc>
          <w:tcPr>
            <w:tcW w:type="dxa" w:w="1728"/>
          </w:tcPr>
          <w:p>
            <w:r>
              <w:t>高危</w:t>
            </w:r>
          </w:p>
        </w:tc>
        <w:tc>
          <w:tcPr>
            <w:tcW w:type="dxa" w:w="1728"/>
          </w:tcPr>
          <w:p>
            <w:r>
              <w:t>拒绝服务、信息泄露</w:t>
            </w:r>
          </w:p>
        </w:tc>
        <w:tc>
          <w:tcPr>
            <w:tcW w:type="dxa" w:w="1728"/>
          </w:tcPr>
          <w:p>
            <w:r>
              <w:t>7.0-8.9</w:t>
            </w:r>
          </w:p>
        </w:tc>
        <w:tc>
          <w:tcPr>
            <w:tcW w:type="dxa" w:w="1728"/>
          </w:tcPr>
          <w:p>
            <w:r>
              <w:t>4小时</w:t>
            </w:r>
          </w:p>
        </w:tc>
        <w:tc>
          <w:tcPr>
            <w:tcW w:type="dxa" w:w="1728"/>
          </w:tcPr>
          <w:p>
            <w:r>
              <w:t>72小时</w:t>
            </w:r>
          </w:p>
        </w:tc>
      </w:tr>
      <w:tr>
        <w:tc>
          <w:tcPr>
            <w:tcW w:type="dxa" w:w="1728"/>
          </w:tcPr>
          <w:p>
            <w:r>
              <w:t>中危</w:t>
            </w:r>
          </w:p>
        </w:tc>
        <w:tc>
          <w:tcPr>
            <w:tcW w:type="dxa" w:w="1728"/>
          </w:tcPr>
          <w:p>
            <w:r>
              <w:t>本地权限提升</w:t>
            </w:r>
          </w:p>
        </w:tc>
        <w:tc>
          <w:tcPr>
            <w:tcW w:type="dxa" w:w="1728"/>
          </w:tcPr>
          <w:p>
            <w:r>
              <w:t>4.0-6.9</w:t>
            </w:r>
          </w:p>
        </w:tc>
        <w:tc>
          <w:tcPr>
            <w:tcW w:type="dxa" w:w="1728"/>
          </w:tcPr>
          <w:p>
            <w:r>
              <w:t>8小时</w:t>
            </w:r>
          </w:p>
        </w:tc>
        <w:tc>
          <w:tcPr>
            <w:tcW w:type="dxa" w:w="1728"/>
          </w:tcPr>
          <w:p>
            <w:r>
              <w:t>7天</w:t>
            </w:r>
          </w:p>
        </w:tc>
      </w:tr>
      <w:tr>
        <w:tc>
          <w:tcPr>
            <w:tcW w:type="dxa" w:w="1728"/>
          </w:tcPr>
          <w:p>
            <w:r>
              <w:t>低危</w:t>
            </w:r>
          </w:p>
        </w:tc>
        <w:tc>
          <w:tcPr>
            <w:tcW w:type="dxa" w:w="1728"/>
          </w:tcPr>
          <w:p>
            <w:r>
              <w:t>信息收集</w:t>
            </w:r>
          </w:p>
        </w:tc>
        <w:tc>
          <w:tcPr>
            <w:tcW w:type="dxa" w:w="1728"/>
          </w:tcPr>
          <w:p>
            <w:r>
              <w:t>0.1-3.9</w:t>
            </w:r>
          </w:p>
        </w:tc>
        <w:tc>
          <w:tcPr>
            <w:tcW w:type="dxa" w:w="1728"/>
          </w:tcPr>
          <w:p>
            <w:r>
              <w:t>24小时</w:t>
            </w:r>
          </w:p>
        </w:tc>
        <w:tc>
          <w:tcPr>
            <w:tcW w:type="dxa" w:w="1728"/>
          </w:tcPr>
          <w:p>
            <w:r>
              <w:t>30天</w:t>
            </w:r>
          </w:p>
        </w:tc>
      </w:tr>
    </w:tbl>
    <w:p>
      <w:pPr>
        <w:pStyle w:val="Heading3"/>
      </w:pPr>
      <w:r>
        <w:t>3.2 系统优先级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优先级</w:t>
            </w:r>
          </w:p>
        </w:tc>
        <w:tc>
          <w:tcPr>
            <w:tcW w:type="dxa" w:w="2160"/>
          </w:tcPr>
          <w:p>
            <w:r>
              <w:t>系统类型</w:t>
            </w:r>
          </w:p>
        </w:tc>
        <w:tc>
          <w:tcPr>
            <w:tcW w:type="dxa" w:w="2160"/>
          </w:tcPr>
          <w:p>
            <w:r>
              <w:t>示例</w:t>
            </w:r>
          </w:p>
        </w:tc>
        <w:tc>
          <w:tcPr>
            <w:tcW w:type="dxa" w:w="2160"/>
          </w:tcPr>
          <w:p>
            <w:r>
              <w:t>部署顺序</w:t>
            </w:r>
          </w:p>
        </w:tc>
      </w:tr>
      <w:tr>
        <w:tc>
          <w:tcPr>
            <w:tcW w:type="dxa" w:w="2160"/>
          </w:tcPr>
          <w:p>
            <w:r>
              <w:t>P0</w:t>
            </w:r>
          </w:p>
        </w:tc>
        <w:tc>
          <w:tcPr>
            <w:tcW w:type="dxa" w:w="2160"/>
          </w:tcPr>
          <w:p>
            <w:r>
              <w:t>关键业务系统</w:t>
            </w:r>
          </w:p>
        </w:tc>
        <w:tc>
          <w:tcPr>
            <w:tcW w:type="dxa" w:w="2160"/>
          </w:tcPr>
          <w:p>
            <w:r>
              <w:t>核心数据库、支付系统</w:t>
            </w:r>
          </w:p>
        </w:tc>
        <w:tc>
          <w:tcPr>
            <w:tcW w:type="dxa" w:w="2160"/>
          </w:tcPr>
          <w:p>
            <w:r>
              <w:t>第一批</w:t>
            </w:r>
          </w:p>
        </w:tc>
      </w:tr>
      <w:tr>
        <w:tc>
          <w:tcPr>
            <w:tcW w:type="dxa" w:w="2160"/>
          </w:tcPr>
          <w:p>
            <w:r>
              <w:t>P1</w:t>
            </w:r>
          </w:p>
        </w:tc>
        <w:tc>
          <w:tcPr>
            <w:tcW w:type="dxa" w:w="2160"/>
          </w:tcPr>
          <w:p>
            <w:r>
              <w:t>重要业务系统</w:t>
            </w:r>
          </w:p>
        </w:tc>
        <w:tc>
          <w:tcPr>
            <w:tcW w:type="dxa" w:w="2160"/>
          </w:tcPr>
          <w:p>
            <w:r>
              <w:t>Web服务器、API网关</w:t>
            </w:r>
          </w:p>
        </w:tc>
        <w:tc>
          <w:tcPr>
            <w:tcW w:type="dxa" w:w="2160"/>
          </w:tcPr>
          <w:p>
            <w:r>
              <w:t>第二批</w:t>
            </w:r>
          </w:p>
        </w:tc>
      </w:tr>
      <w:tr>
        <w:tc>
          <w:tcPr>
            <w:tcW w:type="dxa" w:w="2160"/>
          </w:tcPr>
          <w:p>
            <w:r>
              <w:t>P2</w:t>
            </w:r>
          </w:p>
        </w:tc>
        <w:tc>
          <w:tcPr>
            <w:tcW w:type="dxa" w:w="2160"/>
          </w:tcPr>
          <w:p>
            <w:r>
              <w:t>支撑系统</w:t>
            </w:r>
          </w:p>
        </w:tc>
        <w:tc>
          <w:tcPr>
            <w:tcW w:type="dxa" w:w="2160"/>
          </w:tcPr>
          <w:p>
            <w:r>
              <w:t>监控、日志系统</w:t>
            </w:r>
          </w:p>
        </w:tc>
        <w:tc>
          <w:tcPr>
            <w:tcW w:type="dxa" w:w="2160"/>
          </w:tcPr>
          <w:p>
            <w:r>
              <w:t>第三批</w:t>
            </w:r>
          </w:p>
        </w:tc>
      </w:tr>
      <w:tr>
        <w:tc>
          <w:tcPr>
            <w:tcW w:type="dxa" w:w="2160"/>
          </w:tcPr>
          <w:p>
            <w:r>
              <w:t>P3</w:t>
            </w:r>
          </w:p>
        </w:tc>
        <w:tc>
          <w:tcPr>
            <w:tcW w:type="dxa" w:w="2160"/>
          </w:tcPr>
          <w:p>
            <w:r>
              <w:t>开发测试环境</w:t>
            </w:r>
          </w:p>
        </w:tc>
        <w:tc>
          <w:tcPr>
            <w:tcW w:type="dxa" w:w="2160"/>
          </w:tcPr>
          <w:p>
            <w:r>
              <w:t>测试服务器</w:t>
            </w:r>
          </w:p>
        </w:tc>
        <w:tc>
          <w:tcPr>
            <w:tcW w:type="dxa" w:w="2160"/>
          </w:tcPr>
          <w:p>
            <w:r>
              <w:t>第四批</w:t>
            </w:r>
          </w:p>
        </w:tc>
      </w:tr>
    </w:tbl>
    <w:p>
      <w:pPr>
        <w:pStyle w:val="Heading2"/>
      </w:pPr>
      <w:r>
        <w:t>4. 补丁管理流程</w:t>
      </w:r>
    </w:p>
    <w:p>
      <w:pPr>
        <w:pStyle w:val="Heading3"/>
      </w:pPr>
      <w:r>
        <w:t>4.1 发现阶段</w:t>
      </w:r>
    </w:p>
    <w:p>
      <w:r>
        <w:t>4.1.1 信息来源</w:t>
        <w:br/>
        <w:t>- 官方安全公告订阅</w:t>
        <w:br/>
        <w:t>- 漏洞数据库监控 (CVE、NVD)</w:t>
        <w:br/>
        <w:t>- 安全厂商威胁情报</w:t>
        <w:br/>
        <w:t>- 自动化漏洞扫描工具</w:t>
      </w:r>
    </w:p>
    <w:p>
      <w:r>
        <w:t>4.1.2 信息收集</w:t>
        <w:br/>
        <w:t>- 漏洞详细信息</w:t>
        <w:br/>
        <w:t>- 影响范围分析</w:t>
        <w:br/>
        <w:t>- 补丁可用性</w:t>
        <w:br/>
        <w:t>- 攻击向量评估</w:t>
      </w:r>
    </w:p>
    <w:p>
      <w:pPr>
        <w:pStyle w:val="Heading3"/>
      </w:pPr>
      <w:r>
        <w:t>4.2 评估阶段</w:t>
      </w:r>
    </w:p>
    <w:p>
      <w:r>
        <w:t>4.2.1 风险评估矩阵</w:t>
      </w:r>
    </w:p>
    <w:p>
      <w:pPr>
        <w:pStyle w:val="IntenseQuote"/>
      </w:pPr>
      <w:r>
        <w:t>风险等级 = 漏洞严重程度 × 系统重要性 × 攻击可能性</w:t>
        <w:br/>
      </w:r>
    </w:p>
    <w:p>
      <w:r>
        <w:t>4.2.2 评估内容</w:t>
        <w:br/>
        <w:t>- 业务影响分析</w:t>
        <w:br/>
        <w:t>- 技术风险评估</w:t>
        <w:br/>
        <w:t>- 补丁兼容性分析</w:t>
        <w:br/>
        <w:t>- 部署复杂度评估</w:t>
      </w:r>
    </w:p>
    <w:p>
      <w:r>
        <w:t>4.2.3 决策标准</w:t>
        <w:br/>
        <w:t>| 风险等级 | 决策 | 审批层级 |</w:t>
        <w:br/>
        <w:t>|----------|------|----------|</w:t>
        <w:br/>
        <w:t>| 极高 | 立即部署 | CISO |</w:t>
        <w:br/>
        <w:t>| 高 | 加急部署 | 安全总监 |</w:t>
        <w:br/>
        <w:t>| 中 | 计划部署 | 运维总监 |</w:t>
        <w:br/>
        <w:t>| 低 | 延期部署 | 运维经理 |</w:t>
      </w:r>
    </w:p>
    <w:p>
      <w:pPr>
        <w:pStyle w:val="Heading3"/>
      </w:pPr>
      <w:r>
        <w:t>4.3 测试阶段</w:t>
      </w:r>
    </w:p>
    <w:p>
      <w:r>
        <w:t>4.3.1 测试环境</w:t>
        <w:br/>
        <w:t>- 开发环境初步测试</w:t>
        <w:br/>
        <w:t>- 预生产环境完整测试</w:t>
        <w:br/>
        <w:t>- 灰度环境小规模验证</w:t>
      </w:r>
    </w:p>
    <w:p>
      <w:r>
        <w:t>4.3.2 测试内容</w:t>
        <w:br/>
        <w:t>- 功能兼容性测试</w:t>
        <w:br/>
        <w:t>- 性能影响测试</w:t>
        <w:br/>
        <w:t>- 安全有效性验证</w:t>
        <w:br/>
        <w:t>- 回滚流程测试</w:t>
      </w:r>
    </w:p>
    <w:p>
      <w:r>
        <w:t>4.3.3 测试标准</w:t>
        <w:br/>
        <w:t>- 所有核心功能正常</w:t>
        <w:br/>
        <w:t>- 性能下降 &lt; 5%</w:t>
        <w:br/>
        <w:t>- 无新增安全风险</w:t>
        <w:br/>
        <w:t>- 回滚时间 &lt; 30分钟</w:t>
      </w:r>
    </w:p>
    <w:p>
      <w:pPr>
        <w:pStyle w:val="Heading3"/>
      </w:pPr>
      <w:r>
        <w:t>4.4 部署阶段</w:t>
      </w:r>
    </w:p>
    <w:p>
      <w:r>
        <w:t>4.4.1 部署准备</w:t>
        <w:br/>
        <w:t>- 系统完整备份</w:t>
        <w:br/>
        <w:t>- 部署计划制定</w:t>
        <w:br/>
        <w:t>- 团队人员安排</w:t>
        <w:br/>
        <w:t>- 应急预案准备</w:t>
      </w:r>
    </w:p>
    <w:p>
      <w:r>
        <w:t>4.4.2 部署执行</w:t>
        <w:br/>
        <w:t>- 分批次部署</w:t>
        <w:br/>
        <w:t>- 实时监控</w:t>
        <w:br/>
        <w:t>- 问题快速响应</w:t>
        <w:br/>
        <w:t>- 状态及时汇报</w:t>
      </w:r>
    </w:p>
    <w:p>
      <w:r>
        <w:t>4.4.3 部署验证</w:t>
        <w:br/>
        <w:t>- 功能验证测试</w:t>
        <w:br/>
        <w:t>- 性能监控检查</w:t>
        <w:br/>
        <w:t>- 安全扫描确认</w:t>
        <w:br/>
        <w:t>- 用户反馈收集</w:t>
      </w:r>
    </w:p>
    <w:p>
      <w:pPr>
        <w:pStyle w:val="Heading2"/>
      </w:pPr>
      <w:r>
        <w:t>5. 应急响应流程</w:t>
      </w:r>
    </w:p>
    <w:p>
      <w:pPr>
        <w:pStyle w:val="Heading3"/>
      </w:pPr>
      <w:r>
        <w:t>5.1 零日漏洞响应</w:t>
      </w:r>
    </w:p>
    <w:p>
      <w:r>
        <w:t>发现后2小时内:</w:t>
        <w:br/>
        <w:t>- 启动应急响应小组</w:t>
        <w:br/>
        <w:t>- 评估影响范围</w:t>
        <w:br/>
        <w:t>- 实施临时防护措施</w:t>
      </w:r>
    </w:p>
    <w:p>
      <w:r>
        <w:t>发现后4小时内:</w:t>
        <w:br/>
        <w:t>- 制定应急处置方案</w:t>
        <w:br/>
        <w:t>- 通知相关业务部门</w:t>
        <w:br/>
        <w:t>- 开始补丁测试工作</w:t>
      </w:r>
    </w:p>
    <w:p>
      <w:r>
        <w:t>发现后24小时内:</w:t>
        <w:br/>
        <w:t>- 完成补丁部署</w:t>
        <w:br/>
        <w:t>- 验证修复效果</w:t>
        <w:br/>
        <w:t>- 发布安全公告</w:t>
      </w:r>
    </w:p>
    <w:p>
      <w:pPr>
        <w:pStyle w:val="Heading3"/>
      </w:pPr>
      <w:r>
        <w:t>5.2 补丁部署失败处理</w:t>
      </w:r>
    </w:p>
    <w:p>
      <w:r>
        <w:t>立即响应:</w:t>
        <w:br/>
        <w:t>- 停止继续部署</w:t>
        <w:br/>
        <w:t>- 启动回滚程序</w:t>
        <w:br/>
        <w:t>- 隔离受影响系统</w:t>
      </w:r>
    </w:p>
    <w:p>
      <w:r>
        <w:t>问题分析:</w:t>
        <w:br/>
        <w:t>- 失败原因调查</w:t>
        <w:br/>
        <w:t>- 影响范围评估</w:t>
        <w:br/>
        <w:t>- 替代方案制定</w:t>
      </w:r>
    </w:p>
    <w:p>
      <w:r>
        <w:t>恢复处理:</w:t>
        <w:br/>
        <w:t>- 系统恢复验证</w:t>
        <w:br/>
        <w:t>- 业务功能确认</w:t>
        <w:br/>
        <w:t>- 经验教训总结</w:t>
      </w:r>
    </w:p>
    <w:p>
      <w:pPr>
        <w:pStyle w:val="Heading2"/>
      </w:pPr>
      <w:r>
        <w:t>6. 监控和报告</w:t>
      </w:r>
    </w:p>
    <w:p>
      <w:pPr>
        <w:pStyle w:val="Heading3"/>
      </w:pPr>
      <w:r>
        <w:t>6.1 监控指标</w:t>
      </w:r>
    </w:p>
    <w:p>
      <w:r>
        <w:t>及时性指标:</w:t>
        <w:br/>
        <w:t>- 补丁发现到评估时间</w:t>
        <w:br/>
        <w:t>- 评估到部署时间</w:t>
        <w:br/>
        <w:t>- 部署完成率</w:t>
      </w:r>
    </w:p>
    <w:p>
      <w:r>
        <w:t>质量指标:</w:t>
        <w:br/>
        <w:t>- 补丁部署成功率</w:t>
        <w:br/>
        <w:t>- 回滚次数统计</w:t>
        <w:br/>
        <w:t>- 业务中断时间</w:t>
      </w:r>
    </w:p>
    <w:p>
      <w:r>
        <w:t>覆盖率指标:</w:t>
        <w:br/>
        <w:t>- 系统补丁覆盖率</w:t>
        <w:br/>
        <w:t>- 高危漏洞修复率</w:t>
        <w:br/>
        <w:t>- 合规性达标率</w:t>
      </w:r>
    </w:p>
    <w:p>
      <w:pPr>
        <w:pStyle w:val="Heading3"/>
      </w:pPr>
      <w:r>
        <w:t>6.2 报告机制</w:t>
      </w:r>
    </w:p>
    <w:p>
      <w:r>
        <w:t>日报: 当日补丁活动汇总</w:t>
        <w:br/>
        <w:t>周报: 补丁部署进度和问题</w:t>
        <w:br/>
        <w:t>月报: 补丁管理整体状况</w:t>
        <w:br/>
        <w:t>季报: 安全态势和改进建议</w:t>
      </w:r>
    </w:p>
    <w:p>
      <w:pPr>
        <w:pStyle w:val="Heading2"/>
      </w:pPr>
      <w:r>
        <w:t>7. 工具和技术</w:t>
      </w:r>
    </w:p>
    <w:p>
      <w:pPr>
        <w:pStyle w:val="Heading3"/>
      </w:pPr>
      <w:r>
        <w:t>7.1 自动化工具</w:t>
      </w:r>
    </w:p>
    <w:p>
      <w:r>
        <w:t>漏洞扫描: Nessus, OpenVAS</w:t>
        <w:br/>
        <w:t>补丁管理: WSUS, Satellite</w:t>
        <w:br/>
        <w:t>配置管理: Ansible, Puppet</w:t>
        <w:br/>
        <w:t>监控告警: Zabbix, Nagios</w:t>
      </w:r>
    </w:p>
    <w:p>
      <w:pPr>
        <w:pStyle w:val="Heading3"/>
      </w:pPr>
      <w:r>
        <w:t>7.2 信息系统</w:t>
      </w:r>
    </w:p>
    <w:p>
      <w:r>
        <w:t>补丁管理系统: 记录补丁全生命周期</w:t>
        <w:br/>
        <w:t>资产管理系统: 维护系统清单</w:t>
        <w:br/>
        <w:t>变更管理系统: 管理变更流程</w:t>
        <w:br/>
        <w:t>事件管理系统: 跟踪安全事件</w:t>
      </w:r>
    </w:p>
    <w:p>
      <w:pPr>
        <w:pStyle w:val="Heading2"/>
      </w:pPr>
      <w:r>
        <w:t>8. 培训和意识</w:t>
      </w:r>
    </w:p>
    <w:p>
      <w:pPr>
        <w:pStyle w:val="Heading3"/>
      </w:pPr>
      <w:r>
        <w:t>8.1 培训计划</w:t>
      </w:r>
    </w:p>
    <w:p>
      <w:r>
        <w:t>新员工培训: 补丁管理基础知识</w:t>
        <w:br/>
        <w:t>定期培训: 最新威胁和技术更新</w:t>
        <w:br/>
        <w:t>应急演练: 零日漏洞响应演练</w:t>
        <w:br/>
        <w:t>技能认证: 相关技术认证要求</w:t>
      </w:r>
    </w:p>
    <w:p>
      <w:pPr>
        <w:pStyle w:val="Heading3"/>
      </w:pPr>
      <w:r>
        <w:t>8.2 意识提升</w:t>
      </w:r>
    </w:p>
    <w:p>
      <w:r>
        <w:t>安全通报: 定期发布安全威胁信息</w:t>
        <w:br/>
        <w:t>最佳实践: 分享成功案例和经验</w:t>
        <w:br/>
        <w:t>知识库: 建立补丁管理知识库</w:t>
        <w:br/>
        <w:t>交流会议: 定期技术交流和讨论</w:t>
      </w:r>
    </w:p>
    <w:p>
      <w:pPr>
        <w:pStyle w:val="Heading2"/>
      </w:pPr>
      <w:r>
        <w:t>9. 合规性要求</w:t>
      </w:r>
    </w:p>
    <w:p>
      <w:pPr>
        <w:pStyle w:val="Heading3"/>
      </w:pPr>
      <w:r>
        <w:t>9.1 法规遵循</w:t>
      </w:r>
    </w:p>
    <w:p>
      <w:pPr>
        <w:pStyle w:val="ListBullet"/>
      </w:pPr>
      <w:r>
        <w:t>网络安全法</w:t>
      </w:r>
    </w:p>
    <w:p>
      <w:pPr>
        <w:pStyle w:val="ListBullet"/>
      </w:pPr>
      <w:r>
        <w:t>数据保护条例</w:t>
      </w:r>
    </w:p>
    <w:p>
      <w:pPr>
        <w:pStyle w:val="ListBullet"/>
      </w:pPr>
      <w:r>
        <w:t>行业监管要求</w:t>
      </w:r>
    </w:p>
    <w:p>
      <w:pPr>
        <w:pStyle w:val="ListBullet"/>
      </w:pPr>
      <w:r>
        <w:t>国际标准 (ISO 27001)</w:t>
      </w:r>
    </w:p>
    <w:p>
      <w:pPr>
        <w:pStyle w:val="Heading3"/>
      </w:pPr>
      <w:r>
        <w:t>9.2 审计要求</w:t>
      </w:r>
    </w:p>
    <w:p>
      <w:r>
        <w:t>内部审计: 季度补丁管理审计</w:t>
        <w:br/>
        <w:t>外部审计: 年度合规性审计</w:t>
        <w:br/>
        <w:t>文档保存: 所有记录保存3年</w:t>
        <w:br/>
        <w:t>证据收集: 完整的审计轨迹</w:t>
      </w:r>
    </w:p>
    <w:p>
      <w:pPr>
        <w:pStyle w:val="Heading2"/>
      </w:pPr>
      <w:r>
        <w:t>10. 持续改进</w:t>
      </w:r>
    </w:p>
    <w:p>
      <w:pPr>
        <w:pStyle w:val="Heading3"/>
      </w:pPr>
      <w:r>
        <w:t>10.1 绩效评估</w:t>
      </w:r>
    </w:p>
    <w:p>
      <w:pPr>
        <w:pStyle w:val="ListBullet"/>
      </w:pPr>
      <w:r>
        <w:t>月度KPI评估</w:t>
      </w:r>
    </w:p>
    <w:p>
      <w:pPr>
        <w:pStyle w:val="ListBullet"/>
      </w:pPr>
      <w:r>
        <w:t>季度流程评审</w:t>
      </w:r>
    </w:p>
    <w:p>
      <w:pPr>
        <w:pStyle w:val="ListBullet"/>
      </w:pPr>
      <w:r>
        <w:t>年度整体评估</w:t>
      </w:r>
    </w:p>
    <w:p>
      <w:pPr>
        <w:pStyle w:val="ListBullet"/>
      </w:pPr>
      <w:r>
        <w:t>对标行业最佳实践</w:t>
      </w:r>
    </w:p>
    <w:p>
      <w:pPr>
        <w:pStyle w:val="Heading3"/>
      </w:pPr>
      <w:r>
        <w:t>10.2 改进机制</w:t>
      </w:r>
    </w:p>
    <w:p>
      <w:r>
        <w:t>问题收集: 多渠道收集改进建议</w:t>
        <w:br/>
        <w:t>方案制定: 制定具体改进措施</w:t>
        <w:br/>
        <w:t>试点验证: 小范围试点验证</w:t>
        <w:br/>
        <w:t>全面推广: 成功后全面推广</w:t>
      </w:r>
    </w:p>
    <w:p>
      <w:r>
        <w:t>文档控制</w:t>
        <w:br/>
        <w:t>创建日期: 2024-01-01</w:t>
        <w:br/>
        <w:t>最后修订: 2024-08-20</w:t>
        <w:br/>
        <w:t>下次审查: 2024-12-31</w:t>
        <w:br/>
        <w:t xml:space="preserve">审批状态: 已审批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/>
      <w:sz w:val="17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