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技术更新管理政策</w:t>
      </w:r>
    </w:p>
    <w:p>
      <w:r>
        <w:t>版本: 2.0 | 生效日期: 2024年8月20日 | 审批人: CTO</w:t>
      </w:r>
    </w:p>
    <w:p>
      <w:pPr>
        <w:pStyle w:val="Heading2"/>
      </w:pPr>
      <w:r>
        <w:t>1. 政策目标</w:t>
      </w:r>
    </w:p>
    <w:p>
      <w:r>
        <w:t>确保所有技术系统保持最新状态，及时发现和替换过时系统，保障信息安全和业务连续性。</w:t>
      </w:r>
    </w:p>
    <w:p>
      <w:pPr>
        <w:pStyle w:val="Heading2"/>
      </w:pPr>
      <w:r>
        <w:t>2. 适用范围</w:t>
      </w:r>
    </w:p>
    <w:p>
      <w:pPr>
        <w:pStyle w:val="ListBullet"/>
      </w:pPr>
      <w:r>
        <w:t>生产环境系统</w:t>
      </w:r>
    </w:p>
    <w:p>
      <w:pPr>
        <w:pStyle w:val="ListBullet"/>
      </w:pPr>
      <w:r>
        <w:t>开发测试环境</w:t>
      </w:r>
    </w:p>
    <w:p>
      <w:pPr>
        <w:pStyle w:val="ListBullet"/>
      </w:pPr>
      <w:r>
        <w:t>第三方应用服务</w:t>
      </w:r>
    </w:p>
    <w:p>
      <w:pPr>
        <w:pStyle w:val="ListBullet"/>
      </w:pPr>
      <w:r>
        <w:t>基础设施组件</w:t>
      </w:r>
    </w:p>
    <w:p>
      <w:pPr>
        <w:pStyle w:val="Heading2"/>
      </w:pPr>
      <w:r>
        <w:t>3. 更新分类与时限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定义</w:t>
            </w:r>
          </w:p>
        </w:tc>
        <w:tc>
          <w:tcPr>
            <w:tcW w:type="dxa" w:w="1728"/>
          </w:tcPr>
          <w:p>
            <w:r>
              <w:t>响应时限</w:t>
            </w:r>
          </w:p>
        </w:tc>
        <w:tc>
          <w:tcPr>
            <w:tcW w:type="dxa" w:w="1728"/>
          </w:tcPr>
          <w:p>
            <w:r>
              <w:t>部署时限</w:t>
            </w:r>
          </w:p>
        </w:tc>
        <w:tc>
          <w:tcPr>
            <w:tcW w:type="dxa" w:w="1728"/>
          </w:tcPr>
          <w:p>
            <w:r>
              <w:t>审批人</w:t>
            </w:r>
          </w:p>
        </w:tc>
      </w:tr>
      <w:tr>
        <w:tc>
          <w:tcPr>
            <w:tcW w:type="dxa" w:w="1728"/>
          </w:tcPr>
          <w:p>
            <w:r>
              <w:t>紧急安全更新</w:t>
            </w:r>
          </w:p>
        </w:tc>
        <w:tc>
          <w:tcPr>
            <w:tcW w:type="dxa" w:w="1728"/>
          </w:tcPr>
          <w:p>
            <w:r>
              <w:t>严重安全漏洞修复</w:t>
            </w:r>
          </w:p>
        </w:tc>
        <w:tc>
          <w:tcPr>
            <w:tcW w:type="dxa" w:w="1728"/>
          </w:tcPr>
          <w:p>
            <w:r>
              <w:t>2小时</w:t>
            </w:r>
          </w:p>
        </w:tc>
        <w:tc>
          <w:tcPr>
            <w:tcW w:type="dxa" w:w="1728"/>
          </w:tcPr>
          <w:p>
            <w:r>
              <w:t>24小时</w:t>
            </w:r>
          </w:p>
        </w:tc>
        <w:tc>
          <w:tcPr>
            <w:tcW w:type="dxa" w:w="1728"/>
          </w:tcPr>
          <w:p>
            <w:r>
              <w:t>安全总监</w:t>
            </w:r>
          </w:p>
        </w:tc>
      </w:tr>
      <w:tr>
        <w:tc>
          <w:tcPr>
            <w:tcW w:type="dxa" w:w="1728"/>
          </w:tcPr>
          <w:p>
            <w:r>
              <w:t>重要安全更新</w:t>
            </w:r>
          </w:p>
        </w:tc>
        <w:tc>
          <w:tcPr>
            <w:tcW w:type="dxa" w:w="1728"/>
          </w:tcPr>
          <w:p>
            <w:r>
              <w:t>一般安全漏洞修复</w:t>
            </w:r>
          </w:p>
        </w:tc>
        <w:tc>
          <w:tcPr>
            <w:tcW w:type="dxa" w:w="1728"/>
          </w:tcPr>
          <w:p>
            <w:r>
              <w:t>4小时</w:t>
            </w:r>
          </w:p>
        </w:tc>
        <w:tc>
          <w:tcPr>
            <w:tcW w:type="dxa" w:w="1728"/>
          </w:tcPr>
          <w:p>
            <w:r>
              <w:t>72小时</w:t>
            </w:r>
          </w:p>
        </w:tc>
        <w:tc>
          <w:tcPr>
            <w:tcW w:type="dxa" w:w="1728"/>
          </w:tcPr>
          <w:p>
            <w:r>
              <w:t>安全总监</w:t>
            </w:r>
          </w:p>
        </w:tc>
      </w:tr>
      <w:tr>
        <w:tc>
          <w:tcPr>
            <w:tcW w:type="dxa" w:w="1728"/>
          </w:tcPr>
          <w:p>
            <w:r>
              <w:t>功能更新</w:t>
            </w:r>
          </w:p>
        </w:tc>
        <w:tc>
          <w:tcPr>
            <w:tcW w:type="dxa" w:w="1728"/>
          </w:tcPr>
          <w:p>
            <w:r>
              <w:t>新功能或性能改进</w:t>
            </w:r>
          </w:p>
        </w:tc>
        <w:tc>
          <w:tcPr>
            <w:tcW w:type="dxa" w:w="1728"/>
          </w:tcPr>
          <w:p>
            <w:r>
              <w:t>1周</w:t>
            </w:r>
          </w:p>
        </w:tc>
        <w:tc>
          <w:tcPr>
            <w:tcW w:type="dxa" w:w="1728"/>
          </w:tcPr>
          <w:p>
            <w:r>
              <w:t>1个月</w:t>
            </w:r>
          </w:p>
        </w:tc>
        <w:tc>
          <w:tcPr>
            <w:tcW w:type="dxa" w:w="1728"/>
          </w:tcPr>
          <w:p>
            <w:r>
              <w:t>技术总监</w:t>
            </w:r>
          </w:p>
        </w:tc>
      </w:tr>
      <w:tr>
        <w:tc>
          <w:tcPr>
            <w:tcW w:type="dxa" w:w="1728"/>
          </w:tcPr>
          <w:p>
            <w:r>
              <w:t>系统替换</w:t>
            </w:r>
          </w:p>
        </w:tc>
        <w:tc>
          <w:tcPr>
            <w:tcW w:type="dxa" w:w="1728"/>
          </w:tcPr>
          <w:p>
            <w:r>
              <w:t>停止支持的系统</w:t>
            </w:r>
          </w:p>
        </w:tc>
        <w:tc>
          <w:tcPr>
            <w:tcW w:type="dxa" w:w="1728"/>
          </w:tcPr>
          <w:p>
            <w:r>
              <w:t>提前6个月</w:t>
            </w:r>
          </w:p>
        </w:tc>
        <w:tc>
          <w:tcPr>
            <w:tcW w:type="dxa" w:w="1728"/>
          </w:tcPr>
          <w:p>
            <w:r>
              <w:t>提前3个月</w:t>
            </w:r>
          </w:p>
        </w:tc>
        <w:tc>
          <w:tcPr>
            <w:tcW w:type="dxa" w:w="1728"/>
          </w:tcPr>
          <w:p>
            <w:r>
              <w:t>CTO</w:t>
            </w:r>
          </w:p>
        </w:tc>
      </w:tr>
    </w:tbl>
    <w:p>
      <w:pPr>
        <w:pStyle w:val="Heading2"/>
      </w:pPr>
      <w:r>
        <w:t>4. 更新流程</w:t>
      </w:r>
    </w:p>
    <w:p>
      <w:pPr>
        <w:pStyle w:val="Heading3"/>
      </w:pPr>
      <w:r>
        <w:t>4.1 发现与监控</w:t>
      </w:r>
    </w:p>
    <w:p>
      <w:pPr>
        <w:pStyle w:val="ListBullet"/>
      </w:pPr>
      <w:r>
        <w:t>自动化监控: 漏洞扫描工具、官方安全公告订阅</w:t>
      </w:r>
    </w:p>
    <w:p>
      <w:pPr>
        <w:pStyle w:val="ListBullet"/>
      </w:pPr>
      <w:r>
        <w:t>定期审查: 月度技术栈审查、季度架构评估</w:t>
      </w:r>
    </w:p>
    <w:p>
      <w:pPr>
        <w:pStyle w:val="Heading3"/>
      </w:pPr>
      <w:r>
        <w:t>4.2 评估与决策</w:t>
      </w:r>
    </w:p>
    <w:p>
      <w:pPr>
        <w:pStyle w:val="ListBullet"/>
      </w:pPr>
      <w:r>
        <w:t>风险评估: 业务影响 × 技术风险 × 攻击可能性</w:t>
      </w:r>
    </w:p>
    <w:p>
      <w:pPr>
        <w:pStyle w:val="ListBullet"/>
      </w:pPr>
      <w:r>
        <w:t>优先级: P0(紧急) &gt; P1(重要) &gt; P2(一般) &gt; P3(可选)</w:t>
      </w:r>
    </w:p>
    <w:p>
      <w:pPr>
        <w:pStyle w:val="Heading3"/>
      </w:pPr>
      <w:r>
        <w:t>4.3 测试与部署</w:t>
      </w:r>
    </w:p>
    <w:p>
      <w:pPr>
        <w:pStyle w:val="ListBullet"/>
      </w:pPr>
      <w:r>
        <w:t>测试环境: 开发环境 → 预生产环境 → 生产环境</w:t>
      </w:r>
    </w:p>
    <w:p>
      <w:pPr>
        <w:pStyle w:val="ListBullet"/>
      </w:pPr>
      <w:r>
        <w:t>部署策略: 分批部署、实时监控、快速回滚</w:t>
      </w:r>
    </w:p>
    <w:p>
      <w:pPr>
        <w:pStyle w:val="Heading2"/>
      </w:pPr>
      <w:r>
        <w:t>5. 责任分工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角色</w:t>
            </w:r>
          </w:p>
        </w:tc>
        <w:tc>
          <w:tcPr>
            <w:tcW w:type="dxa" w:w="4320"/>
          </w:tcPr>
          <w:p>
            <w:r>
              <w:t>主要职责</w:t>
            </w:r>
          </w:p>
        </w:tc>
      </w:tr>
      <w:tr>
        <w:tc>
          <w:tcPr>
            <w:tcW w:type="dxa" w:w="4320"/>
          </w:tcPr>
          <w:p>
            <w:r>
              <w:t>CTO</w:t>
            </w:r>
          </w:p>
        </w:tc>
        <w:tc>
          <w:tcPr>
            <w:tcW w:type="dxa" w:w="4320"/>
          </w:tcPr>
          <w:p>
            <w:r>
              <w:t>技术更新战略制定、重大系统替换审批</w:t>
            </w:r>
          </w:p>
        </w:tc>
      </w:tr>
      <w:tr>
        <w:tc>
          <w:tcPr>
            <w:tcW w:type="dxa" w:w="4320"/>
          </w:tcPr>
          <w:p>
            <w:r>
              <w:t>安全总监</w:t>
            </w:r>
          </w:p>
        </w:tc>
        <w:tc>
          <w:tcPr>
            <w:tcW w:type="dxa" w:w="4320"/>
          </w:tcPr>
          <w:p>
            <w:r>
              <w:t>安全漏洞评估、安全更新优先级制定</w:t>
            </w:r>
          </w:p>
        </w:tc>
      </w:tr>
      <w:tr>
        <w:tc>
          <w:tcPr>
            <w:tcW w:type="dxa" w:w="4320"/>
          </w:tcPr>
          <w:p>
            <w:r>
              <w:t>技术总监</w:t>
            </w:r>
          </w:p>
        </w:tc>
        <w:tc>
          <w:tcPr>
            <w:tcW w:type="dxa" w:w="4320"/>
          </w:tcPr>
          <w:p>
            <w:r>
              <w:t>功能更新审批、技术架构评估</w:t>
            </w:r>
          </w:p>
        </w:tc>
      </w:tr>
      <w:tr>
        <w:tc>
          <w:tcPr>
            <w:tcW w:type="dxa" w:w="4320"/>
          </w:tcPr>
          <w:p>
            <w:r>
              <w:t>IT运维部</w:t>
            </w:r>
          </w:p>
        </w:tc>
        <w:tc>
          <w:tcPr>
            <w:tcW w:type="dxa" w:w="4320"/>
          </w:tcPr>
          <w:p>
            <w:r>
              <w:t>日常更新执行、系统监控、应急响应</w:t>
            </w:r>
          </w:p>
        </w:tc>
      </w:tr>
      <w:tr>
        <w:tc>
          <w:tcPr>
            <w:tcW w:type="dxa" w:w="4320"/>
          </w:tcPr>
          <w:p>
            <w:r>
              <w:t>开发团队</w:t>
            </w:r>
          </w:p>
        </w:tc>
        <w:tc>
          <w:tcPr>
            <w:tcW w:type="dxa" w:w="4320"/>
          </w:tcPr>
          <w:p>
            <w:r>
              <w:t>应用层更新、代码依赖管理</w:t>
            </w:r>
          </w:p>
        </w:tc>
      </w:tr>
    </w:tbl>
    <w:p>
      <w:pPr>
        <w:pStyle w:val="Heading2"/>
      </w:pPr>
      <w:r>
        <w:t>6. 关键指标</w:t>
      </w:r>
    </w:p>
    <w:p>
      <w:pPr>
        <w:pStyle w:val="Heading3"/>
      </w:pPr>
      <w:r>
        <w:t>6.1 及时性指标</w:t>
      </w:r>
    </w:p>
    <w:p>
      <w:pPr>
        <w:pStyle w:val="ListBullet"/>
      </w:pPr>
      <w:r>
        <w:t>安全补丁平均部署时间 ≤ 72小时</w:t>
      </w:r>
    </w:p>
    <w:p>
      <w:pPr>
        <w:pStyle w:val="ListBullet"/>
      </w:pPr>
      <w:r>
        <w:t>系统更新覆盖率 ≥ 95%</w:t>
      </w:r>
    </w:p>
    <w:p>
      <w:pPr>
        <w:pStyle w:val="ListBullet"/>
      </w:pPr>
      <w:r>
        <w:t>过时系统识别率 = 100%</w:t>
      </w:r>
    </w:p>
    <w:p>
      <w:pPr>
        <w:pStyle w:val="Heading3"/>
      </w:pPr>
      <w:r>
        <w:t>6.2 质量指标</w:t>
      </w:r>
    </w:p>
    <w:p>
      <w:pPr>
        <w:pStyle w:val="ListBullet"/>
      </w:pPr>
      <w:r>
        <w:t>更新成功率 ≥ 98%</w:t>
      </w:r>
    </w:p>
    <w:p>
      <w:pPr>
        <w:pStyle w:val="ListBullet"/>
      </w:pPr>
      <w:r>
        <w:t>计划外回滚次数 ≤ 2次/月</w:t>
      </w:r>
    </w:p>
    <w:p>
      <w:pPr>
        <w:pStyle w:val="ListBullet"/>
      </w:pPr>
      <w:r>
        <w:t>业务中断时间 ≤ 4小时/月</w:t>
      </w:r>
    </w:p>
    <w:p>
      <w:pPr>
        <w:pStyle w:val="Heading2"/>
      </w:pPr>
      <w:r>
        <w:t>7. 应急响应</w:t>
      </w:r>
    </w:p>
    <w:p>
      <w:pPr>
        <w:pStyle w:val="Heading3"/>
      </w:pPr>
      <w:r>
        <w:t>7.1 零日漏洞</w:t>
      </w:r>
    </w:p>
    <w:p>
      <w:pPr>
        <w:pStyle w:val="ListBullet"/>
      </w:pPr>
      <w:r>
        <w:t>2小时内启动应急响应</w:t>
      </w:r>
    </w:p>
    <w:p>
      <w:pPr>
        <w:pStyle w:val="ListBullet"/>
      </w:pPr>
      <w:r>
        <w:t>4小时内完成影响评估</w:t>
      </w:r>
    </w:p>
    <w:p>
      <w:pPr>
        <w:pStyle w:val="ListBullet"/>
      </w:pPr>
      <w:r>
        <w:t>24小时内部署防护措施</w:t>
      </w:r>
    </w:p>
    <w:p>
      <w:pPr>
        <w:pStyle w:val="Heading3"/>
      </w:pPr>
      <w:r>
        <w:t>7.2 更新失败</w:t>
      </w:r>
    </w:p>
    <w:p>
      <w:pPr>
        <w:pStyle w:val="ListBullet"/>
      </w:pPr>
      <w:r>
        <w:t>立即启动回滚程序</w:t>
      </w:r>
    </w:p>
    <w:p>
      <w:pPr>
        <w:pStyle w:val="ListBullet"/>
      </w:pPr>
      <w:r>
        <w:t>30分钟内恢复服务</w:t>
      </w:r>
    </w:p>
    <w:p>
      <w:pPr>
        <w:pStyle w:val="ListBullet"/>
      </w:pPr>
      <w:r>
        <w:t>24小时内完成根因分析</w:t>
      </w:r>
    </w:p>
    <w:p>
      <w:pPr>
        <w:pStyle w:val="Heading2"/>
      </w:pPr>
      <w:r>
        <w:t>8. 文档要求</w:t>
      </w:r>
    </w:p>
    <w:p>
      <w:pPr>
        <w:pStyle w:val="ListBullet"/>
      </w:pPr>
      <w:r>
        <w:t>更新申请表与审批记录</w:t>
      </w:r>
    </w:p>
    <w:p>
      <w:pPr>
        <w:pStyle w:val="ListBullet"/>
      </w:pPr>
      <w:r>
        <w:t>影响评估与测试报告</w:t>
      </w:r>
    </w:p>
    <w:p>
      <w:pPr>
        <w:pStyle w:val="ListBullet"/>
      </w:pPr>
      <w:r>
        <w:t>部署日志与监控数据</w:t>
      </w:r>
    </w:p>
    <w:p>
      <w:pPr>
        <w:pStyle w:val="ListBullet"/>
      </w:pPr>
      <w:r>
        <w:t>问题处理与经验总结</w:t>
      </w:r>
    </w:p>
    <w:p>
      <w:pPr>
        <w:pStyle w:val="Heading2"/>
      </w:pPr>
      <w:r>
        <w:t>9. 政策维护</w:t>
      </w:r>
    </w:p>
    <w:p>
      <w:pPr>
        <w:pStyle w:val="ListBullet"/>
      </w:pPr>
      <w:r>
        <w:t>每年审查一次政策有效性</w:t>
      </w:r>
    </w:p>
    <w:p>
      <w:pPr>
        <w:pStyle w:val="ListBullet"/>
      </w:pPr>
      <w:r>
        <w:t>重大技术变更时及时修订</w:t>
      </w:r>
    </w:p>
    <w:p>
      <w:pPr>
        <w:pStyle w:val="ListBullet"/>
      </w:pPr>
      <w:r>
        <w:t>定期开展培训和演练</w:t>
      </w:r>
    </w:p>
    <w:p>
      <w:r>
        <w:t>文档控制: 创建 2024-01-01 | 修订 2024-08-20 | 审查 2025-08-20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