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技术更新管理政策文档</w:t>
      </w:r>
    </w:p>
    <w:p>
      <w:r>
        <w:t>文档版本: 1.0</w:t>
        <w:br/>
        <w:t>生效日期: 2024年1月1日</w:t>
        <w:br/>
        <w:t>审批人: CTO</w:t>
        <w:br/>
        <w:t xml:space="preserve">制定部门: IT运维部  </w:t>
      </w:r>
    </w:p>
    <w:p>
      <w:pPr>
        <w:pStyle w:val="Heading2"/>
      </w:pPr>
      <w:r>
        <w:t>1. 政策目标</w:t>
      </w:r>
    </w:p>
    <w:p>
      <w:r>
        <w:t>本政策旨在确保公司所有技术系统和应用程序保持最新状态，及时发现和替换过时的系统，确保信息安全和业务连续性。</w:t>
      </w:r>
    </w:p>
    <w:p>
      <w:pPr>
        <w:pStyle w:val="Heading2"/>
      </w:pPr>
      <w:r>
        <w:t>2. 适用范围</w:t>
      </w:r>
    </w:p>
    <w:p>
      <w:r>
        <w:t>本政策适用于公司所有：</w:t>
        <w:br/>
        <w:t>- 生产环境系统</w:t>
        <w:br/>
        <w:t>- 开发测试环境</w:t>
        <w:br/>
        <w:t>- 第三方应用和服务</w:t>
        <w:br/>
        <w:t>- 基础设施组件</w:t>
        <w:br/>
        <w:t>- 安全相关软件</w:t>
      </w:r>
    </w:p>
    <w:p>
      <w:pPr>
        <w:pStyle w:val="Heading2"/>
      </w:pPr>
      <w:r>
        <w:t>3. 更新分类</w:t>
      </w:r>
    </w:p>
    <w:p>
      <w:pPr>
        <w:pStyle w:val="Heading3"/>
      </w:pPr>
      <w:r>
        <w:t>3.1 关键安全更新</w:t>
      </w:r>
    </w:p>
    <w:p>
      <w:pPr>
        <w:pStyle w:val="ListBullet"/>
      </w:pPr>
      <w:r>
        <w:t>定义: 修复已知安全漏洞的补丁</w:t>
      </w:r>
    </w:p>
    <w:p>
      <w:pPr>
        <w:pStyle w:val="ListBullet"/>
      </w:pPr>
      <w:r>
        <w:t>时限: 发布后72小时内完成评估，7天内完成部署</w:t>
      </w:r>
    </w:p>
    <w:p>
      <w:pPr>
        <w:pStyle w:val="ListBullet"/>
      </w:pPr>
      <w:r>
        <w:t>审批: 安全团队负责人审批</w:t>
      </w:r>
    </w:p>
    <w:p>
      <w:pPr>
        <w:pStyle w:val="Heading3"/>
      </w:pPr>
      <w:r>
        <w:t>3.2 功能性更新</w:t>
      </w:r>
    </w:p>
    <w:p>
      <w:pPr>
        <w:pStyle w:val="ListBullet"/>
      </w:pPr>
      <w:r>
        <w:t>定义: 新功能或性能改进</w:t>
      </w:r>
    </w:p>
    <w:p>
      <w:pPr>
        <w:pStyle w:val="ListBullet"/>
      </w:pPr>
      <w:r>
        <w:t>时限: 30天内完成评估，季度更新周期</w:t>
      </w:r>
    </w:p>
    <w:p>
      <w:pPr>
        <w:pStyle w:val="ListBullet"/>
      </w:pPr>
      <w:r>
        <w:t>审批: 技术负责人审批</w:t>
      </w:r>
    </w:p>
    <w:p>
      <w:pPr>
        <w:pStyle w:val="Heading3"/>
      </w:pPr>
      <w:r>
        <w:t>3.3 系统替换</w:t>
      </w:r>
    </w:p>
    <w:p>
      <w:pPr>
        <w:pStyle w:val="ListBullet"/>
      </w:pPr>
      <w:r>
        <w:t>定义: 官方停止支持的系统或应用</w:t>
      </w:r>
    </w:p>
    <w:p>
      <w:pPr>
        <w:pStyle w:val="ListBullet"/>
      </w:pPr>
      <w:r>
        <w:t>时限: 停止支持前6个月开始替换计划</w:t>
      </w:r>
    </w:p>
    <w:p>
      <w:pPr>
        <w:pStyle w:val="ListBullet"/>
      </w:pPr>
      <w:r>
        <w:t>审批: CTO审批</w:t>
      </w:r>
    </w:p>
    <w:p>
      <w:pPr>
        <w:pStyle w:val="Heading2"/>
      </w:pPr>
      <w:r>
        <w:t>4. 更新流程</w:t>
      </w:r>
    </w:p>
    <w:p>
      <w:pPr>
        <w:pStyle w:val="Heading3"/>
      </w:pPr>
      <w:r>
        <w:t>4.1 发现阶段</w:t>
      </w:r>
    </w:p>
    <w:p>
      <w:pPr>
        <w:pStyle w:val="ListNumber"/>
      </w:pPr>
      <w:r>
        <w:t>自动化监控</w:t>
      </w:r>
    </w:p>
    <w:p>
      <w:pPr>
        <w:pStyle w:val="ListNumber"/>
      </w:pPr>
      <w:r>
        <w:t>使用漏洞扫描工具定期检测</w:t>
      </w:r>
    </w:p>
    <w:p>
      <w:pPr>
        <w:pStyle w:val="ListNumber"/>
      </w:pPr>
      <w:r>
        <w:t>订阅官方安全公告</w:t>
      </w:r>
    </w:p>
    <w:p>
      <w:pPr>
        <w:pStyle w:val="ListNumber"/>
      </w:pPr>
      <w:r>
        <w:br/>
        <w:t>监控供应商支持状态</w:t>
        <w:br/>
      </w:r>
    </w:p>
    <w:p>
      <w:pPr>
        <w:pStyle w:val="ListNumber"/>
      </w:pPr>
      <w:r>
        <w:br/>
        <w:t>人工审查</w:t>
        <w:br/>
      </w:r>
    </w:p>
    <w:p>
      <w:pPr>
        <w:pStyle w:val="ListNumber"/>
      </w:pPr>
      <w:r>
        <w:t>月度技术栈审查</w:t>
      </w:r>
    </w:p>
    <w:p>
      <w:pPr>
        <w:pStyle w:val="ListNumber"/>
      </w:pPr>
      <w:r>
        <w:t>季度架构评估</w:t>
      </w:r>
    </w:p>
    <w:p>
      <w:pPr>
        <w:pStyle w:val="ListNumber"/>
      </w:pPr>
      <w:r>
        <w:t>年度技术债务清理</w:t>
      </w:r>
    </w:p>
    <w:p>
      <w:r>
        <w:t>监控供应商支持状态</w:t>
      </w:r>
    </w:p>
    <w:p>
      <w:r>
        <w:t>人工审查</w:t>
      </w:r>
    </w:p>
    <w:p>
      <w:pPr>
        <w:pStyle w:val="Heading3"/>
      </w:pPr>
      <w:r>
        <w:t>4.2 评估阶段</w:t>
      </w:r>
    </w:p>
    <w:p>
      <w:pPr>
        <w:pStyle w:val="ListNumber"/>
      </w:pPr>
      <w:r>
        <w:t>影响分析</w:t>
      </w:r>
    </w:p>
    <w:p>
      <w:pPr>
        <w:pStyle w:val="ListNumber"/>
      </w:pPr>
      <w:r>
        <w:t>业务影响评估</w:t>
      </w:r>
    </w:p>
    <w:p>
      <w:pPr>
        <w:pStyle w:val="ListNumber"/>
      </w:pPr>
      <w:r>
        <w:t>技术风险评估</w:t>
      </w:r>
    </w:p>
    <w:p>
      <w:pPr>
        <w:pStyle w:val="ListNumber"/>
      </w:pPr>
      <w:r>
        <w:br/>
        <w:t>成本效益分析</w:t>
        <w:br/>
      </w:r>
    </w:p>
    <w:p>
      <w:pPr>
        <w:pStyle w:val="ListNumber"/>
      </w:pPr>
      <w:r>
        <w:br/>
        <w:t>优先级排序</w:t>
        <w:br/>
      </w:r>
    </w:p>
    <w:p>
      <w:pPr>
        <w:pStyle w:val="ListNumber"/>
      </w:pPr>
      <w:r>
        <w:t>P0: 关键安全漏洞</w:t>
      </w:r>
    </w:p>
    <w:p>
      <w:pPr>
        <w:pStyle w:val="ListNumber"/>
      </w:pPr>
      <w:r>
        <w:t>P1: 重要功能更新</w:t>
      </w:r>
    </w:p>
    <w:p>
      <w:pPr>
        <w:pStyle w:val="ListNumber"/>
      </w:pPr>
      <w:r>
        <w:t>P2: 一般性改进</w:t>
      </w:r>
    </w:p>
    <w:p>
      <w:pPr>
        <w:pStyle w:val="ListNumber"/>
      </w:pPr>
      <w:r>
        <w:t>P3: 可选更新</w:t>
      </w:r>
    </w:p>
    <w:p>
      <w:r>
        <w:t>成本效益分析</w:t>
      </w:r>
    </w:p>
    <w:p>
      <w:r>
        <w:t>优先级排序</w:t>
      </w:r>
    </w:p>
    <w:p>
      <w:pPr>
        <w:pStyle w:val="Heading3"/>
      </w:pPr>
      <w:r>
        <w:t>4.3 执行阶段</w:t>
      </w:r>
    </w:p>
    <w:p>
      <w:pPr>
        <w:pStyle w:val="ListNumber"/>
      </w:pPr>
      <w:r>
        <w:t>测试验证</w:t>
      </w:r>
    </w:p>
    <w:p>
      <w:pPr>
        <w:pStyle w:val="ListNumber"/>
      </w:pPr>
      <w:r>
        <w:t>开发环境测试</w:t>
      </w:r>
    </w:p>
    <w:p>
      <w:pPr>
        <w:pStyle w:val="ListNumber"/>
      </w:pPr>
      <w:r>
        <w:t>预生产环境验证</w:t>
      </w:r>
    </w:p>
    <w:p>
      <w:pPr>
        <w:pStyle w:val="ListNumber"/>
      </w:pPr>
      <w:r>
        <w:br/>
        <w:t>回滚方案准备</w:t>
        <w:br/>
      </w:r>
    </w:p>
    <w:p>
      <w:pPr>
        <w:pStyle w:val="ListNumber"/>
      </w:pPr>
      <w:r>
        <w:br/>
        <w:t>生产部署</w:t>
        <w:br/>
      </w:r>
    </w:p>
    <w:p>
      <w:pPr>
        <w:pStyle w:val="ListNumber"/>
      </w:pPr>
      <w:r>
        <w:t>分阶段部署</w:t>
      </w:r>
    </w:p>
    <w:p>
      <w:pPr>
        <w:pStyle w:val="ListNumber"/>
      </w:pPr>
      <w:r>
        <w:t>实时监控</w:t>
      </w:r>
    </w:p>
    <w:p>
      <w:pPr>
        <w:pStyle w:val="ListNumber"/>
      </w:pPr>
      <w:r>
        <w:t>问题快速响应</w:t>
      </w:r>
    </w:p>
    <w:p>
      <w:r>
        <w:t>回滚方案准备</w:t>
      </w:r>
    </w:p>
    <w:p>
      <w:r>
        <w:t>生产部署</w:t>
      </w:r>
    </w:p>
    <w:p>
      <w:pPr>
        <w:pStyle w:val="Heading2"/>
      </w:pPr>
      <w:r>
        <w:t>5. 责任分工</w:t>
      </w:r>
    </w:p>
    <w:p>
      <w:pPr>
        <w:pStyle w:val="Heading3"/>
      </w:pPr>
      <w:r>
        <w:t>5.1 CTO办公室</w:t>
      </w:r>
    </w:p>
    <w:p>
      <w:pPr>
        <w:pStyle w:val="ListBullet"/>
      </w:pPr>
      <w:r>
        <w:t>制定技术更新战略</w:t>
      </w:r>
    </w:p>
    <w:p>
      <w:pPr>
        <w:pStyle w:val="ListBullet"/>
      </w:pPr>
      <w:r>
        <w:t>审批重大系统替换</w:t>
      </w:r>
    </w:p>
    <w:p>
      <w:pPr>
        <w:pStyle w:val="ListBullet"/>
      </w:pPr>
      <w:r>
        <w:t>资源分配决策</w:t>
      </w:r>
    </w:p>
    <w:p>
      <w:pPr>
        <w:pStyle w:val="Heading3"/>
      </w:pPr>
      <w:r>
        <w:t>5.2 IT运维部</w:t>
      </w:r>
    </w:p>
    <w:p>
      <w:pPr>
        <w:pStyle w:val="ListBullet"/>
      </w:pPr>
      <w:r>
        <w:t>日常更新执行</w:t>
      </w:r>
    </w:p>
    <w:p>
      <w:pPr>
        <w:pStyle w:val="ListBullet"/>
      </w:pPr>
      <w:r>
        <w:t>系统监控维护</w:t>
      </w:r>
    </w:p>
    <w:p>
      <w:pPr>
        <w:pStyle w:val="ListBullet"/>
      </w:pPr>
      <w:r>
        <w:t>应急响应处理</w:t>
      </w:r>
    </w:p>
    <w:p>
      <w:pPr>
        <w:pStyle w:val="Heading3"/>
      </w:pPr>
      <w:r>
        <w:t>5.3 信息安全部</w:t>
      </w:r>
    </w:p>
    <w:p>
      <w:pPr>
        <w:pStyle w:val="ListBullet"/>
      </w:pPr>
      <w:r>
        <w:t>安全漏洞评估</w:t>
      </w:r>
    </w:p>
    <w:p>
      <w:pPr>
        <w:pStyle w:val="ListBullet"/>
      </w:pPr>
      <w:r>
        <w:t>安全更新优先级</w:t>
      </w:r>
    </w:p>
    <w:p>
      <w:pPr>
        <w:pStyle w:val="ListBullet"/>
      </w:pPr>
      <w:r>
        <w:t>合规性检查</w:t>
      </w:r>
    </w:p>
    <w:p>
      <w:pPr>
        <w:pStyle w:val="Heading3"/>
      </w:pPr>
      <w:r>
        <w:t>5.4 开发团队</w:t>
      </w:r>
    </w:p>
    <w:p>
      <w:pPr>
        <w:pStyle w:val="ListBullet"/>
      </w:pPr>
      <w:r>
        <w:t>应用层更新</w:t>
      </w:r>
    </w:p>
    <w:p>
      <w:pPr>
        <w:pStyle w:val="ListBullet"/>
      </w:pPr>
      <w:r>
        <w:t>代码依赖管理</w:t>
      </w:r>
    </w:p>
    <w:p>
      <w:pPr>
        <w:pStyle w:val="ListBullet"/>
      </w:pPr>
      <w:r>
        <w:t>技术债务清理</w:t>
      </w:r>
    </w:p>
    <w:p>
      <w:pPr>
        <w:pStyle w:val="Heading2"/>
      </w:pPr>
      <w:r>
        <w:t>6. 监控指标</w:t>
      </w:r>
    </w:p>
    <w:p>
      <w:pPr>
        <w:pStyle w:val="Heading3"/>
      </w:pPr>
      <w:r>
        <w:t>6.1 及时性指标</w:t>
      </w:r>
    </w:p>
    <w:p>
      <w:pPr>
        <w:pStyle w:val="ListBullet"/>
      </w:pPr>
      <w:r>
        <w:t>安全补丁平均部署时间</w:t>
      </w:r>
    </w:p>
    <w:p>
      <w:pPr>
        <w:pStyle w:val="ListBullet"/>
      </w:pPr>
      <w:r>
        <w:t>系统更新覆盖率</w:t>
      </w:r>
    </w:p>
    <w:p>
      <w:pPr>
        <w:pStyle w:val="ListBullet"/>
      </w:pPr>
      <w:r>
        <w:t>过时系统识别率</w:t>
      </w:r>
    </w:p>
    <w:p>
      <w:pPr>
        <w:pStyle w:val="Heading3"/>
      </w:pPr>
      <w:r>
        <w:t>6.2 质量指标</w:t>
      </w:r>
    </w:p>
    <w:p>
      <w:pPr>
        <w:pStyle w:val="ListBullet"/>
      </w:pPr>
      <w:r>
        <w:t>更新成功率</w:t>
      </w:r>
    </w:p>
    <w:p>
      <w:pPr>
        <w:pStyle w:val="ListBullet"/>
      </w:pPr>
      <w:r>
        <w:t>回滚次数</w:t>
      </w:r>
    </w:p>
    <w:p>
      <w:pPr>
        <w:pStyle w:val="ListBullet"/>
      </w:pPr>
      <w:r>
        <w:t>业务中断时间</w:t>
      </w:r>
    </w:p>
    <w:p>
      <w:pPr>
        <w:pStyle w:val="Heading3"/>
      </w:pPr>
      <w:r>
        <w:t>6.3 合规性指标</w:t>
      </w:r>
    </w:p>
    <w:p>
      <w:pPr>
        <w:pStyle w:val="ListBullet"/>
      </w:pPr>
      <w:r>
        <w:t>未打补丁系统数量</w:t>
      </w:r>
    </w:p>
    <w:p>
      <w:pPr>
        <w:pStyle w:val="ListBullet"/>
      </w:pPr>
      <w:r>
        <w:t>停止支持系统清单</w:t>
      </w:r>
    </w:p>
    <w:p>
      <w:pPr>
        <w:pStyle w:val="ListBullet"/>
      </w:pPr>
      <w:r>
        <w:t>审计发现问题数</w:t>
      </w:r>
    </w:p>
    <w:p>
      <w:pPr>
        <w:pStyle w:val="Heading2"/>
      </w:pPr>
      <w:r>
        <w:t>7. 文档要求</w:t>
      </w:r>
    </w:p>
    <w:p>
      <w:pPr>
        <w:pStyle w:val="Heading3"/>
      </w:pPr>
      <w:r>
        <w:t>7.1 更新记录</w:t>
      </w:r>
    </w:p>
    <w:p>
      <w:pPr>
        <w:pStyle w:val="ListBullet"/>
      </w:pPr>
      <w:r>
        <w:t>更新申请表</w:t>
      </w:r>
    </w:p>
    <w:p>
      <w:pPr>
        <w:pStyle w:val="ListBullet"/>
      </w:pPr>
      <w:r>
        <w:t>影响评估报告</w:t>
      </w:r>
    </w:p>
    <w:p>
      <w:pPr>
        <w:pStyle w:val="ListBullet"/>
      </w:pPr>
      <w:r>
        <w:t>测试验证记录</w:t>
      </w:r>
    </w:p>
    <w:p>
      <w:pPr>
        <w:pStyle w:val="ListBullet"/>
      </w:pPr>
      <w:r>
        <w:t>部署执行日志</w:t>
      </w:r>
    </w:p>
    <w:p>
      <w:pPr>
        <w:pStyle w:val="Heading3"/>
      </w:pPr>
      <w:r>
        <w:t>7.2 审批文档</w:t>
      </w:r>
    </w:p>
    <w:p>
      <w:pPr>
        <w:pStyle w:val="ListBullet"/>
      </w:pPr>
      <w:r>
        <w:t>CTO审批邮件</w:t>
      </w:r>
    </w:p>
    <w:p>
      <w:pPr>
        <w:pStyle w:val="ListBullet"/>
      </w:pPr>
      <w:r>
        <w:t>技术委员会决议</w:t>
      </w:r>
    </w:p>
    <w:p>
      <w:pPr>
        <w:pStyle w:val="ListBullet"/>
      </w:pPr>
      <w:r>
        <w:t>变更管理记录</w:t>
      </w:r>
    </w:p>
    <w:p>
      <w:pPr>
        <w:pStyle w:val="Heading2"/>
      </w:pPr>
      <w:r>
        <w:t>8. 应急处理</w:t>
      </w:r>
    </w:p>
    <w:p>
      <w:pPr>
        <w:pStyle w:val="Heading3"/>
      </w:pPr>
      <w:r>
        <w:t>8.1 零日漏洞响应</w:t>
      </w:r>
    </w:p>
    <w:p>
      <w:pPr>
        <w:pStyle w:val="ListBullet"/>
      </w:pPr>
      <w:r>
        <w:t>2小时内启动应急响应</w:t>
      </w:r>
    </w:p>
    <w:p>
      <w:pPr>
        <w:pStyle w:val="ListBullet"/>
      </w:pPr>
      <w:r>
        <w:t>4小时内完成影响评估</w:t>
      </w:r>
    </w:p>
    <w:p>
      <w:pPr>
        <w:pStyle w:val="ListBullet"/>
      </w:pPr>
      <w:r>
        <w:t>24小时内部署临时防护措施</w:t>
      </w:r>
    </w:p>
    <w:p>
      <w:pPr>
        <w:pStyle w:val="Heading3"/>
      </w:pPr>
      <w:r>
        <w:t>8.2 系统故障处理</w:t>
      </w:r>
    </w:p>
    <w:p>
      <w:pPr>
        <w:pStyle w:val="ListBullet"/>
      </w:pPr>
      <w:r>
        <w:t>立即启动回滚程序</w:t>
      </w:r>
    </w:p>
    <w:p>
      <w:pPr>
        <w:pStyle w:val="ListBullet"/>
      </w:pPr>
      <w:r>
        <w:t>根因分析和改进</w:t>
      </w:r>
    </w:p>
    <w:p>
      <w:pPr>
        <w:pStyle w:val="ListBullet"/>
      </w:pPr>
      <w:r>
        <w:t>经验教训总结</w:t>
      </w:r>
    </w:p>
    <w:p>
      <w:pPr>
        <w:pStyle w:val="Heading2"/>
      </w:pPr>
      <w:r>
        <w:t>9. 培训要求</w:t>
      </w:r>
    </w:p>
    <w:p>
      <w:pPr>
        <w:pStyle w:val="ListBullet"/>
      </w:pPr>
      <w:r>
        <w:t>新员工入职培训</w:t>
      </w:r>
    </w:p>
    <w:p>
      <w:pPr>
        <w:pStyle w:val="ListBullet"/>
      </w:pPr>
      <w:r>
        <w:t>年度政策更新培训</w:t>
      </w:r>
    </w:p>
    <w:p>
      <w:pPr>
        <w:pStyle w:val="ListBullet"/>
      </w:pPr>
      <w:r>
        <w:t>应急响应演练</w:t>
      </w:r>
    </w:p>
    <w:p>
      <w:pPr>
        <w:pStyle w:val="Heading2"/>
      </w:pPr>
      <w:r>
        <w:t>10. 政策审查</w:t>
      </w:r>
    </w:p>
    <w:p>
      <w:r>
        <w:t>本政策每年审查一次，或在重大技术变更时进行修订。</w:t>
      </w:r>
    </w:p>
    <w:p>
      <w:r>
        <w:t>文档控制</w:t>
        <w:br/>
        <w:t>创建日期: 2024-01-01</w:t>
        <w:br/>
        <w:t>最后修订: 2024-01-01</w:t>
        <w:br/>
        <w:t xml:space="preserve">下次审查: 2025-01-01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