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CTO技术更新审批记录</w:t>
      </w:r>
    </w:p>
    <w:p>
      <w:r>
        <w:t>文档编号: CTO-APPROVAL-2024-001</w:t>
        <w:br/>
        <w:t>审批日期: 2024年8月20日</w:t>
        <w:br/>
        <w:t>审批人: 首席技术官 (CTO)</w:t>
        <w:br/>
        <w:t xml:space="preserve">申请部门: IT运维部  </w:t>
      </w:r>
    </w:p>
    <w:p>
      <w:pPr>
        <w:pStyle w:val="Heading2"/>
      </w:pPr>
      <w:r>
        <w:t>1. 审批申请概述</w:t>
      </w:r>
    </w:p>
    <w:p>
      <w:pPr>
        <w:pStyle w:val="Heading3"/>
      </w:pPr>
      <w:r>
        <w:t>1.1 申请事项</w:t>
      </w:r>
    </w:p>
    <w:p>
      <w:r>
        <w:t>申请类型: ☑ 系统更新  ☐ 系统替换  ☐ 新技术引入  ☐ 应急更新</w:t>
      </w:r>
    </w:p>
    <w:p>
      <w:r>
        <w:t>申请标题: CentOS 7系统迁移至Rocky Linux 9项目</w:t>
      </w:r>
    </w:p>
    <w:p>
      <w:r>
        <w:t>申请编号: TECH-UPDATE-2024-Q3-001</w:t>
      </w:r>
    </w:p>
    <w:p>
      <w:pPr>
        <w:pStyle w:val="Heading3"/>
      </w:pPr>
      <w:r>
        <w:t>1.2 申请背景</w:t>
      </w:r>
    </w:p>
    <w:p>
      <w:r>
        <w:t>CentOS 7将于2024年6月30日停止官方支持，存在安全风险。需要将现有15台生产服务器迁移至Rocky Linux 9，确保系统安全性和合规性。</w:t>
      </w:r>
    </w:p>
    <w:p>
      <w:pPr>
        <w:pStyle w:val="Heading3"/>
      </w:pPr>
      <w:r>
        <w:t>1.3 紧急程度</w:t>
      </w:r>
    </w:p>
    <w:p>
      <w:r>
        <w:t>☐ 紧急 (24小时内)  ☑ 重要 (1周内)  ☐ 一般 (1个月内)  ☐ 计划性 (季度内)</w:t>
      </w:r>
    </w:p>
    <w:p>
      <w:pPr>
        <w:pStyle w:val="Heading2"/>
      </w:pPr>
      <w:r>
        <w:t>2. 技术评估</w:t>
      </w:r>
    </w:p>
    <w:p>
      <w:pPr>
        <w:pStyle w:val="Heading3"/>
      </w:pPr>
      <w:r>
        <w:t>2.1 影响范围</w:t>
      </w:r>
    </w:p>
    <w:p>
      <w:r>
        <w:t>受影响系统:</w:t>
        <w:br/>
        <w:t>- Web应用服务器 (8台)</w:t>
        <w:br/>
        <w:t>- 数据库服务器 (4台)</w:t>
        <w:br/>
        <w:t>- 缓存服务器 (2台)</w:t>
        <w:br/>
        <w:t>- 监控服务器 (1台)</w:t>
      </w:r>
    </w:p>
    <w:p>
      <w:r>
        <w:t>业务影响:</w:t>
        <w:br/>
        <w:t>- 预计停机时间: 每台服务器2-4小时</w:t>
        <w:br/>
        <w:t>- 影响用户数: 约10,000活跃用户</w:t>
        <w:br/>
        <w:t>- 收入影响: 预计损失50,000元</w:t>
      </w:r>
    </w:p>
    <w:p>
      <w:pPr>
        <w:pStyle w:val="Heading3"/>
      </w:pPr>
      <w:r>
        <w:t>2.2 技术风险评估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风险项</w:t>
            </w:r>
          </w:p>
        </w:tc>
        <w:tc>
          <w:tcPr>
            <w:tcW w:type="dxa" w:w="2160"/>
          </w:tcPr>
          <w:p>
            <w:r>
              <w:t>风险等级</w:t>
            </w:r>
          </w:p>
        </w:tc>
        <w:tc>
          <w:tcPr>
            <w:tcW w:type="dxa" w:w="2160"/>
          </w:tcPr>
          <w:p>
            <w:r>
              <w:t>影响描述</w:t>
            </w:r>
          </w:p>
        </w:tc>
        <w:tc>
          <w:tcPr>
            <w:tcW w:type="dxa" w:w="2160"/>
          </w:tcPr>
          <w:p>
            <w:r>
              <w:t>缓解措施</w:t>
            </w:r>
          </w:p>
        </w:tc>
      </w:tr>
      <w:tr>
        <w:tc>
          <w:tcPr>
            <w:tcW w:type="dxa" w:w="2160"/>
          </w:tcPr>
          <w:p>
            <w:r>
              <w:t>数据丢失</w:t>
            </w:r>
          </w:p>
        </w:tc>
        <w:tc>
          <w:tcPr>
            <w:tcW w:type="dxa" w:w="2160"/>
          </w:tcPr>
          <w:p>
            <w:r>
              <w:t>低</w:t>
            </w:r>
          </w:p>
        </w:tc>
        <w:tc>
          <w:tcPr>
            <w:tcW w:type="dxa" w:w="2160"/>
          </w:tcPr>
          <w:p>
            <w:r>
              <w:t>迁移过程中数据损坏</w:t>
            </w:r>
          </w:p>
        </w:tc>
        <w:tc>
          <w:tcPr>
            <w:tcW w:type="dxa" w:w="2160"/>
          </w:tcPr>
          <w:p>
            <w:r>
              <w:t>完整备份+验证</w:t>
            </w:r>
          </w:p>
        </w:tc>
      </w:tr>
      <w:tr>
        <w:tc>
          <w:tcPr>
            <w:tcW w:type="dxa" w:w="2160"/>
          </w:tcPr>
          <w:p>
            <w:r>
              <w:t>服务中断</w:t>
            </w:r>
          </w:p>
        </w:tc>
        <w:tc>
          <w:tcPr>
            <w:tcW w:type="dxa" w:w="2160"/>
          </w:tcPr>
          <w:p>
            <w:r>
              <w:t>中</w:t>
            </w:r>
          </w:p>
        </w:tc>
        <w:tc>
          <w:tcPr>
            <w:tcW w:type="dxa" w:w="2160"/>
          </w:tcPr>
          <w:p>
            <w:r>
              <w:t>迁移期间服务不可用</w:t>
            </w:r>
          </w:p>
        </w:tc>
        <w:tc>
          <w:tcPr>
            <w:tcW w:type="dxa" w:w="2160"/>
          </w:tcPr>
          <w:p>
            <w:r>
              <w:t>分批迁移+负载均衡</w:t>
            </w:r>
          </w:p>
        </w:tc>
      </w:tr>
      <w:tr>
        <w:tc>
          <w:tcPr>
            <w:tcW w:type="dxa" w:w="2160"/>
          </w:tcPr>
          <w:p>
            <w:r>
              <w:t>兼容性问题</w:t>
            </w:r>
          </w:p>
        </w:tc>
        <w:tc>
          <w:tcPr>
            <w:tcW w:type="dxa" w:w="2160"/>
          </w:tcPr>
          <w:p>
            <w:r>
              <w:t>中</w:t>
            </w:r>
          </w:p>
        </w:tc>
        <w:tc>
          <w:tcPr>
            <w:tcW w:type="dxa" w:w="2160"/>
          </w:tcPr>
          <w:p>
            <w:r>
              <w:t>应用程序兼容性</w:t>
            </w:r>
          </w:p>
        </w:tc>
        <w:tc>
          <w:tcPr>
            <w:tcW w:type="dxa" w:w="2160"/>
          </w:tcPr>
          <w:p>
            <w:r>
              <w:t>预生产环境测试</w:t>
            </w:r>
          </w:p>
        </w:tc>
      </w:tr>
      <w:tr>
        <w:tc>
          <w:tcPr>
            <w:tcW w:type="dxa" w:w="2160"/>
          </w:tcPr>
          <w:p>
            <w:r>
              <w:t>回滚复杂</w:t>
            </w:r>
          </w:p>
        </w:tc>
        <w:tc>
          <w:tcPr>
            <w:tcW w:type="dxa" w:w="2160"/>
          </w:tcPr>
          <w:p>
            <w:r>
              <w:t>高</w:t>
            </w:r>
          </w:p>
        </w:tc>
        <w:tc>
          <w:tcPr>
            <w:tcW w:type="dxa" w:w="2160"/>
          </w:tcPr>
          <w:p>
            <w:r>
              <w:t>迁移失败后回滚困难</w:t>
            </w:r>
          </w:p>
        </w:tc>
        <w:tc>
          <w:tcPr>
            <w:tcW w:type="dxa" w:w="2160"/>
          </w:tcPr>
          <w:p>
            <w:r>
              <w:t>详细回滚方案</w:t>
            </w:r>
          </w:p>
        </w:tc>
      </w:tr>
    </w:tbl>
    <w:p>
      <w:pPr>
        <w:pStyle w:val="Heading3"/>
      </w:pPr>
      <w:r>
        <w:t>2.3 成本分析</w:t>
      </w:r>
    </w:p>
    <w:p>
      <w:r>
        <w:t xml:space="preserve">人力成本: </w:t>
        <w:br/>
        <w:t>- 系统管理员: 80小时 × 500元/小时 = 40,000元</w:t>
        <w:br/>
        <w:t>- 开发人员: 40小时 × 800元/小时 = 32,000元</w:t>
        <w:br/>
        <w:t>- 测试人员: 20小时 × 400元/小时 = 8,000元</w:t>
      </w:r>
    </w:p>
    <w:p>
      <w:r>
        <w:t>硬件成本: 0元 (使用现有硬件)</w:t>
      </w:r>
    </w:p>
    <w:p>
      <w:r>
        <w:t>软件许可: 0元 (开源系统)</w:t>
      </w:r>
    </w:p>
    <w:p>
      <w:r>
        <w:t>总成本: 80,000元</w:t>
      </w:r>
    </w:p>
    <w:p>
      <w:pPr>
        <w:pStyle w:val="Heading2"/>
      </w:pPr>
      <w:r>
        <w:t>3. 实施计划</w:t>
      </w:r>
    </w:p>
    <w:p>
      <w:pPr>
        <w:pStyle w:val="Heading3"/>
      </w:pPr>
      <w:r>
        <w:t>3.1 时间安排</w:t>
      </w:r>
    </w:p>
    <w:p>
      <w:r>
        <w:t>项目周期: 2024年8月25日 - 2024年9月30日</w:t>
      </w:r>
    </w:p>
    <w:p>
      <w:r>
        <w:t>关键里程碑:</w:t>
        <w:br/>
        <w:t>- 2024-08-25: 项目启动，环境准备</w:t>
        <w:br/>
        <w:t>- 2024-09-01: 预生产环境迁移测试</w:t>
        <w:br/>
        <w:t>- 2024-09-08: 生产环境迁移开始</w:t>
        <w:br/>
        <w:t>- 2024-09-22: 所有服务器迁移完成</w:t>
        <w:br/>
        <w:t>- 2024-09-30: 项目验收</w:t>
      </w:r>
    </w:p>
    <w:p>
      <w:pPr>
        <w:pStyle w:val="Heading3"/>
      </w:pPr>
      <w:r>
        <w:t>3.2 执行团队</w:t>
      </w:r>
    </w:p>
    <w:p>
      <w:r>
        <w:t>项目经理: 李四 (IT运维部)</w:t>
        <w:br/>
        <w:t>技术负责人: 张三 (系统架构师)</w:t>
        <w:br/>
        <w:t>执行团队: 王五、赵六、钱七 (系统管理员)</w:t>
        <w:br/>
        <w:t>测试负责人: 孙八 (QA团队)</w:t>
      </w:r>
    </w:p>
    <w:p>
      <w:pPr>
        <w:pStyle w:val="Heading3"/>
      </w:pPr>
      <w:r>
        <w:t>3.3 质量保证</w:t>
      </w:r>
    </w:p>
    <w:p>
      <w:pPr>
        <w:pStyle w:val="ListBullet"/>
      </w:pPr>
      <w:r>
        <w:t>每台服务器迁移前完整备份</w:t>
      </w:r>
    </w:p>
    <w:p>
      <w:pPr>
        <w:pStyle w:val="ListBullet"/>
      </w:pPr>
      <w:r>
        <w:t>预生产环境完整测试</w:t>
      </w:r>
    </w:p>
    <w:p>
      <w:pPr>
        <w:pStyle w:val="ListBullet"/>
      </w:pPr>
      <w:r>
        <w:t>分批迁移，降低风险</w:t>
      </w:r>
    </w:p>
    <w:p>
      <w:pPr>
        <w:pStyle w:val="ListBullet"/>
      </w:pPr>
      <w:r>
        <w:t>24小时监控和支持</w:t>
      </w:r>
    </w:p>
    <w:p>
      <w:pPr>
        <w:pStyle w:val="Heading2"/>
      </w:pPr>
      <w:r>
        <w:t>4. CTO审批决定</w:t>
      </w:r>
    </w:p>
    <w:p>
      <w:pPr>
        <w:pStyle w:val="Heading3"/>
      </w:pPr>
      <w:r>
        <w:t>4.1 审批结果</w:t>
      </w:r>
    </w:p>
    <w:p>
      <w:r>
        <w:t>☑ 批准  ☐ 有条件批准  ☐ 拒绝  ☐ 需要补充材料</w:t>
      </w:r>
    </w:p>
    <w:p>
      <w:pPr>
        <w:pStyle w:val="Heading3"/>
      </w:pPr>
      <w:r>
        <w:t>4.2 审批意见</w:t>
      </w:r>
    </w:p>
    <w:p>
      <w:r>
        <w:t>经过详细评估，该迁移项目对于维护系统安全性和合规性至关重要。CentOS 7停止支持后继续使用存在重大安全风险，必须及时迁移。</w:t>
      </w:r>
    </w:p>
    <w:p>
      <w:r>
        <w:t>批准条件:</w:t>
        <w:br/>
        <w:t>1. 必须在预生产环境完成全面测试</w:t>
        <w:br/>
        <w:t>2. 制定详细的回滚方案</w:t>
        <w:br/>
        <w:t>3. 确保关键业务数据的完整备份</w:t>
        <w:br/>
        <w:t>4. 分批迁移，优先迁移非关键系统</w:t>
        <w:br/>
        <w:t>5. 迁移期间安排24小时技术支持</w:t>
      </w:r>
    </w:p>
    <w:p>
      <w:pPr>
        <w:pStyle w:val="Heading3"/>
      </w:pPr>
      <w:r>
        <w:t>4.3 资源批准</w:t>
      </w:r>
    </w:p>
    <w:p>
      <w:r>
        <w:t>预算批准: 80,000元</w:t>
        <w:br/>
        <w:t>人员调配: 批准调配指定团队成员</w:t>
        <w:br/>
        <w:t>时间安排: 批准项目时间计划</w:t>
        <w:br/>
        <w:t>权限授权: 授权项目团队执行迁移操作</w:t>
      </w:r>
    </w:p>
    <w:p>
      <w:pPr>
        <w:pStyle w:val="Heading3"/>
      </w:pPr>
      <w:r>
        <w:t>4.4 监督要求</w:t>
      </w:r>
    </w:p>
    <w:p>
      <w:pPr>
        <w:pStyle w:val="ListNumber"/>
      </w:pPr>
      <w:r>
        <w:t>每周提交项目进度报告</w:t>
      </w:r>
    </w:p>
    <w:p>
      <w:pPr>
        <w:pStyle w:val="ListNumber"/>
      </w:pPr>
      <w:r>
        <w:t>重大问题立即上报CTO办公室</w:t>
      </w:r>
    </w:p>
    <w:p>
      <w:pPr>
        <w:pStyle w:val="ListNumber"/>
      </w:pPr>
      <w:r>
        <w:t>项目完成后提交总结报告</w:t>
      </w:r>
    </w:p>
    <w:p>
      <w:pPr>
        <w:pStyle w:val="ListNumber"/>
      </w:pPr>
      <w:r>
        <w:t>建立迁移后的监控机制</w:t>
      </w:r>
    </w:p>
    <w:p>
      <w:pPr>
        <w:pStyle w:val="Heading2"/>
      </w:pPr>
      <w:r>
        <w:t>5. 风险控制措施</w:t>
      </w:r>
    </w:p>
    <w:p>
      <w:pPr>
        <w:pStyle w:val="Heading3"/>
      </w:pPr>
      <w:r>
        <w:t>5.1 技术风险控制</w:t>
      </w:r>
    </w:p>
    <w:p>
      <w:pPr>
        <w:pStyle w:val="ListBullet"/>
      </w:pPr>
      <w:r>
        <w:t>完整的系统备份策略</w:t>
      </w:r>
    </w:p>
    <w:p>
      <w:pPr>
        <w:pStyle w:val="ListBullet"/>
      </w:pPr>
      <w:r>
        <w:t>详细的测试验证流程</w:t>
      </w:r>
    </w:p>
    <w:p>
      <w:pPr>
        <w:pStyle w:val="ListBullet"/>
      </w:pPr>
      <w:r>
        <w:t>分阶段实施计划</w:t>
      </w:r>
    </w:p>
    <w:p>
      <w:pPr>
        <w:pStyle w:val="ListBullet"/>
      </w:pPr>
      <w:r>
        <w:t>快速回滚机制</w:t>
      </w:r>
    </w:p>
    <w:p>
      <w:pPr>
        <w:pStyle w:val="Heading3"/>
      </w:pPr>
      <w:r>
        <w:t>5.2 业务风险控制</w:t>
      </w:r>
    </w:p>
    <w:p>
      <w:pPr>
        <w:pStyle w:val="ListBullet"/>
      </w:pPr>
      <w:r>
        <w:t>选择业务低峰期执行</w:t>
      </w:r>
    </w:p>
    <w:p>
      <w:pPr>
        <w:pStyle w:val="ListBullet"/>
      </w:pPr>
      <w:r>
        <w:t>提前通知用户维护时间</w:t>
      </w:r>
    </w:p>
    <w:p>
      <w:pPr>
        <w:pStyle w:val="ListBullet"/>
      </w:pPr>
      <w:r>
        <w:t>准备应急通信方案</w:t>
      </w:r>
    </w:p>
    <w:p>
      <w:pPr>
        <w:pStyle w:val="ListBullet"/>
      </w:pPr>
      <w:r>
        <w:t>客服团队待命支持</w:t>
      </w:r>
    </w:p>
    <w:p>
      <w:pPr>
        <w:pStyle w:val="Heading2"/>
      </w:pPr>
      <w:r>
        <w:t>6. 成功标准</w:t>
      </w:r>
    </w:p>
    <w:p>
      <w:pPr>
        <w:pStyle w:val="Heading3"/>
      </w:pPr>
      <w:r>
        <w:t>6.1 技术指标</w:t>
      </w:r>
    </w:p>
    <w:p>
      <w:pPr>
        <w:pStyle w:val="ListBullet"/>
      </w:pPr>
      <w:r>
        <w:t>所有服务器成功迁移至Rocky Linux 9</w:t>
      </w:r>
    </w:p>
    <w:p>
      <w:pPr>
        <w:pStyle w:val="ListBullet"/>
      </w:pPr>
      <w:r>
        <w:t>系统性能不低于迁移前水平</w:t>
      </w:r>
    </w:p>
    <w:p>
      <w:pPr>
        <w:pStyle w:val="ListBullet"/>
      </w:pPr>
      <w:r>
        <w:t>所有应用程序正常运行</w:t>
      </w:r>
    </w:p>
    <w:p>
      <w:pPr>
        <w:pStyle w:val="ListBullet"/>
      </w:pPr>
      <w:r>
        <w:t>无数据丢失或损坏</w:t>
      </w:r>
    </w:p>
    <w:p>
      <w:pPr>
        <w:pStyle w:val="Heading3"/>
      </w:pPr>
      <w:r>
        <w:t>6.2 业务指标</w:t>
      </w:r>
    </w:p>
    <w:p>
      <w:pPr>
        <w:pStyle w:val="ListBullet"/>
      </w:pPr>
      <w:r>
        <w:t>服务可用性 &gt; 99.5%</w:t>
      </w:r>
    </w:p>
    <w:p>
      <w:pPr>
        <w:pStyle w:val="ListBullet"/>
      </w:pPr>
      <w:r>
        <w:t>用户投诉数量 &lt; 10个</w:t>
      </w:r>
    </w:p>
    <w:p>
      <w:pPr>
        <w:pStyle w:val="ListBullet"/>
      </w:pPr>
      <w:r>
        <w:t>业务功能100%正常</w:t>
      </w:r>
    </w:p>
    <w:p>
      <w:pPr>
        <w:pStyle w:val="ListBullet"/>
      </w:pPr>
      <w:r>
        <w:t>响应时间不超过迁移前20%</w:t>
      </w:r>
    </w:p>
    <w:p>
      <w:pPr>
        <w:pStyle w:val="Heading2"/>
      </w:pPr>
      <w:r>
        <w:t>7. 审批签字</w:t>
      </w:r>
    </w:p>
    <w:p>
      <w:r>
        <w:t>申请人签字: 李四 (IT运维部经理)</w:t>
        <w:br/>
        <w:t>申请日期: 2024年8月18日</w:t>
      </w:r>
    </w:p>
    <w:p>
      <w:r>
        <w:t>技术审核: 张三 (技术总监)</w:t>
        <w:br/>
        <w:t>审核日期: 2024年8月19日</w:t>
        <w:br/>
        <w:t>审核意见: 技术方案可行，风险可控</w:t>
      </w:r>
    </w:p>
    <w:p>
      <w:r>
        <w:t>CTO审批: 王总 (首席技术官)</w:t>
        <w:br/>
        <w:t>审批日期: 2024年8月20日</w:t>
        <w:br/>
        <w:t>审批意见: 同意执行，按条件实施</w:t>
      </w:r>
    </w:p>
    <w:p>
      <w:r>
        <w:t>文档控制</w:t>
        <w:br/>
        <w:t>文档密级: 内部</w:t>
        <w:br/>
        <w:t>保存期限: 5年</w:t>
        <w:br/>
        <w:t xml:space="preserve">分发范围: CTO办公室、IT运维部、项目团队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17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