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6</w:t>
      </w:r>
    </w:p>
    <w:p>
      <w:pPr>
        <w:pStyle w:val="Author"/>
      </w:pPr>
      <w:r>
        <w:t xml:space="preserve">Sam</w:t>
      </w:r>
      <w:r>
        <w:t xml:space="preserve"> </w:t>
      </w:r>
      <w:r>
        <w:t xml:space="preserve">Pell</w:t>
      </w:r>
    </w:p>
    <w:p>
      <w:pPr>
        <w:pStyle w:val="Date"/>
      </w:pPr>
      <w:r>
        <w:t xml:space="preserve">4/10/2024</w:t>
      </w:r>
    </w:p>
    <w:bookmarkStart w:id="20" w:name="section"/>
    <w:p>
      <w:pPr>
        <w:pStyle w:val="Heading1"/>
      </w:pPr>
    </w:p>
    <w:p>
      <w:pPr>
        <w:pStyle w:val="FirstParagraph"/>
      </w:pPr>
      <w:r>
        <w:t xml:space="preserve">What is the difference between gradient descent and</w:t>
      </w:r>
      <w:r>
        <w:t xml:space="preserve"> </w:t>
      </w:r>
      <w:r>
        <w:rPr>
          <w:iCs/>
          <w:i/>
        </w:rPr>
        <w:t xml:space="preserve">stochastic</w:t>
      </w:r>
      <w:r>
        <w:t xml:space="preserve"> </w:t>
      </w:r>
      <w:r>
        <w:t xml:space="preserve">gradient descent as discussed in class? (</w:t>
      </w:r>
      <w:r>
        <w:rPr>
          <w:iCs/>
          <w:i/>
        </w:rPr>
        <w:t xml:space="preserve">You need not give full details of each algorithm. Instead you can describe what each does and provide the update step for each. Make sure that in providing the update step for each algorithm you emphasize what is different and why.</w:t>
      </w:r>
      <w:r>
        <w:t xml:space="preserve">)</w:t>
      </w:r>
    </w:p>
    <w:p>
      <w:pPr>
        <w:pStyle w:val="BodyText"/>
      </w:pPr>
      <w:r>
        <w:rPr>
          <w:iCs/>
          <w:i/>
        </w:rPr>
        <w:t xml:space="preserve">Student Input</w:t>
      </w:r>
    </w:p>
    <w:p>
      <w:pPr>
        <w:pStyle w:val="BodyText"/>
      </w:pPr>
      <w:r>
        <w:t xml:space="preserve">Gradient descent is a technique that iteratively moves a model down its gradient towards some objective function minima, generating a new model that approaches the population-level model. Stochastic gradient descent is similar, but when moving a model, instead of iterating on some fully predictable value, the descent adds a bit of random noise by selecting one observation to use at random, which helps shield data and prevent memory overload.</w:t>
      </w:r>
    </w:p>
    <w:p>
      <w:pPr>
        <w:pStyle w:val="BodyText"/>
      </w:pPr>
      <w:r>
        <w:t xml:space="preserve">In gradient descent, the function must be differentiable and convex, and this holds true for stochastic gradient descent. Typically, this would be done in a multivariate setting given the focus is to provide the best model, meaning the current position is a vector, but it still applies in the single-variable case. The formula is such:</w:t>
      </w:r>
    </w:p>
    <w:p>
      <w:pPr>
        <w:pStyle w:val="BodyText"/>
      </w:pPr>
      <w:r>
        <w:t xml:space="preserve">Gradient descent:</w:t>
      </w:r>
    </w:p>
    <w:p>
      <w:pPr>
        <w:pStyle w:val="BodyText"/>
      </w:pPr>
      <m:oMath>
        <m:sSub>
          <m:e>
            <m:r>
              <m:t>p</m:t>
            </m:r>
          </m:e>
          <m:sub>
            <m:r>
              <m:t>n</m:t>
            </m:r>
            <m:r>
              <m:rPr>
                <m:sty m:val="p"/>
              </m:rPr>
              <m:t>+</m:t>
            </m:r>
            <m:r>
              <m:t>1</m:t>
            </m:r>
          </m:sub>
        </m:sSub>
        <m:r>
          <m:rPr>
            <m:sty m:val="p"/>
          </m:rPr>
          <m:t>=</m:t>
        </m:r>
        <m:sSub>
          <m:e>
            <m:r>
              <m:t>p</m:t>
            </m:r>
          </m:e>
          <m:sub>
            <m:r>
              <m:t>n</m:t>
            </m:r>
          </m:sub>
        </m:sSub>
        <m:r>
          <m:rPr>
            <m:sty m:val="p"/>
          </m:rPr>
          <m:t>−</m:t>
        </m:r>
        <m:r>
          <m:t>η</m:t>
        </m:r>
        <m:r>
          <m:rPr>
            <m:sty m:val="p"/>
          </m:rPr>
          <m:t>∇</m:t>
        </m:r>
        <m:r>
          <m:t>f</m:t>
        </m:r>
        <m:d>
          <m:dPr>
            <m:begChr m:val="("/>
            <m:endChr m:val=")"/>
            <m:sepChr m:val=""/>
            <m:grow/>
          </m:dPr>
          <m:e>
            <m:sSub>
              <m:e>
                <m:r>
                  <m:t>p</m:t>
                </m:r>
              </m:e>
              <m:sub>
                <m:r>
                  <m:t>n</m:t>
                </m:r>
              </m:sub>
            </m:sSub>
          </m:e>
        </m:d>
      </m:oMath>
    </w:p>
    <w:p>
      <w:pPr>
        <w:pStyle w:val="BodyText"/>
      </w:pPr>
      <w:r>
        <w:t xml:space="preserve">Stochastic gradient descent:</w:t>
      </w:r>
    </w:p>
    <w:p>
      <w:pPr>
        <w:pStyle w:val="BodyText"/>
      </w:pPr>
      <m:oMath>
        <m:sSub>
          <m:e>
            <m:r>
              <m:t>p</m:t>
            </m:r>
          </m:e>
          <m:sub>
            <m:r>
              <m:t>n</m:t>
            </m:r>
            <m:r>
              <m:rPr>
                <m:sty m:val="p"/>
              </m:rPr>
              <m:t>+</m:t>
            </m:r>
            <m:r>
              <m:t>1</m:t>
            </m:r>
          </m:sub>
        </m:sSub>
        <m:r>
          <m:rPr>
            <m:sty m:val="p"/>
          </m:rPr>
          <m:t>=</m:t>
        </m:r>
        <m:sSub>
          <m:e>
            <m:r>
              <m:t>p</m:t>
            </m:r>
          </m:e>
          <m:sub>
            <m:r>
              <m:t>n</m:t>
            </m:r>
          </m:sub>
        </m:sSub>
        <m:r>
          <m:rPr>
            <m:sty m:val="p"/>
          </m:rPr>
          <m:t>−</m:t>
        </m:r>
        <m:r>
          <m:t>η</m:t>
        </m:r>
        <m:r>
          <m:rPr>
            <m:sty m:val="p"/>
          </m:rPr>
          <m:t>∇</m:t>
        </m:r>
        <m:sSub>
          <m:e>
            <m:r>
              <m:t>f</m:t>
            </m:r>
          </m:e>
          <m:sub>
            <m:r>
              <m:t>i</m:t>
            </m:r>
          </m:sub>
        </m:sSub>
        <m:d>
          <m:dPr>
            <m:begChr m:val="("/>
            <m:endChr m:val=")"/>
            <m:sepChr m:val=""/>
            <m:grow/>
          </m:dPr>
          <m:e>
            <m:sSub>
              <m:e>
                <m:r>
                  <m:t>p</m:t>
                </m:r>
              </m:e>
              <m:sub>
                <m:r>
                  <m:t>n</m:t>
                </m:r>
              </m:sub>
            </m:sSub>
          </m:e>
        </m:d>
      </m:oMath>
    </w:p>
    <w:p>
      <w:pPr>
        <w:pStyle w:val="BodyText"/>
      </w:pPr>
      <w:r>
        <w:t xml:space="preserve">Note that here we are only changing one thing: selecting one random observation instead of the entire set. This gives the algorithm a more winding path as it follows the gradient.</w:t>
      </w:r>
    </w:p>
    <w:bookmarkEnd w:id="20"/>
    <w:bookmarkStart w:id="21" w:name="section-1"/>
    <w:p>
      <w:pPr>
        <w:pStyle w:val="Heading1"/>
      </w:pPr>
    </w:p>
    <w:p>
      <w:pPr>
        <w:pStyle w:val="FirstParagraph"/>
      </w:pPr>
      <w:r>
        <w:t xml:space="preserve">Consider the</w:t>
      </w:r>
      <w:r>
        <w:t xml:space="preserve"> </w:t>
      </w:r>
      <w:r>
        <w:rPr>
          <w:rStyle w:val="VerbatimChar"/>
        </w:rPr>
        <w:t xml:space="preserve">FedAve</w:t>
      </w:r>
      <w:r>
        <w:t xml:space="preserve"> </w:t>
      </w:r>
      <w:r>
        <w:t xml:space="preserve">algorithm. In its most compact form we said the update step is</w:t>
      </w:r>
      <w:r>
        <w:t xml:space="preserve"> </w:t>
      </w:r>
      <m:oMath>
        <m:sSub>
          <m:e>
            <m:r>
              <m:t>ω</m:t>
            </m:r>
          </m:e>
          <m:sub>
            <m:r>
              <m:t>t</m:t>
            </m:r>
            <m:r>
              <m:rPr>
                <m:sty m:val="p"/>
              </m:rPr>
              <m:t>+</m:t>
            </m:r>
            <m:r>
              <m:t>1</m:t>
            </m:r>
          </m:sub>
        </m:sSub>
        <m:r>
          <m:rPr>
            <m:sty m:val="p"/>
          </m:rPr>
          <m:t>=</m:t>
        </m:r>
        <m:sSub>
          <m:e>
            <m:r>
              <m:t>ω</m:t>
            </m:r>
          </m:e>
          <m:sub>
            <m:r>
              <m:t>t</m:t>
            </m:r>
          </m:sub>
        </m:sSub>
        <m:r>
          <m:rPr>
            <m:sty m:val="p"/>
          </m:rPr>
          <m:t>−</m:t>
        </m:r>
        <m:r>
          <m:t>η</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r>
              <m:rPr>
                <m:sty m:val="p"/>
              </m:rPr>
              <m:t>∇</m:t>
            </m:r>
            <m:sSub>
              <m:e>
                <m:r>
                  <m:t>F</m:t>
                </m:r>
              </m:e>
              <m:sub>
                <m:r>
                  <m:t>k</m:t>
                </m:r>
              </m:sub>
            </m:sSub>
            <m:d>
              <m:dPr>
                <m:begChr m:val="("/>
                <m:endChr m:val=")"/>
                <m:sepChr m:val=""/>
                <m:grow/>
              </m:dPr>
              <m:e>
                <m:sSub>
                  <m:e>
                    <m:r>
                      <m:t>ω</m:t>
                    </m:r>
                  </m:e>
                  <m:sub>
                    <m:r>
                      <m:t>t</m:t>
                    </m:r>
                  </m:sub>
                </m:sSub>
              </m:e>
            </m:d>
          </m:e>
        </m:nary>
      </m:oMath>
      <w:r>
        <w:t xml:space="preserve">. However, we also emphasized a more intuitive, yet equivalent, formulation given by</w:t>
      </w:r>
      <w:r>
        <w:t xml:space="preserve"> </w:t>
      </w:r>
      <m:oMath>
        <m:sSubSup>
          <m:e>
            <m:r>
              <m:t>ω</m:t>
            </m:r>
          </m:e>
          <m:sub>
            <m:r>
              <m:t>t</m:t>
            </m:r>
            <m:r>
              <m:rPr>
                <m:sty m:val="p"/>
              </m:rPr>
              <m:t>+</m:t>
            </m:r>
            <m:r>
              <m:t>1</m:t>
            </m:r>
          </m:sub>
          <m:sup>
            <m:r>
              <m:t>k</m:t>
            </m:r>
          </m:sup>
        </m:sSubSup>
        <m:r>
          <m:rPr>
            <m:sty m:val="p"/>
          </m:rPr>
          <m:t>=</m:t>
        </m:r>
        <m:sSub>
          <m:e>
            <m:r>
              <m:t>ω</m:t>
            </m:r>
          </m:e>
          <m:sub>
            <m:r>
              <m:t>t</m:t>
            </m:r>
          </m:sub>
        </m:sSub>
        <m:r>
          <m:rPr>
            <m:sty m:val="p"/>
          </m:rPr>
          <m:t>−</m:t>
        </m:r>
        <m:r>
          <m:t>η</m:t>
        </m:r>
        <m:r>
          <m:rPr>
            <m:sty m:val="p"/>
          </m:rPr>
          <m:t>∇</m:t>
        </m:r>
        <m:sSub>
          <m:e>
            <m:r>
              <m:t>F</m:t>
            </m:r>
          </m:e>
          <m:sub>
            <m:r>
              <m:t>k</m:t>
            </m:r>
          </m:sub>
        </m:sSub>
        <m:d>
          <m:dPr>
            <m:begChr m:val="("/>
            <m:endChr m:val=")"/>
            <m:sepChr m:val=""/>
            <m:grow/>
          </m:dPr>
          <m:e>
            <m:sSub>
              <m:e>
                <m:r>
                  <m:t>ω</m:t>
                </m:r>
              </m:e>
              <m:sub>
                <m:r>
                  <m:t>t</m:t>
                </m:r>
              </m:sub>
            </m:sSub>
          </m:e>
        </m:d>
        <m:r>
          <m:rPr>
            <m:sty m:val="p"/>
          </m:rPr>
          <m:t>;</m:t>
        </m:r>
        <m:sSub>
          <m:e>
            <m:r>
              <m:t>w</m:t>
            </m:r>
          </m:e>
          <m:sub>
            <m:r>
              <m:t>t</m:t>
            </m:r>
            <m:r>
              <m:rPr>
                <m:sty m:val="p"/>
              </m:rPr>
              <m:t>+</m:t>
            </m:r>
            <m:r>
              <m:t>1</m:t>
            </m:r>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sSubSup>
              <m:e>
                <m:r>
                  <m:t>w</m:t>
                </m:r>
              </m:e>
              <m:sub>
                <m:r>
                  <m:t>t</m:t>
                </m:r>
                <m:r>
                  <m:rPr>
                    <m:sty m:val="p"/>
                  </m:rPr>
                  <m:t>+</m:t>
                </m:r>
                <m:r>
                  <m:t>1</m:t>
                </m:r>
              </m:sub>
              <m:sup>
                <m:r>
                  <m:t>k</m:t>
                </m:r>
              </m:sup>
            </m:sSubSup>
          </m:e>
        </m:nary>
      </m:oMath>
      <w:r>
        <w:t xml:space="preserve">.</w:t>
      </w:r>
    </w:p>
    <w:p>
      <w:pPr>
        <w:pStyle w:val="BodyText"/>
      </w:pPr>
      <w:r>
        <w:t xml:space="preserve">Prove that these two formulations are equivalent.</w:t>
      </w:r>
      <w:r>
        <w:br/>
      </w:r>
      <w:r>
        <w:t xml:space="preserve">(</w:t>
      </w:r>
      <w:r>
        <w:rPr>
          <w:iCs/>
          <w:i/>
        </w:rPr>
        <w:t xml:space="preserve">Hint: show that if you place</w:t>
      </w:r>
      <w:r>
        <w:t xml:space="preserve"> </w:t>
      </w:r>
      <m:oMath>
        <m:sSubSup>
          <m:e>
            <m:r>
              <m:t>ω</m:t>
            </m:r>
          </m:e>
          <m:sub>
            <m:r>
              <m:t>t</m:t>
            </m:r>
            <m:r>
              <m:rPr>
                <m:sty m:val="p"/>
              </m:rPr>
              <m:t>+</m:t>
            </m:r>
            <m:r>
              <m:t>1</m:t>
            </m:r>
          </m:sub>
          <m:sup>
            <m:r>
              <m:t>k</m:t>
            </m:r>
          </m:sup>
        </m:sSubSup>
      </m:oMath>
      <w:r>
        <w:t xml:space="preserve"> </w:t>
      </w:r>
      <w:r>
        <w:t xml:space="preserve">from the first equation (of the second formulation) into the second equation (of the second formulation), this second formulation will reduce to exactly the first formulation.)</w:t>
      </w:r>
    </w:p>
    <w:p>
      <w:pPr>
        <w:pStyle w:val="BodyText"/>
      </w:pPr>
      <w:r>
        <w:rPr>
          <w:iCs/>
          <w:i/>
        </w:rPr>
        <w:t xml:space="preserve">Student Input</w:t>
      </w:r>
    </w:p>
    <w:p>
      <w:pPr>
        <w:pStyle w:val="BodyText"/>
      </w:pPr>
      <m:oMath>
        <m:sSub>
          <m:e>
            <m:r>
              <m:t>w</m:t>
            </m:r>
          </m:e>
          <m:sub>
            <m:r>
              <m:t>t</m:t>
            </m:r>
            <m:r>
              <m:rPr>
                <m:sty m:val="p"/>
              </m:rPr>
              <m:t>+</m:t>
            </m:r>
            <m:r>
              <m:t>1</m:t>
            </m:r>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sSubSup>
              <m:e>
                <m:r>
                  <m:t>w</m:t>
                </m:r>
              </m:e>
              <m:sub>
                <m:r>
                  <m:t>t</m:t>
                </m:r>
                <m:r>
                  <m:rPr>
                    <m:sty m:val="p"/>
                  </m:rPr>
                  <m:t>+</m:t>
                </m:r>
                <m:r>
                  <m:t>1</m:t>
                </m:r>
              </m:sub>
              <m:sup>
                <m:r>
                  <m:t>k</m:t>
                </m:r>
              </m:sup>
            </m:sSubSup>
          </m:e>
        </m:nary>
      </m:oMath>
    </w:p>
    <w:p>
      <w:pPr>
        <w:pStyle w:val="BodyText"/>
      </w:pPr>
      <m:oMath>
        <m:sSubSup>
          <m:e>
            <m:r>
              <m:t>ω</m:t>
            </m:r>
          </m:e>
          <m:sub>
            <m:r>
              <m:t>t</m:t>
            </m:r>
            <m:r>
              <m:rPr>
                <m:sty m:val="p"/>
              </m:rPr>
              <m:t>+</m:t>
            </m:r>
            <m:r>
              <m:t>1</m:t>
            </m:r>
          </m:sub>
          <m:sup>
            <m:r>
              <m:t>k</m:t>
            </m:r>
          </m:sup>
        </m:sSubSup>
        <m:r>
          <m:rPr>
            <m:sty m:val="p"/>
          </m:rPr>
          <m:t>=</m:t>
        </m:r>
        <m:sSub>
          <m:e>
            <m:r>
              <m:t>ω</m:t>
            </m:r>
          </m:e>
          <m:sub>
            <m:r>
              <m:t>t</m:t>
            </m:r>
          </m:sub>
        </m:sSub>
        <m:r>
          <m:rPr>
            <m:sty m:val="p"/>
          </m:rPr>
          <m:t>−</m:t>
        </m:r>
        <m:r>
          <m:t>η</m:t>
        </m:r>
        <m:r>
          <m:rPr>
            <m:sty m:val="p"/>
          </m:rPr>
          <m:t>∇</m:t>
        </m:r>
        <m:sSub>
          <m:e>
            <m:r>
              <m:t>F</m:t>
            </m:r>
          </m:e>
          <m:sub>
            <m:r>
              <m:t>k</m:t>
            </m:r>
          </m:sub>
        </m:sSub>
        <m:d>
          <m:dPr>
            <m:begChr m:val="("/>
            <m:endChr m:val=")"/>
            <m:sepChr m:val=""/>
            <m:grow/>
          </m:dPr>
          <m:e>
            <m:sSub>
              <m:e>
                <m:r>
                  <m:t>ω</m:t>
                </m:r>
              </m:e>
              <m:sub>
                <m:r>
                  <m:t>t</m:t>
                </m:r>
              </m:sub>
            </m:sSub>
          </m:e>
        </m:d>
      </m:oMath>
    </w:p>
    <w:p>
      <w:pPr>
        <w:pStyle w:val="BodyText"/>
      </w:pPr>
      <m:oMath>
        <m:sSub>
          <m:e>
            <m:r>
              <m:t>w</m:t>
            </m:r>
          </m:e>
          <m:sub>
            <m:r>
              <m:t>t</m:t>
            </m:r>
            <m:r>
              <m:rPr>
                <m:sty m:val="p"/>
              </m:rPr>
              <m:t>+</m:t>
            </m:r>
            <m:r>
              <m:t>1</m:t>
            </m:r>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d>
              <m:dPr>
                <m:begChr m:val="("/>
                <m:endChr m:val=")"/>
                <m:sepChr m:val=""/>
                <m:grow/>
              </m:dPr>
              <m:e>
                <m:sSub>
                  <m:e>
                    <m:r>
                      <m:t>ω</m:t>
                    </m:r>
                  </m:e>
                  <m:sub>
                    <m:r>
                      <m:t>t</m:t>
                    </m:r>
                  </m:sub>
                </m:sSub>
                <m:r>
                  <m:rPr>
                    <m:sty m:val="p"/>
                  </m:rPr>
                  <m:t>−</m:t>
                </m:r>
                <m:r>
                  <m:t>η</m:t>
                </m:r>
                <m:r>
                  <m:rPr>
                    <m:sty m:val="p"/>
                  </m:rPr>
                  <m:t>∇</m:t>
                </m:r>
                <m:sSub>
                  <m:e>
                    <m:r>
                      <m:t>F</m:t>
                    </m:r>
                  </m:e>
                  <m:sub>
                    <m:r>
                      <m:t>k</m:t>
                    </m:r>
                  </m:sub>
                </m:sSub>
                <m:d>
                  <m:dPr>
                    <m:begChr m:val="("/>
                    <m:endChr m:val=")"/>
                    <m:sepChr m:val=""/>
                    <m:grow/>
                  </m:dPr>
                  <m:e>
                    <m:sSub>
                      <m:e>
                        <m:r>
                          <m:t>ω</m:t>
                        </m:r>
                      </m:e>
                      <m:sub>
                        <m:r>
                          <m:t>t</m:t>
                        </m:r>
                      </m:sub>
                    </m:sSub>
                  </m:e>
                </m:d>
              </m:e>
            </m:d>
          </m:e>
        </m:nary>
      </m:oMath>
    </w:p>
    <w:p>
      <w:pPr>
        <w:pStyle w:val="BodyText"/>
      </w:pPr>
      <m:oMath>
        <m:sSub>
          <m:e>
            <m:r>
              <m:t>w</m:t>
            </m:r>
          </m:e>
          <m:sub>
            <m:r>
              <m:t>t</m:t>
            </m:r>
            <m:r>
              <m:rPr>
                <m:sty m:val="p"/>
              </m:rPr>
              <m:t>+</m:t>
            </m:r>
            <m:r>
              <m:t>1</m:t>
            </m:r>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sSub>
              <m:e>
                <m:r>
                  <m:t>ω</m:t>
                </m:r>
              </m:e>
              <m:sub>
                <m:r>
                  <m:t>t</m:t>
                </m:r>
              </m:sub>
            </m:sSub>
            <m:r>
              <m:rPr>
                <m:sty m:val="p"/>
              </m:rPr>
              <m:t>−</m:t>
            </m:r>
            <m:f>
              <m:fPr>
                <m:type m:val="bar"/>
              </m:fPr>
              <m:num>
                <m:sSub>
                  <m:e>
                    <m:r>
                      <m:t>n</m:t>
                    </m:r>
                  </m:e>
                  <m:sub>
                    <m:r>
                      <m:t>k</m:t>
                    </m:r>
                  </m:sub>
                </m:sSub>
              </m:num>
              <m:den>
                <m:r>
                  <m:t>n</m:t>
                </m:r>
              </m:den>
            </m:f>
            <m:r>
              <m:t>η</m:t>
            </m:r>
            <m:r>
              <m:rPr>
                <m:sty m:val="p"/>
              </m:rPr>
              <m:t>∇</m:t>
            </m:r>
            <m:sSub>
              <m:e>
                <m:r>
                  <m:t>F</m:t>
                </m:r>
              </m:e>
              <m:sub>
                <m:r>
                  <m:t>k</m:t>
                </m:r>
              </m:sub>
            </m:sSub>
            <m:d>
              <m:dPr>
                <m:begChr m:val="("/>
                <m:endChr m:val=")"/>
                <m:sepChr m:val=""/>
                <m:grow/>
              </m:dPr>
              <m:e>
                <m:sSub>
                  <m:e>
                    <m:r>
                      <m:t>ω</m:t>
                    </m:r>
                  </m:e>
                  <m:sub>
                    <m:r>
                      <m:t>t</m:t>
                    </m:r>
                  </m:sub>
                </m:sSub>
              </m:e>
            </m:d>
            <m:r>
              <m:rPr>
                <m:sty m:val="p"/>
              </m:rPr>
              <m:t>)</m:t>
            </m:r>
          </m:e>
        </m:nary>
      </m:oMath>
    </w:p>
    <w:p>
      <w:pPr>
        <w:pStyle w:val="BodyText"/>
      </w:pPr>
      <m:oMath>
        <m:sSub>
          <m:e>
            <m:r>
              <m:t>w</m:t>
            </m:r>
          </m:e>
          <m:sub>
            <m:r>
              <m:t>t</m:t>
            </m:r>
            <m:r>
              <m:rPr>
                <m:sty m:val="p"/>
              </m:rPr>
              <m:t>+</m:t>
            </m:r>
            <m:r>
              <m:t>1</m:t>
            </m:r>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sSub>
              <m:e>
                <m:r>
                  <m:t>ω</m:t>
                </m:r>
              </m:e>
              <m:sub>
                <m:r>
                  <m:t>t</m:t>
                </m:r>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r>
              <m:t>η</m:t>
            </m:r>
            <m:r>
              <m:rPr>
                <m:sty m:val="p"/>
              </m:rPr>
              <m:t>∇</m:t>
            </m:r>
            <m:sSub>
              <m:e>
                <m:r>
                  <m:t>F</m:t>
                </m:r>
              </m:e>
              <m:sub>
                <m:r>
                  <m:t>k</m:t>
                </m:r>
              </m:sub>
            </m:sSub>
            <m:d>
              <m:dPr>
                <m:begChr m:val="("/>
                <m:endChr m:val=")"/>
                <m:sepChr m:val=""/>
                <m:grow/>
              </m:dPr>
              <m:e>
                <m:sSub>
                  <m:e>
                    <m:r>
                      <m:t>ω</m:t>
                    </m:r>
                  </m:e>
                  <m:sub>
                    <m:r>
                      <m:t>t</m:t>
                    </m:r>
                  </m:sub>
                </m:sSub>
              </m:e>
            </m:d>
            <m:r>
              <m:rPr>
                <m:sty m:val="p"/>
              </m:rPr>
              <m:t>)</m:t>
            </m:r>
          </m:e>
        </m:nary>
      </m:oMath>
    </w:p>
    <w:p>
      <w:pPr>
        <w:pStyle w:val="BodyText"/>
      </w:pPr>
      <m:oMath>
        <m:sSub>
          <m:e>
            <m:r>
              <m:t>w</m:t>
            </m:r>
          </m:e>
          <m:sub>
            <m:r>
              <m:t>t</m:t>
            </m:r>
            <m:r>
              <m:rPr>
                <m:sty m:val="p"/>
              </m:rPr>
              <m:t>+</m:t>
            </m:r>
            <m:r>
              <m:t>1</m:t>
            </m:r>
          </m:sub>
        </m:sSub>
        <m:r>
          <m:rPr>
            <m:sty m:val="p"/>
          </m:rPr>
          <m:t>=</m:t>
        </m:r>
        <m:sSub>
          <m:e>
            <m:r>
              <m:t>ω</m:t>
            </m:r>
          </m:e>
          <m:sub>
            <m:r>
              <m:t>t</m:t>
            </m:r>
          </m:sub>
        </m:sSub>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r>
              <m:rPr>
                <m:sty m:val="p"/>
              </m:rPr>
              <m:t>−</m:t>
            </m:r>
            <m:r>
              <m:t>η</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r>
              <m:rPr>
                <m:sty m:val="p"/>
              </m:rPr>
              <m:t>∇</m:t>
            </m:r>
            <m:sSub>
              <m:e>
                <m:r>
                  <m:t>F</m:t>
                </m:r>
              </m:e>
              <m:sub>
                <m:r>
                  <m:t>k</m:t>
                </m:r>
              </m:sub>
            </m:sSub>
            <m:d>
              <m:dPr>
                <m:begChr m:val="("/>
                <m:endChr m:val=")"/>
                <m:sepChr m:val=""/>
                <m:grow/>
              </m:dPr>
              <m:e>
                <m:sSub>
                  <m:e>
                    <m:r>
                      <m:t>ω</m:t>
                    </m:r>
                  </m:e>
                  <m:sub>
                    <m:r>
                      <m:t>t</m:t>
                    </m:r>
                  </m:sub>
                </m:sSub>
              </m:e>
            </m:d>
            <m:r>
              <m:rPr>
                <m:sty m:val="p"/>
              </m:rPr>
              <m:t>)</m:t>
            </m:r>
          </m:e>
        </m:nary>
      </m:oMath>
    </w:p>
    <w:p>
      <w:pPr>
        <w:pStyle w:val="BodyText"/>
      </w:pPr>
      <m:oMath>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r>
              <m:rPr>
                <m:sty m:val="p"/>
              </m:rPr>
              <m:t>=</m:t>
            </m:r>
            <m:r>
              <m:t>1</m:t>
            </m:r>
          </m:e>
        </m:nary>
      </m:oMath>
    </w:p>
    <w:p>
      <w:pPr>
        <w:pStyle w:val="BodyText"/>
      </w:pPr>
      <m:oMath>
        <m:sSub>
          <m:e>
            <m:r>
              <m:t>ω</m:t>
            </m:r>
          </m:e>
          <m:sub>
            <m:r>
              <m:t>t</m:t>
            </m:r>
            <m:r>
              <m:rPr>
                <m:sty m:val="p"/>
              </m:rPr>
              <m:t>+</m:t>
            </m:r>
            <m:r>
              <m:t>1</m:t>
            </m:r>
          </m:sub>
        </m:sSub>
        <m:r>
          <m:rPr>
            <m:sty m:val="p"/>
          </m:rPr>
          <m:t>=</m:t>
        </m:r>
        <m:sSub>
          <m:e>
            <m:r>
              <m:t>ω</m:t>
            </m:r>
          </m:e>
          <m:sub>
            <m:r>
              <m:t>t</m:t>
            </m:r>
          </m:sub>
        </m:sSub>
        <m:r>
          <m:rPr>
            <m:sty m:val="p"/>
          </m:rPr>
          <m:t>−</m:t>
        </m:r>
        <m:r>
          <m:t>η</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r>
              <m:rPr>
                <m:sty m:val="p"/>
              </m:rPr>
              <m:t>∇</m:t>
            </m:r>
            <m:sSub>
              <m:e>
                <m:r>
                  <m:t>F</m:t>
                </m:r>
              </m:e>
              <m:sub>
                <m:r>
                  <m:t>k</m:t>
                </m:r>
              </m:sub>
            </m:sSub>
            <m:d>
              <m:dPr>
                <m:begChr m:val="("/>
                <m:endChr m:val=")"/>
                <m:sepChr m:val=""/>
                <m:grow/>
              </m:dPr>
              <m:e>
                <m:sSub>
                  <m:e>
                    <m:r>
                      <m:t>ω</m:t>
                    </m:r>
                  </m:e>
                  <m:sub>
                    <m:r>
                      <m:t>t</m:t>
                    </m:r>
                  </m:sub>
                </m:sSub>
              </m:e>
            </m:d>
          </m:e>
        </m:nary>
      </m:oMath>
    </w:p>
    <w:bookmarkEnd w:id="21"/>
    <w:bookmarkStart w:id="22" w:name="section-2"/>
    <w:p>
      <w:pPr>
        <w:pStyle w:val="Heading1"/>
      </w:pPr>
    </w:p>
    <w:p>
      <w:pPr>
        <w:pStyle w:val="FirstParagraph"/>
      </w:pPr>
      <w:r>
        <w:t xml:space="preserve">Now give a brief explanation as to why the second formulation is more intuitive. That is, you should be able to explain broadly what this update is doing.</w:t>
      </w:r>
    </w:p>
    <w:p>
      <w:pPr>
        <w:pStyle w:val="BodyText"/>
      </w:pPr>
      <w:r>
        <w:rPr>
          <w:iCs/>
          <w:i/>
        </w:rPr>
        <w:t xml:space="preserve">Student Input</w:t>
      </w:r>
    </w:p>
    <w:p>
      <w:pPr>
        <w:pStyle w:val="BodyText"/>
      </w:pPr>
      <w:r>
        <w:t xml:space="preserve">The second formulation is better because it gives some idea of how the model is iterating along the gradient, and gives more indication, in my opinion, as to how the individual weights are calculated. However, I honestly feel like I’m missing something here, and would love to know the full correct answer.</w:t>
      </w:r>
    </w:p>
    <w:bookmarkEnd w:id="22"/>
    <w:bookmarkStart w:id="23" w:name="section-3"/>
    <w:p>
      <w:pPr>
        <w:pStyle w:val="Heading1"/>
      </w:pPr>
    </w:p>
    <w:p>
      <w:pPr>
        <w:pStyle w:val="FirstParagraph"/>
      </w:pPr>
      <w:r>
        <w:t xml:space="preserve">Explain how the harm principle places a constraint on personal autonomy. Then, discuss whether the harm principle is</w:t>
      </w:r>
      <w:r>
        <w:t xml:space="preserve"> </w:t>
      </w:r>
      <w:r>
        <w:rPr>
          <w:iCs/>
          <w:i/>
        </w:rPr>
        <w:t xml:space="preserve">currently</w:t>
      </w:r>
      <w:r>
        <w:t xml:space="preserve"> </w:t>
      </w:r>
      <w:r>
        <w:t xml:space="preserve">applicable to machine learning models. (</w:t>
      </w:r>
      <w:r>
        <w:rPr>
          <w:iCs/>
          <w:i/>
        </w:rPr>
        <w:t xml:space="preserve">Hint: recall our discussions in the moral philosophy primer as to what grounds agency. You should in effect be arguing whether ML models have achieved agency enough to limit the autonomy of the users of said algorithms.</w:t>
      </w:r>
      <w:r>
        <w:t xml:space="preserve"> </w:t>
      </w:r>
      <w:r>
        <w:t xml:space="preserve">)</w:t>
      </w:r>
    </w:p>
    <w:p>
      <w:pPr>
        <w:pStyle w:val="BodyText"/>
      </w:pPr>
      <w:r>
        <w:t xml:space="preserve">The harm principle states that people maintain autonomy, up to the limit that any action they take cannot harm any other person. In considering current machine learning models, there is an inherent trade-off between performance and privacy, where individual data points may be re-identified using model outputs in MIAs. While this is uncommon, it still presents the issue that in many machine learning models, there is a lack of sufficient security for individuals who provide consent, though rarely fully informed consent, to their data. This can cause harm to the individuals by exposing their personal, and sometimes sensitive, information. It would be interesting to discuss further how, when using approaches like differential privacy and data federation, people could still be harmed, but there is a clear trade-off, and there may be more benefits from a utilitarian perspective to favor some level of performance from models, especially when the model may provide some significant benefit to the individuals who provide its sample data.</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6</dc:title>
  <dc:creator>Sam Pell</dc:creator>
  <cp:keywords/>
  <dcterms:created xsi:type="dcterms:W3CDTF">2024-04-11T00:12:05Z</dcterms:created>
  <dcterms:modified xsi:type="dcterms:W3CDTF">2024-04-11T00:12:05Z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4/10/2024</vt:lpwstr>
  </property>
  <property fmtid="{D5CDD505-2E9C-101B-9397-08002B2CF9AE}" pid="3" name="output">
    <vt:lpwstr/>
  </property>
</Properties>
</file>